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6205E">
      <w:pPr>
        <w:jc w:val="center"/>
        <w:rPr>
          <w:rFonts w:hint="eastAsia" w:ascii="仿宋" w:hAnsi="仿宋" w:eastAsia="仿宋" w:cs="仿宋"/>
          <w:sz w:val="72"/>
        </w:rPr>
      </w:pPr>
    </w:p>
    <w:p w14:paraId="386541DE">
      <w:pPr>
        <w:jc w:val="center"/>
        <w:rPr>
          <w:rFonts w:hint="eastAsia" w:ascii="仿宋" w:hAnsi="仿宋" w:eastAsia="仿宋" w:cs="仿宋"/>
          <w:sz w:val="72"/>
        </w:rPr>
      </w:pPr>
    </w:p>
    <w:p w14:paraId="3DEA6FF2">
      <w:pPr>
        <w:jc w:val="center"/>
        <w:outlineLvl w:val="0"/>
        <w:rPr>
          <w:rFonts w:hint="eastAsia" w:ascii="仿宋_GB2312" w:hAnsi="宋体" w:eastAsia="仿宋_GB2312"/>
          <w:b/>
          <w:sz w:val="52"/>
          <w:szCs w:val="52"/>
          <w:highlight w:val="none"/>
        </w:rPr>
      </w:pPr>
      <w:bookmarkStart w:id="0" w:name="_Toc13306"/>
      <w:r>
        <w:rPr>
          <w:rFonts w:hint="eastAsia" w:ascii="仿宋_GB2312" w:hAnsi="宋体" w:eastAsia="仿宋_GB2312"/>
          <w:b/>
          <w:sz w:val="52"/>
          <w:szCs w:val="52"/>
          <w:highlight w:val="none"/>
          <w:lang w:eastAsia="zh-CN"/>
        </w:rPr>
        <w:t>绍兴市再生能源发展有限公司</w:t>
      </w:r>
      <w:bookmarkEnd w:id="0"/>
    </w:p>
    <w:p w14:paraId="4EEA6687">
      <w:pPr>
        <w:pStyle w:val="11"/>
        <w:rPr>
          <w:highlight w:val="none"/>
        </w:rPr>
      </w:pPr>
    </w:p>
    <w:p w14:paraId="0FFC4035">
      <w:pPr>
        <w:jc w:val="center"/>
        <w:rPr>
          <w:rFonts w:hint="eastAsia" w:ascii="仿宋_GB2312" w:hAnsi="宋体" w:eastAsia="仿宋_GB2312"/>
          <w:b/>
          <w:sz w:val="52"/>
          <w:szCs w:val="52"/>
          <w:highlight w:val="none"/>
          <w:lang w:eastAsia="zh-CN"/>
        </w:rPr>
      </w:pPr>
      <w:r>
        <w:rPr>
          <w:rFonts w:hint="eastAsia" w:ascii="仿宋_GB2312" w:hAnsi="宋体" w:eastAsia="仿宋_GB2312"/>
          <w:b/>
          <w:sz w:val="52"/>
          <w:szCs w:val="52"/>
          <w:highlight w:val="none"/>
          <w:lang w:val="en-US" w:eastAsia="zh-CN"/>
        </w:rPr>
        <w:t>食堂更换电磁双头大炒灶、电磁小炒炉、电磁低汤炉项目</w:t>
      </w:r>
    </w:p>
    <w:p w14:paraId="659FFE53">
      <w:pPr>
        <w:jc w:val="center"/>
        <w:rPr>
          <w:rFonts w:hint="eastAsia" w:ascii="仿宋_GB2312" w:hAnsi="宋体" w:eastAsia="仿宋_GB2312"/>
          <w:b/>
          <w:sz w:val="52"/>
          <w:szCs w:val="52"/>
          <w:lang w:eastAsia="zh-CN"/>
        </w:rPr>
      </w:pPr>
      <w:r>
        <w:rPr>
          <w:rFonts w:hint="eastAsia" w:ascii="仿宋_GB2312" w:hAnsi="宋体" w:eastAsia="仿宋_GB2312"/>
          <w:b/>
          <w:sz w:val="52"/>
          <w:szCs w:val="52"/>
          <w:lang w:eastAsia="zh-CN"/>
        </w:rPr>
        <w:t>挂网</w:t>
      </w:r>
      <w:r>
        <w:rPr>
          <w:rFonts w:hint="eastAsia" w:ascii="仿宋_GB2312" w:hAnsi="宋体" w:eastAsia="仿宋_GB2312"/>
          <w:b/>
          <w:sz w:val="52"/>
          <w:szCs w:val="52"/>
        </w:rPr>
        <w:t>文件</w:t>
      </w:r>
    </w:p>
    <w:p w14:paraId="52FF4260">
      <w:pPr>
        <w:jc w:val="center"/>
        <w:rPr>
          <w:rFonts w:hint="eastAsia" w:ascii="仿宋" w:hAnsi="仿宋" w:eastAsia="仿宋" w:cs="仿宋"/>
          <w:b/>
          <w:sz w:val="48"/>
          <w:szCs w:val="48"/>
        </w:rPr>
      </w:pPr>
    </w:p>
    <w:p w14:paraId="133227F3">
      <w:pPr>
        <w:spacing w:line="360" w:lineRule="auto"/>
        <w:rPr>
          <w:rFonts w:hint="eastAsia" w:ascii="仿宋" w:hAnsi="仿宋" w:eastAsia="仿宋" w:cs="仿宋"/>
          <w:sz w:val="40"/>
          <w:szCs w:val="48"/>
        </w:rPr>
      </w:pPr>
    </w:p>
    <w:p w14:paraId="517E9780">
      <w:pPr>
        <w:spacing w:line="360" w:lineRule="auto"/>
        <w:rPr>
          <w:rFonts w:hint="eastAsia" w:ascii="仿宋" w:hAnsi="仿宋" w:eastAsia="仿宋" w:cs="仿宋"/>
          <w:sz w:val="40"/>
          <w:szCs w:val="48"/>
        </w:rPr>
      </w:pPr>
    </w:p>
    <w:p w14:paraId="1858A337">
      <w:pPr>
        <w:spacing w:line="360" w:lineRule="auto"/>
        <w:rPr>
          <w:rFonts w:hint="eastAsia" w:ascii="仿宋" w:hAnsi="仿宋" w:eastAsia="仿宋" w:cs="仿宋"/>
          <w:sz w:val="40"/>
          <w:szCs w:val="48"/>
          <w:highlight w:val="none"/>
        </w:rPr>
      </w:pPr>
    </w:p>
    <w:p w14:paraId="6CE4C974">
      <w:pPr>
        <w:spacing w:line="360" w:lineRule="auto"/>
        <w:jc w:val="center"/>
        <w:rPr>
          <w:rFonts w:hint="eastAsia" w:ascii="仿宋" w:hAnsi="仿宋" w:eastAsia="仿宋" w:cs="仿宋"/>
          <w:sz w:val="32"/>
          <w:szCs w:val="32"/>
          <w:highlight w:val="none"/>
          <w:u w:val="single"/>
          <w:lang w:val="en-US" w:eastAsia="zh-CN"/>
        </w:rPr>
      </w:pPr>
      <w:r>
        <w:rPr>
          <w:rFonts w:hint="eastAsia" w:ascii="仿宋" w:hAnsi="仿宋" w:eastAsia="仿宋" w:cs="仿宋"/>
          <w:sz w:val="32"/>
          <w:szCs w:val="32"/>
          <w:highlight w:val="none"/>
        </w:rPr>
        <w:t>采购编号：</w:t>
      </w:r>
      <w:r>
        <w:rPr>
          <w:rFonts w:hint="eastAsia" w:ascii="仿宋" w:hAnsi="仿宋" w:eastAsia="仿宋" w:cs="仿宋"/>
          <w:sz w:val="32"/>
          <w:szCs w:val="32"/>
          <w:highlight w:val="none"/>
          <w:u w:val="single"/>
          <w:lang w:val="en-US" w:eastAsia="zh-CN"/>
        </w:rPr>
        <w:t xml:space="preserve"> </w:t>
      </w:r>
      <w:bookmarkStart w:id="1" w:name="OLE_LINK1"/>
      <w:r>
        <w:rPr>
          <w:rFonts w:hint="eastAsia" w:ascii="仿宋" w:hAnsi="仿宋" w:eastAsia="仿宋" w:cs="仿宋"/>
          <w:sz w:val="32"/>
          <w:szCs w:val="32"/>
          <w:highlight w:val="none"/>
          <w:u w:val="single"/>
          <w:lang w:val="en-US" w:eastAsia="zh-CN"/>
        </w:rPr>
        <w:t>SX-ZH-ST-</w:t>
      </w:r>
      <w:bookmarkEnd w:id="1"/>
      <w:r>
        <w:rPr>
          <w:rFonts w:hint="eastAsia" w:ascii="仿宋" w:hAnsi="仿宋" w:eastAsia="仿宋" w:cs="仿宋"/>
          <w:sz w:val="32"/>
          <w:szCs w:val="32"/>
          <w:highlight w:val="none"/>
          <w:u w:val="single"/>
          <w:lang w:val="en-US" w:eastAsia="zh-CN"/>
        </w:rPr>
        <w:t xml:space="preserve">2609017  </w:t>
      </w:r>
    </w:p>
    <w:p w14:paraId="69DC19A4">
      <w:pPr>
        <w:spacing w:line="360" w:lineRule="auto"/>
        <w:ind w:firstLine="80" w:firstLineChars="25"/>
        <w:jc w:val="center"/>
        <w:rPr>
          <w:rFonts w:hint="default" w:ascii="仿宋" w:hAnsi="仿宋" w:eastAsia="仿宋" w:cs="仿宋"/>
          <w:sz w:val="32"/>
          <w:szCs w:val="32"/>
          <w:u w:val="single"/>
          <w:lang w:val="en-US" w:eastAsia="zh-CN"/>
        </w:rPr>
      </w:pPr>
      <w:bookmarkStart w:id="2" w:name="OLE_LINK52"/>
      <w:bookmarkStart w:id="3" w:name="OLE_LINK53"/>
      <w:r>
        <w:rPr>
          <w:rFonts w:hint="eastAsia" w:ascii="仿宋" w:hAnsi="仿宋" w:eastAsia="仿宋" w:cs="仿宋"/>
          <w:sz w:val="32"/>
          <w:szCs w:val="32"/>
        </w:rPr>
        <w:t>项目名称：</w:t>
      </w:r>
      <w:bookmarkEnd w:id="2"/>
      <w:bookmarkEnd w:id="3"/>
      <w:r>
        <w:rPr>
          <w:rFonts w:hint="eastAsia" w:ascii="仿宋" w:hAnsi="仿宋" w:eastAsia="仿宋" w:cs="仿宋"/>
          <w:sz w:val="32"/>
          <w:szCs w:val="32"/>
          <w:u w:val="single"/>
          <w:lang w:val="en-US" w:eastAsia="zh-CN"/>
        </w:rPr>
        <w:t>食堂更换电磁双头大炒灶、电磁小炒炉、电磁低汤炉项目</w:t>
      </w:r>
    </w:p>
    <w:p w14:paraId="619BC30A">
      <w:pPr>
        <w:rPr>
          <w:rFonts w:hint="eastAsia" w:ascii="仿宋" w:hAnsi="仿宋" w:eastAsia="仿宋" w:cs="仿宋"/>
          <w:sz w:val="84"/>
        </w:rPr>
      </w:pPr>
    </w:p>
    <w:p w14:paraId="379DFA08">
      <w:pPr>
        <w:rPr>
          <w:rFonts w:hint="eastAsia" w:ascii="仿宋" w:hAnsi="仿宋" w:eastAsia="仿宋" w:cs="仿宋"/>
          <w:sz w:val="84"/>
        </w:rPr>
      </w:pPr>
    </w:p>
    <w:p w14:paraId="5CEDDC98">
      <w:pPr>
        <w:snapToGrid w:val="0"/>
        <w:spacing w:line="480" w:lineRule="auto"/>
        <w:jc w:val="center"/>
        <w:rPr>
          <w:rFonts w:hint="eastAsia" w:ascii="仿宋" w:hAnsi="仿宋" w:eastAsia="仿宋" w:cs="仿宋"/>
          <w:sz w:val="32"/>
          <w:szCs w:val="32"/>
          <w:lang w:eastAsia="zh-CN"/>
        </w:rPr>
      </w:pPr>
      <w:r>
        <w:rPr>
          <w:rFonts w:hint="eastAsia" w:ascii="仿宋" w:hAnsi="仿宋" w:eastAsia="仿宋" w:cs="仿宋"/>
          <w:sz w:val="32"/>
          <w:szCs w:val="32"/>
          <w:lang w:eastAsia="zh-CN"/>
        </w:rPr>
        <w:t>绍兴市再生能源发展有限公司</w:t>
      </w:r>
    </w:p>
    <w:p w14:paraId="04407B9F">
      <w:pPr>
        <w:spacing w:line="360" w:lineRule="auto"/>
        <w:jc w:val="center"/>
        <w:rPr>
          <w:rFonts w:hint="eastAsia" w:ascii="仿宋" w:hAnsi="仿宋" w:eastAsia="仿宋" w:cs="仿宋"/>
          <w:sz w:val="32"/>
          <w:szCs w:val="32"/>
        </w:rPr>
      </w:pPr>
      <w:r>
        <w:rPr>
          <w:rFonts w:hint="eastAsia" w:ascii="仿宋" w:hAnsi="仿宋" w:eastAsia="仿宋" w:cs="仿宋"/>
          <w:sz w:val="32"/>
          <w:szCs w:val="32"/>
          <w:lang w:eastAsia="zh-CN"/>
        </w:rPr>
        <w:t>二〇二六</w:t>
      </w:r>
      <w:r>
        <w:rPr>
          <w:rFonts w:hint="eastAsia" w:ascii="仿宋" w:hAnsi="仿宋" w:eastAsia="仿宋" w:cs="仿宋"/>
          <w:sz w:val="32"/>
          <w:szCs w:val="32"/>
        </w:rPr>
        <w:t>年</w:t>
      </w:r>
      <w:r>
        <w:rPr>
          <w:rFonts w:hint="eastAsia" w:ascii="仿宋" w:hAnsi="仿宋" w:eastAsia="仿宋" w:cs="仿宋"/>
          <w:sz w:val="32"/>
          <w:szCs w:val="32"/>
          <w:lang w:val="en-US" w:eastAsia="zh-CN"/>
        </w:rPr>
        <w:t>十</w:t>
      </w:r>
      <w:r>
        <w:rPr>
          <w:rFonts w:hint="eastAsia" w:ascii="仿宋" w:hAnsi="仿宋" w:eastAsia="仿宋" w:cs="仿宋"/>
          <w:sz w:val="32"/>
          <w:szCs w:val="32"/>
        </w:rPr>
        <w:t>月</w:t>
      </w:r>
      <w:r>
        <w:rPr>
          <w:rFonts w:hint="eastAsia" w:ascii="仿宋" w:hAnsi="仿宋" w:eastAsia="仿宋" w:cs="仿宋"/>
          <w:sz w:val="32"/>
          <w:szCs w:val="32"/>
        </w:rPr>
        <w:br w:type="page"/>
      </w:r>
      <w:r>
        <w:rPr>
          <w:rFonts w:hint="eastAsia" w:ascii="仿宋" w:hAnsi="仿宋" w:eastAsia="仿宋" w:cs="仿宋"/>
          <w:sz w:val="52"/>
          <w:szCs w:val="32"/>
        </w:rPr>
        <w:t>目录</w:t>
      </w:r>
    </w:p>
    <w:p w14:paraId="62FA1CDB">
      <w:pPr>
        <w:pStyle w:val="9"/>
        <w:tabs>
          <w:tab w:val="right" w:leader="dot" w:pos="9072"/>
        </w:tabs>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TOC \o "1-1" \h \u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rPr>
        <w:fldChar w:fldCharType="begin"/>
      </w:r>
      <w:r>
        <w:rPr>
          <w:rFonts w:hint="eastAsia" w:ascii="仿宋" w:hAnsi="仿宋" w:eastAsia="仿宋" w:cs="仿宋"/>
          <w:b w:val="0"/>
          <w:bCs w:val="0"/>
          <w:sz w:val="32"/>
          <w:szCs w:val="32"/>
        </w:rPr>
        <w:instrText xml:space="preserve"> HYPERLINK \l _Toc13306 </w:instrText>
      </w:r>
      <w:r>
        <w:rPr>
          <w:rFonts w:hint="eastAsia" w:ascii="仿宋" w:hAnsi="仿宋" w:eastAsia="仿宋" w:cs="仿宋"/>
          <w:b w:val="0"/>
          <w:bCs w:val="0"/>
          <w:sz w:val="32"/>
          <w:szCs w:val="32"/>
        </w:rPr>
        <w:fldChar w:fldCharType="separate"/>
      </w:r>
      <w:r>
        <w:rPr>
          <w:rFonts w:hint="eastAsia" w:ascii="仿宋" w:hAnsi="仿宋" w:eastAsia="仿宋" w:cs="仿宋"/>
          <w:b w:val="0"/>
          <w:bCs w:val="0"/>
          <w:sz w:val="32"/>
          <w:szCs w:val="32"/>
          <w:highlight w:val="none"/>
          <w:lang w:eastAsia="zh-CN"/>
        </w:rPr>
        <w:t>绍兴市再生能源发展有限公司</w:t>
      </w:r>
      <w:r>
        <w:rPr>
          <w:rFonts w:hint="default" w:ascii="Times New Roman" w:hAnsi="Times New Roman" w:eastAsia="仿宋" w:cs="Times New Roman"/>
          <w:b w:val="0"/>
          <w:bCs w:val="0"/>
          <w:sz w:val="32"/>
          <w:szCs w:val="32"/>
        </w:rPr>
        <w:tab/>
      </w:r>
      <w:r>
        <w:rPr>
          <w:rFonts w:hint="default" w:ascii="Times New Roman" w:hAnsi="Times New Roman" w:eastAsia="仿宋" w:cs="Times New Roman"/>
          <w:b w:val="0"/>
          <w:bCs w:val="0"/>
          <w:sz w:val="32"/>
          <w:szCs w:val="32"/>
        </w:rPr>
        <w:fldChar w:fldCharType="begin"/>
      </w:r>
      <w:r>
        <w:rPr>
          <w:rFonts w:hint="default" w:ascii="Times New Roman" w:hAnsi="Times New Roman" w:eastAsia="仿宋" w:cs="Times New Roman"/>
          <w:b w:val="0"/>
          <w:bCs w:val="0"/>
          <w:sz w:val="32"/>
          <w:szCs w:val="32"/>
        </w:rPr>
        <w:instrText xml:space="preserve"> PAGEREF _Toc13306 \h </w:instrText>
      </w:r>
      <w:r>
        <w:rPr>
          <w:rFonts w:hint="default" w:ascii="Times New Roman" w:hAnsi="Times New Roman" w:eastAsia="仿宋" w:cs="Times New Roman"/>
          <w:b w:val="0"/>
          <w:bCs w:val="0"/>
          <w:sz w:val="32"/>
          <w:szCs w:val="32"/>
        </w:rPr>
        <w:fldChar w:fldCharType="separate"/>
      </w:r>
      <w:r>
        <w:rPr>
          <w:rFonts w:hint="default" w:ascii="Times New Roman" w:hAnsi="Times New Roman" w:eastAsia="仿宋" w:cs="Times New Roman"/>
          <w:b w:val="0"/>
          <w:bCs w:val="0"/>
          <w:sz w:val="32"/>
          <w:szCs w:val="32"/>
        </w:rPr>
        <w:t>1</w:t>
      </w:r>
      <w:r>
        <w:rPr>
          <w:rFonts w:hint="default" w:ascii="Times New Roman" w:hAnsi="Times New Roman" w:eastAsia="仿宋" w:cs="Times New Roman"/>
          <w:b w:val="0"/>
          <w:bCs w:val="0"/>
          <w:sz w:val="32"/>
          <w:szCs w:val="32"/>
        </w:rPr>
        <w:fldChar w:fldCharType="end"/>
      </w:r>
      <w:r>
        <w:rPr>
          <w:rFonts w:hint="eastAsia" w:ascii="仿宋" w:hAnsi="仿宋" w:eastAsia="仿宋" w:cs="仿宋"/>
          <w:b w:val="0"/>
          <w:bCs w:val="0"/>
          <w:sz w:val="32"/>
          <w:szCs w:val="32"/>
        </w:rPr>
        <w:fldChar w:fldCharType="end"/>
      </w:r>
    </w:p>
    <w:p w14:paraId="03EDFD1D">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_Toc21213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第一部分   询价公告</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_Toc21213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61D17D30">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_Toc5134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第二部分   采购须知</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_Toc5134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7</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7577C920">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_Toc31003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第三部分   询价内容</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_Toc31003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165F4E66">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_Toc2438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第四部分   合同主要条款（供参考）</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_Toc2438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14</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5C916561">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_Toc11305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lang w:val="en-US" w:eastAsia="zh-CN"/>
        </w:rPr>
        <w:t>附件：</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_Toc11305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19</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6582736C">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_Toc15305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第</w:t>
      </w:r>
      <w:r>
        <w:rPr>
          <w:rFonts w:hint="eastAsia" w:ascii="Times New Roman" w:hAnsi="Times New Roman" w:eastAsia="仿宋" w:cs="Times New Roman"/>
          <w:b w:val="0"/>
          <w:bCs w:val="0"/>
          <w:sz w:val="32"/>
          <w:szCs w:val="32"/>
          <w:lang w:eastAsia="zh-CN"/>
        </w:rPr>
        <w:t>五</w:t>
      </w:r>
      <w:r>
        <w:rPr>
          <w:rFonts w:hint="eastAsia" w:ascii="Times New Roman" w:hAnsi="Times New Roman" w:eastAsia="仿宋" w:cs="Times New Roman"/>
          <w:b w:val="0"/>
          <w:bCs w:val="0"/>
          <w:sz w:val="32"/>
          <w:szCs w:val="32"/>
        </w:rPr>
        <w:t>部分   报价文件格式</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_Toc15305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2B46F9B9">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_Toc14320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附件一：</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_Toc14320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6D3AD769">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_Toc14428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二</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_Toc14428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28</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4B573AA1">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_Toc13987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三</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_Toc13987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30</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36654504">
      <w:pPr>
        <w:pStyle w:val="9"/>
        <w:tabs>
          <w:tab w:val="right" w:leader="dot" w:pos="9072"/>
        </w:tabs>
        <w:rPr>
          <w:rFonts w:hint="eastAsia" w:ascii="Times New Roman" w:hAnsi="Times New Roman" w:eastAsia="仿宋" w:cs="Times New Roman"/>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_Toc25245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四</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_Toc25245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32</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14A65A5E">
      <w:pPr>
        <w:pStyle w:val="9"/>
        <w:tabs>
          <w:tab w:val="right" w:leader="dot" w:pos="9072"/>
        </w:tabs>
        <w:rPr>
          <w:rFonts w:hint="eastAsia" w:ascii="仿宋" w:hAnsi="仿宋" w:eastAsia="仿宋" w:cs="仿宋"/>
          <w:b w:val="0"/>
          <w:bCs w:val="0"/>
          <w:sz w:val="32"/>
          <w:szCs w:val="32"/>
        </w:rPr>
      </w:pP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HYPERLINK \l _Toc14829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附件</w:t>
      </w:r>
      <w:r>
        <w:rPr>
          <w:rFonts w:hint="eastAsia" w:ascii="Times New Roman" w:hAnsi="Times New Roman" w:eastAsia="仿宋" w:cs="Times New Roman"/>
          <w:b w:val="0"/>
          <w:bCs w:val="0"/>
          <w:sz w:val="32"/>
          <w:szCs w:val="32"/>
          <w:lang w:val="en-US"/>
        </w:rPr>
        <w:t>五</w:t>
      </w:r>
      <w:r>
        <w:rPr>
          <w:rFonts w:hint="eastAsia" w:ascii="Times New Roman" w:hAnsi="Times New Roman" w:eastAsia="仿宋" w:cs="Times New Roman"/>
          <w:b w:val="0"/>
          <w:bCs w:val="0"/>
          <w:sz w:val="32"/>
          <w:szCs w:val="32"/>
        </w:rPr>
        <w:t>：</w:t>
      </w:r>
      <w:r>
        <w:rPr>
          <w:rFonts w:hint="eastAsia" w:ascii="Times New Roman" w:hAnsi="Times New Roman" w:eastAsia="仿宋" w:cs="Times New Roman"/>
          <w:b w:val="0"/>
          <w:bCs w:val="0"/>
          <w:sz w:val="32"/>
          <w:szCs w:val="32"/>
        </w:rPr>
        <w:tab/>
      </w:r>
      <w:r>
        <w:rPr>
          <w:rFonts w:hint="eastAsia" w:ascii="Times New Roman" w:hAnsi="Times New Roman" w:eastAsia="仿宋" w:cs="Times New Roman"/>
          <w:b w:val="0"/>
          <w:bCs w:val="0"/>
          <w:sz w:val="32"/>
          <w:szCs w:val="32"/>
        </w:rPr>
        <w:fldChar w:fldCharType="begin"/>
      </w:r>
      <w:r>
        <w:rPr>
          <w:rFonts w:hint="eastAsia" w:ascii="Times New Roman" w:hAnsi="Times New Roman" w:eastAsia="仿宋" w:cs="Times New Roman"/>
          <w:b w:val="0"/>
          <w:bCs w:val="0"/>
          <w:sz w:val="32"/>
          <w:szCs w:val="32"/>
        </w:rPr>
        <w:instrText xml:space="preserve"> PAGEREF _Toc14829 \h </w:instrText>
      </w:r>
      <w:r>
        <w:rPr>
          <w:rFonts w:hint="eastAsia" w:ascii="Times New Roman" w:hAnsi="Times New Roman" w:eastAsia="仿宋" w:cs="Times New Roman"/>
          <w:b w:val="0"/>
          <w:bCs w:val="0"/>
          <w:sz w:val="32"/>
          <w:szCs w:val="32"/>
        </w:rPr>
        <w:fldChar w:fldCharType="separate"/>
      </w:r>
      <w:r>
        <w:rPr>
          <w:rFonts w:hint="eastAsia" w:ascii="Times New Roman" w:hAnsi="Times New Roman" w:eastAsia="仿宋" w:cs="Times New Roman"/>
          <w:b w:val="0"/>
          <w:bCs w:val="0"/>
          <w:sz w:val="32"/>
          <w:szCs w:val="32"/>
        </w:rPr>
        <w:t>33</w:t>
      </w:r>
      <w:r>
        <w:rPr>
          <w:rFonts w:hint="eastAsia" w:ascii="Times New Roman" w:hAnsi="Times New Roman" w:eastAsia="仿宋" w:cs="Times New Roman"/>
          <w:b w:val="0"/>
          <w:bCs w:val="0"/>
          <w:sz w:val="32"/>
          <w:szCs w:val="32"/>
        </w:rPr>
        <w:fldChar w:fldCharType="end"/>
      </w:r>
      <w:r>
        <w:rPr>
          <w:rFonts w:hint="eastAsia" w:ascii="Times New Roman" w:hAnsi="Times New Roman" w:eastAsia="仿宋" w:cs="Times New Roman"/>
          <w:b w:val="0"/>
          <w:bCs w:val="0"/>
          <w:sz w:val="32"/>
          <w:szCs w:val="32"/>
        </w:rPr>
        <w:fldChar w:fldCharType="end"/>
      </w:r>
    </w:p>
    <w:p w14:paraId="49419028">
      <w:pPr>
        <w:rPr>
          <w:rFonts w:hint="eastAsia" w:ascii="仿宋" w:hAnsi="仿宋" w:eastAsia="仿宋" w:cs="仿宋"/>
          <w:b w:val="0"/>
          <w:bCs w:val="0"/>
          <w:sz w:val="32"/>
          <w:szCs w:val="32"/>
        </w:rPr>
      </w:pPr>
      <w:r>
        <w:rPr>
          <w:rFonts w:hint="eastAsia" w:ascii="仿宋" w:hAnsi="仿宋" w:eastAsia="仿宋" w:cs="仿宋"/>
          <w:b w:val="0"/>
          <w:bCs w:val="0"/>
          <w:sz w:val="32"/>
          <w:szCs w:val="32"/>
        </w:rPr>
        <w:fldChar w:fldCharType="end"/>
      </w:r>
    </w:p>
    <w:p w14:paraId="0555C8B2">
      <w:pPr>
        <w:rPr>
          <w:rFonts w:hint="eastAsia" w:ascii="仿宋" w:hAnsi="仿宋" w:eastAsia="仿宋" w:cs="仿宋"/>
          <w:sz w:val="36"/>
        </w:rPr>
      </w:pPr>
    </w:p>
    <w:p w14:paraId="6921F477">
      <w:pPr>
        <w:snapToGrid w:val="0"/>
        <w:jc w:val="center"/>
        <w:outlineLvl w:val="0"/>
        <w:rPr>
          <w:rFonts w:hint="eastAsia" w:ascii="仿宋" w:hAnsi="仿宋" w:eastAsia="仿宋" w:cs="仿宋"/>
          <w:snapToGrid w:val="0"/>
          <w:sz w:val="30"/>
          <w:szCs w:val="30"/>
        </w:rPr>
      </w:pPr>
      <w:r>
        <w:rPr>
          <w:rFonts w:hint="eastAsia" w:ascii="仿宋" w:hAnsi="仿宋" w:eastAsia="仿宋" w:cs="仿宋"/>
          <w:sz w:val="32"/>
          <w:szCs w:val="32"/>
        </w:rPr>
        <w:br w:type="page"/>
      </w:r>
      <w:bookmarkStart w:id="4" w:name="_Toc21213"/>
      <w:bookmarkStart w:id="5" w:name="_Toc530583878"/>
      <w:bookmarkStart w:id="6" w:name="_Toc530583921"/>
      <w:r>
        <w:rPr>
          <w:rFonts w:hint="eastAsia" w:ascii="仿宋" w:hAnsi="仿宋" w:eastAsia="仿宋" w:cs="仿宋"/>
          <w:b/>
          <w:snapToGrid w:val="0"/>
          <w:color w:val="000000"/>
          <w:kern w:val="44"/>
          <w:sz w:val="44"/>
          <w:szCs w:val="44"/>
          <w:lang w:val="en-US" w:eastAsia="zh-CN" w:bidi="ar-SA"/>
        </w:rPr>
        <w:t>第一部分   询价公告</w:t>
      </w:r>
      <w:bookmarkEnd w:id="4"/>
      <w:bookmarkEnd w:id="5"/>
      <w:bookmarkEnd w:id="6"/>
    </w:p>
    <w:p w14:paraId="6E66C16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因日常生产需要，需</w:t>
      </w:r>
      <w:r>
        <w:rPr>
          <w:rFonts w:hint="eastAsia" w:ascii="仿宋" w:hAnsi="仿宋" w:eastAsia="仿宋" w:cs="仿宋"/>
          <w:sz w:val="30"/>
          <w:szCs w:val="30"/>
          <w:lang w:eastAsia="zh-CN"/>
        </w:rPr>
        <w:t>对</w:t>
      </w:r>
      <w:r>
        <w:rPr>
          <w:rFonts w:hint="eastAsia" w:ascii="仿宋" w:hAnsi="仿宋" w:eastAsia="仿宋" w:cs="仿宋"/>
          <w:sz w:val="30"/>
          <w:szCs w:val="30"/>
          <w:lang w:val="en-US" w:eastAsia="zh-CN"/>
        </w:rPr>
        <w:t>食堂更换电磁双头大炒灶、电磁小炒炉、电磁低汤炉项目</w:t>
      </w:r>
      <w:r>
        <w:rPr>
          <w:rFonts w:hint="eastAsia" w:ascii="仿宋" w:hAnsi="仿宋" w:eastAsia="仿宋" w:cs="仿宋"/>
          <w:sz w:val="30"/>
          <w:szCs w:val="30"/>
          <w:lang w:eastAsia="zh-CN"/>
        </w:rPr>
        <w:t>进行招标</w:t>
      </w:r>
      <w:r>
        <w:rPr>
          <w:rFonts w:hint="eastAsia" w:ascii="仿宋" w:hAnsi="仿宋" w:eastAsia="仿宋" w:cs="仿宋"/>
          <w:sz w:val="30"/>
          <w:szCs w:val="30"/>
        </w:rPr>
        <w:t>，欢迎符合要求的</w:t>
      </w:r>
      <w:r>
        <w:rPr>
          <w:rFonts w:hint="eastAsia" w:ascii="仿宋" w:hAnsi="仿宋" w:eastAsia="仿宋" w:cs="仿宋"/>
          <w:sz w:val="30"/>
          <w:szCs w:val="30"/>
          <w:lang w:val="en-US" w:eastAsia="zh-CN"/>
        </w:rPr>
        <w:t>供应商</w:t>
      </w:r>
      <w:r>
        <w:rPr>
          <w:rFonts w:hint="eastAsia" w:ascii="仿宋" w:hAnsi="仿宋" w:eastAsia="仿宋" w:cs="仿宋"/>
          <w:sz w:val="30"/>
          <w:szCs w:val="30"/>
          <w:lang w:eastAsia="zh-CN"/>
        </w:rPr>
        <w:t>（以下简称“报价人”）</w:t>
      </w:r>
      <w:r>
        <w:rPr>
          <w:rFonts w:hint="eastAsia" w:ascii="仿宋" w:hAnsi="仿宋" w:eastAsia="仿宋" w:cs="仿宋"/>
          <w:sz w:val="30"/>
          <w:szCs w:val="30"/>
        </w:rPr>
        <w:t>积极参与。</w:t>
      </w:r>
    </w:p>
    <w:p w14:paraId="383256B3">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一、采购内容及相关说明。</w:t>
      </w:r>
    </w:p>
    <w:p w14:paraId="6A7A1A7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1.项目编号：</w:t>
      </w:r>
      <w:r>
        <w:rPr>
          <w:rFonts w:hint="eastAsia" w:ascii="仿宋" w:hAnsi="仿宋" w:eastAsia="仿宋" w:cs="仿宋"/>
          <w:sz w:val="30"/>
          <w:szCs w:val="30"/>
          <w:lang w:val="en-US" w:eastAsia="zh-CN"/>
        </w:rPr>
        <w:t xml:space="preserve">SX-ZH-ST-2609017  </w:t>
      </w:r>
    </w:p>
    <w:p w14:paraId="571EEE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2.内容：</w:t>
      </w:r>
    </w:p>
    <w:tbl>
      <w:tblPr>
        <w:tblStyle w:val="13"/>
        <w:tblW w:w="4723" w:type="pct"/>
        <w:jc w:val="center"/>
        <w:tblLayout w:type="fixed"/>
        <w:tblCellMar>
          <w:top w:w="0" w:type="dxa"/>
          <w:left w:w="108" w:type="dxa"/>
          <w:bottom w:w="0" w:type="dxa"/>
          <w:right w:w="108" w:type="dxa"/>
        </w:tblCellMar>
      </w:tblPr>
      <w:tblGrid>
        <w:gridCol w:w="618"/>
        <w:gridCol w:w="2600"/>
        <w:gridCol w:w="3334"/>
        <w:gridCol w:w="1144"/>
        <w:gridCol w:w="1079"/>
      </w:tblGrid>
      <w:tr w14:paraId="0507FA1D">
        <w:tblPrEx>
          <w:tblCellMar>
            <w:top w:w="0" w:type="dxa"/>
            <w:left w:w="108" w:type="dxa"/>
            <w:bottom w:w="0" w:type="dxa"/>
            <w:right w:w="108" w:type="dxa"/>
          </w:tblCellMar>
        </w:tblPrEx>
        <w:trPr>
          <w:trHeight w:val="467" w:hRule="atLeast"/>
          <w:jc w:val="center"/>
        </w:trPr>
        <w:tc>
          <w:tcPr>
            <w:tcW w:w="618" w:type="dxa"/>
            <w:tcBorders>
              <w:top w:val="single" w:color="000000" w:sz="4" w:space="0"/>
              <w:left w:val="single" w:color="000000" w:sz="4" w:space="0"/>
              <w:bottom w:val="single" w:color="000000" w:sz="4" w:space="0"/>
              <w:right w:val="single" w:color="000000" w:sz="4" w:space="0"/>
            </w:tcBorders>
            <w:noWrap/>
            <w:vAlign w:val="center"/>
          </w:tcPr>
          <w:p w14:paraId="14CC3D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600" w:type="dxa"/>
            <w:tcBorders>
              <w:top w:val="single" w:color="000000" w:sz="4" w:space="0"/>
              <w:left w:val="single" w:color="000000" w:sz="4" w:space="0"/>
              <w:bottom w:val="single" w:color="000000" w:sz="4" w:space="0"/>
              <w:right w:val="single" w:color="000000" w:sz="4" w:space="0"/>
            </w:tcBorders>
            <w:noWrap/>
            <w:vAlign w:val="center"/>
          </w:tcPr>
          <w:p w14:paraId="722320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货物名称</w:t>
            </w:r>
          </w:p>
        </w:tc>
        <w:tc>
          <w:tcPr>
            <w:tcW w:w="3334" w:type="dxa"/>
            <w:tcBorders>
              <w:top w:val="single" w:color="000000" w:sz="4" w:space="0"/>
              <w:left w:val="single" w:color="000000" w:sz="4" w:space="0"/>
              <w:bottom w:val="single" w:color="000000" w:sz="4" w:space="0"/>
              <w:right w:val="single" w:color="000000" w:sz="4" w:space="0"/>
            </w:tcBorders>
            <w:noWrap/>
            <w:vAlign w:val="center"/>
          </w:tcPr>
          <w:p w14:paraId="06B5B1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 xml:space="preserve">规格尺寸 </w:t>
            </w:r>
          </w:p>
          <w:p w14:paraId="04AFA5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(mm)</w:t>
            </w:r>
          </w:p>
        </w:tc>
        <w:tc>
          <w:tcPr>
            <w:tcW w:w="1144" w:type="dxa"/>
            <w:tcBorders>
              <w:top w:val="single" w:color="000000" w:sz="4" w:space="0"/>
              <w:left w:val="single" w:color="000000" w:sz="4" w:space="0"/>
              <w:bottom w:val="single" w:color="000000" w:sz="4" w:space="0"/>
              <w:right w:val="single" w:color="000000" w:sz="4" w:space="0"/>
            </w:tcBorders>
            <w:noWrap/>
            <w:vAlign w:val="center"/>
          </w:tcPr>
          <w:p w14:paraId="0B66D2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36133A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r>
      <w:tr w14:paraId="2AB848C2">
        <w:tblPrEx>
          <w:tblCellMar>
            <w:top w:w="0" w:type="dxa"/>
            <w:left w:w="108" w:type="dxa"/>
            <w:bottom w:w="0" w:type="dxa"/>
            <w:right w:w="108" w:type="dxa"/>
          </w:tblCellMar>
        </w:tblPrEx>
        <w:trPr>
          <w:trHeight w:val="529" w:hRule="atLeast"/>
          <w:jc w:val="center"/>
        </w:trPr>
        <w:tc>
          <w:tcPr>
            <w:tcW w:w="618" w:type="dxa"/>
            <w:tcBorders>
              <w:top w:val="single" w:color="000000" w:sz="4" w:space="0"/>
              <w:left w:val="single" w:color="000000" w:sz="4" w:space="0"/>
              <w:bottom w:val="single" w:color="000000" w:sz="4" w:space="0"/>
              <w:right w:val="single" w:color="000000" w:sz="4" w:space="0"/>
            </w:tcBorders>
            <w:noWrap/>
            <w:vAlign w:val="center"/>
          </w:tcPr>
          <w:p w14:paraId="332B6B74">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600" w:type="dxa"/>
            <w:tcBorders>
              <w:top w:val="single" w:color="000000" w:sz="4" w:space="0"/>
              <w:left w:val="single" w:color="000000" w:sz="4" w:space="0"/>
              <w:bottom w:val="single" w:color="000000" w:sz="4" w:space="0"/>
              <w:right w:val="single" w:color="000000" w:sz="4" w:space="0"/>
            </w:tcBorders>
            <w:noWrap w:val="0"/>
            <w:vAlign w:val="center"/>
          </w:tcPr>
          <w:p w14:paraId="581991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电磁双头大炒灶</w:t>
            </w:r>
          </w:p>
        </w:tc>
        <w:tc>
          <w:tcPr>
            <w:tcW w:w="3334" w:type="dxa"/>
            <w:tcBorders>
              <w:top w:val="single" w:color="000000" w:sz="4" w:space="0"/>
              <w:left w:val="single" w:color="000000" w:sz="4" w:space="0"/>
              <w:bottom w:val="single" w:color="000000" w:sz="4" w:space="0"/>
              <w:right w:val="single" w:color="000000" w:sz="4" w:space="0"/>
            </w:tcBorders>
            <w:noWrap w:val="0"/>
            <w:vAlign w:val="center"/>
          </w:tcPr>
          <w:p w14:paraId="40DFB04F">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≥2000*1100*800+400，功率:20KW*2/380V（具体参数见附件）</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14:paraId="4FE3DC62">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sz w:val="24"/>
                <w:szCs w:val="24"/>
                <w:highlight w:val="none"/>
                <w:u w:val="none"/>
                <w:lang w:val="en-US" w:eastAsia="zh-CN"/>
              </w:rPr>
              <w:t>1</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14:paraId="4026F1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r>
      <w:tr w14:paraId="76F64C62">
        <w:tblPrEx>
          <w:tblCellMar>
            <w:top w:w="0" w:type="dxa"/>
            <w:left w:w="108" w:type="dxa"/>
            <w:bottom w:w="0" w:type="dxa"/>
            <w:right w:w="108" w:type="dxa"/>
          </w:tblCellMar>
        </w:tblPrEx>
        <w:trPr>
          <w:trHeight w:val="529" w:hRule="atLeast"/>
          <w:jc w:val="center"/>
        </w:trPr>
        <w:tc>
          <w:tcPr>
            <w:tcW w:w="618" w:type="dxa"/>
            <w:tcBorders>
              <w:top w:val="single" w:color="000000" w:sz="4" w:space="0"/>
              <w:left w:val="single" w:color="000000" w:sz="4" w:space="0"/>
              <w:bottom w:val="single" w:color="000000" w:sz="4" w:space="0"/>
              <w:right w:val="single" w:color="000000" w:sz="4" w:space="0"/>
            </w:tcBorders>
            <w:noWrap/>
            <w:vAlign w:val="center"/>
          </w:tcPr>
          <w:p w14:paraId="50730A8A">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600" w:type="dxa"/>
            <w:tcBorders>
              <w:top w:val="single" w:color="000000" w:sz="4" w:space="0"/>
              <w:left w:val="single" w:color="000000" w:sz="4" w:space="0"/>
              <w:bottom w:val="single" w:color="000000" w:sz="4" w:space="0"/>
              <w:right w:val="single" w:color="000000" w:sz="4" w:space="0"/>
            </w:tcBorders>
            <w:noWrap w:val="0"/>
            <w:vAlign w:val="center"/>
          </w:tcPr>
          <w:p w14:paraId="4D82F5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电磁小炒炉</w:t>
            </w:r>
          </w:p>
        </w:tc>
        <w:tc>
          <w:tcPr>
            <w:tcW w:w="3334" w:type="dxa"/>
            <w:tcBorders>
              <w:top w:val="single" w:color="000000" w:sz="4" w:space="0"/>
              <w:left w:val="single" w:color="000000" w:sz="4" w:space="0"/>
              <w:bottom w:val="single" w:color="000000" w:sz="4" w:space="0"/>
              <w:right w:val="single" w:color="000000" w:sz="4" w:space="0"/>
            </w:tcBorders>
            <w:noWrap w:val="0"/>
            <w:vAlign w:val="center"/>
          </w:tcPr>
          <w:p w14:paraId="2DE493D8">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≥1000*1100*800+400，功率:15kW/380V（具体参数见附件）</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14:paraId="2FADEE6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14:paraId="571284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r>
      <w:tr w14:paraId="5CDD5145">
        <w:tblPrEx>
          <w:tblCellMar>
            <w:top w:w="0" w:type="dxa"/>
            <w:left w:w="108" w:type="dxa"/>
            <w:bottom w:w="0" w:type="dxa"/>
            <w:right w:w="108" w:type="dxa"/>
          </w:tblCellMar>
        </w:tblPrEx>
        <w:trPr>
          <w:trHeight w:val="529" w:hRule="atLeast"/>
          <w:jc w:val="center"/>
        </w:trPr>
        <w:tc>
          <w:tcPr>
            <w:tcW w:w="618" w:type="dxa"/>
            <w:tcBorders>
              <w:top w:val="single" w:color="000000" w:sz="4" w:space="0"/>
              <w:left w:val="single" w:color="000000" w:sz="4" w:space="0"/>
              <w:bottom w:val="single" w:color="000000" w:sz="4" w:space="0"/>
              <w:right w:val="single" w:color="000000" w:sz="4" w:space="0"/>
            </w:tcBorders>
            <w:noWrap/>
            <w:vAlign w:val="center"/>
          </w:tcPr>
          <w:p w14:paraId="70A4C2AD">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600" w:type="dxa"/>
            <w:tcBorders>
              <w:top w:val="single" w:color="000000" w:sz="4" w:space="0"/>
              <w:left w:val="single" w:color="000000" w:sz="4" w:space="0"/>
              <w:bottom w:val="single" w:color="000000" w:sz="4" w:space="0"/>
              <w:right w:val="single" w:color="000000" w:sz="4" w:space="0"/>
            </w:tcBorders>
            <w:noWrap w:val="0"/>
            <w:vAlign w:val="center"/>
          </w:tcPr>
          <w:p w14:paraId="3EB357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电磁低汤炉</w:t>
            </w:r>
          </w:p>
        </w:tc>
        <w:tc>
          <w:tcPr>
            <w:tcW w:w="3334" w:type="dxa"/>
            <w:tcBorders>
              <w:top w:val="single" w:color="000000" w:sz="4" w:space="0"/>
              <w:left w:val="single" w:color="000000" w:sz="4" w:space="0"/>
              <w:bottom w:val="single" w:color="000000" w:sz="4" w:space="0"/>
              <w:right w:val="single" w:color="000000" w:sz="4" w:space="0"/>
            </w:tcBorders>
            <w:noWrap w:val="0"/>
            <w:vAlign w:val="center"/>
          </w:tcPr>
          <w:p w14:paraId="34DD10AB">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≥700*800*600+600，功率:15KW/380V（具体参数见附件）</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14:paraId="153E47E5">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14:paraId="2FFA4E4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r>
      <w:tr w14:paraId="79B79C9B">
        <w:tblPrEx>
          <w:tblCellMar>
            <w:top w:w="0" w:type="dxa"/>
            <w:left w:w="108" w:type="dxa"/>
            <w:bottom w:w="0" w:type="dxa"/>
            <w:right w:w="108" w:type="dxa"/>
          </w:tblCellMar>
        </w:tblPrEx>
        <w:trPr>
          <w:trHeight w:val="529" w:hRule="atLeast"/>
          <w:jc w:val="center"/>
        </w:trPr>
        <w:tc>
          <w:tcPr>
            <w:tcW w:w="618" w:type="dxa"/>
            <w:tcBorders>
              <w:top w:val="single" w:color="000000" w:sz="4" w:space="0"/>
              <w:left w:val="single" w:color="000000" w:sz="4" w:space="0"/>
              <w:bottom w:val="single" w:color="000000" w:sz="4" w:space="0"/>
              <w:right w:val="single" w:color="000000" w:sz="4" w:space="0"/>
            </w:tcBorders>
            <w:noWrap/>
            <w:vAlign w:val="center"/>
          </w:tcPr>
          <w:p w14:paraId="1349C718">
            <w:pPr>
              <w:keepNext w:val="0"/>
              <w:keepLines w:val="0"/>
              <w:pageBreakBefore w:val="0"/>
              <w:widowControl/>
              <w:numPr>
                <w:ilvl w:val="0"/>
                <w:numId w:val="2"/>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600" w:type="dxa"/>
            <w:tcBorders>
              <w:top w:val="single" w:color="000000" w:sz="4" w:space="0"/>
              <w:left w:val="single" w:color="000000" w:sz="4" w:space="0"/>
              <w:bottom w:val="single" w:color="000000" w:sz="4" w:space="0"/>
              <w:right w:val="single" w:color="000000" w:sz="4" w:space="0"/>
            </w:tcBorders>
            <w:noWrap w:val="0"/>
            <w:vAlign w:val="center"/>
          </w:tcPr>
          <w:p w14:paraId="629BAA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配电箱及电源进线</w:t>
            </w:r>
          </w:p>
        </w:tc>
        <w:tc>
          <w:tcPr>
            <w:tcW w:w="3334" w:type="dxa"/>
            <w:tcBorders>
              <w:top w:val="single" w:color="000000" w:sz="4" w:space="0"/>
              <w:left w:val="single" w:color="000000" w:sz="4" w:space="0"/>
              <w:bottom w:val="single" w:color="000000" w:sz="4" w:space="0"/>
              <w:right w:val="single" w:color="000000" w:sz="4" w:space="0"/>
            </w:tcBorders>
            <w:noWrap w:val="0"/>
            <w:vAlign w:val="center"/>
          </w:tcPr>
          <w:p w14:paraId="0776AC1B">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304不锈钢材质，厚度≥1.2mm，防水等级IP55（具体参数见附件）</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14:paraId="32165E4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noWrap w:val="0"/>
            <w:vAlign w:val="center"/>
          </w:tcPr>
          <w:p w14:paraId="74AFB8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套</w:t>
            </w:r>
          </w:p>
        </w:tc>
      </w:tr>
      <w:tr w14:paraId="5CCD3400">
        <w:tblPrEx>
          <w:tblCellMar>
            <w:top w:w="0" w:type="dxa"/>
            <w:left w:w="108" w:type="dxa"/>
            <w:bottom w:w="0" w:type="dxa"/>
            <w:right w:w="108" w:type="dxa"/>
          </w:tblCellMar>
        </w:tblPrEx>
        <w:trPr>
          <w:trHeight w:val="529" w:hRule="atLeast"/>
          <w:jc w:val="center"/>
        </w:trPr>
        <w:tc>
          <w:tcPr>
            <w:tcW w:w="8775" w:type="dxa"/>
            <w:gridSpan w:val="5"/>
            <w:tcBorders>
              <w:top w:val="single" w:color="000000" w:sz="4" w:space="0"/>
              <w:left w:val="single" w:color="000000" w:sz="4" w:space="0"/>
              <w:bottom w:val="single" w:color="000000" w:sz="4" w:space="0"/>
              <w:right w:val="single" w:color="000000" w:sz="4" w:space="0"/>
            </w:tcBorders>
            <w:noWrap/>
            <w:vAlign w:val="center"/>
          </w:tcPr>
          <w:p w14:paraId="51138DC5">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备注：本报价为固定总价，包含旧设备拆除清运、新设备安装调试。针对第4项配电系统，服务方须到现场测量电缆线路及长度，评估施工环境难度。所有因现场实际情况（如距离超预期、施工环境复杂）产生的材料费及人工费均包含在总价中，采购人不再另行支付任何费用。设备详细技术要求见附件五。</w:t>
            </w:r>
          </w:p>
        </w:tc>
      </w:tr>
    </w:tbl>
    <w:p w14:paraId="16C56E07">
      <w:pPr>
        <w:rPr>
          <w:rFonts w:hint="eastAsia"/>
          <w:highlight w:val="none"/>
        </w:rPr>
      </w:pPr>
    </w:p>
    <w:p w14:paraId="4062610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kern w:val="2"/>
          <w:sz w:val="30"/>
          <w:szCs w:val="30"/>
          <w:highlight w:val="none"/>
          <w:lang w:val="en-US" w:eastAsia="zh-CN" w:bidi="ar-SA"/>
        </w:rPr>
      </w:pPr>
      <w:r>
        <w:rPr>
          <w:rFonts w:hint="eastAsia" w:ascii="仿宋" w:hAnsi="仿宋" w:eastAsia="仿宋" w:cs="仿宋"/>
          <w:kern w:val="2"/>
          <w:sz w:val="30"/>
          <w:szCs w:val="30"/>
          <w:highlight w:val="none"/>
          <w:lang w:val="en-US" w:eastAsia="zh-CN" w:bidi="ar-SA"/>
        </w:rPr>
        <w:t>3.工作量：</w:t>
      </w:r>
    </w:p>
    <w:p w14:paraId="0B88EA29">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旧设备拆除与清运</w:t>
      </w:r>
    </w:p>
    <w:p w14:paraId="709BBC67">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拆除旧燃气/电灶具，切断水电气接口，清理建筑垃圾。</w:t>
      </w:r>
    </w:p>
    <w:p w14:paraId="739372FF">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新设备安装与调试</w:t>
      </w:r>
    </w:p>
    <w:p w14:paraId="0EA6B7FE">
      <w:pPr>
        <w:pStyle w:val="12"/>
        <w:snapToGrid/>
        <w:spacing w:line="360" w:lineRule="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搬运就位，配置1个灶具电源控制箱，采购、敷设电缆并接线。接驳给排水管，通电测试及试运行。</w:t>
      </w:r>
    </w:p>
    <w:p w14:paraId="5BC13A9A">
      <w:pPr>
        <w:pStyle w:val="12"/>
        <w:numPr>
          <w:ilvl w:val="0"/>
          <w:numId w:val="0"/>
        </w:numPr>
        <w:snapToGrid/>
        <w:spacing w:line="360" w:lineRule="auto"/>
        <w:ind w:firstLine="600" w:firstLineChars="200"/>
        <w:rPr>
          <w:rFonts w:hint="eastAsia" w:ascii="仿宋" w:hAnsi="仿宋" w:eastAsia="仿宋" w:cs="仿宋"/>
          <w:sz w:val="30"/>
          <w:szCs w:val="30"/>
          <w:lang w:val="en-US" w:eastAsia="zh-CN"/>
        </w:rPr>
      </w:pPr>
      <w:r>
        <w:rPr>
          <w:rFonts w:hint="eastAsia" w:ascii="仿宋" w:hAnsi="仿宋" w:eastAsia="仿宋" w:cs="仿宋"/>
          <w:kern w:val="2"/>
          <w:sz w:val="30"/>
          <w:szCs w:val="30"/>
          <w:lang w:val="en-US" w:eastAsia="zh-CN" w:bidi="ar-SA"/>
        </w:rPr>
        <w:t>4.</w:t>
      </w:r>
      <w:r>
        <w:rPr>
          <w:rFonts w:hint="eastAsia" w:ascii="仿宋" w:hAnsi="仿宋" w:eastAsia="仿宋" w:cs="仿宋"/>
          <w:sz w:val="30"/>
          <w:szCs w:val="30"/>
          <w:lang w:val="en-US" w:eastAsia="zh-CN"/>
        </w:rPr>
        <w:t>施工人员资质及安全保障要求：</w:t>
      </w:r>
    </w:p>
    <w:p w14:paraId="3DBB0E24">
      <w:pPr>
        <w:pStyle w:val="12"/>
        <w:numPr>
          <w:ilvl w:val="0"/>
          <w:numId w:val="0"/>
        </w:numPr>
        <w:snapToGrid/>
        <w:spacing w:line="360" w:lineRule="auto"/>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报价人指派的所有进场施工人员，必须严格遵守国家及地方安全生产规范。其中，涉及电气线路敷设、配电箱接驳等特种作业人员，必须持有国家应急管理部门颁发的有效《特种作业操作证（电工）》，并做到持证上岗。同时，报价人必须为所有进场施工人员购买足额的人身意外伤害保险或工伤保险（保额不低于人民币20万元/人）。报价人须在进场前向采购人提交上述证件及保单复</w:t>
      </w:r>
      <w:r>
        <w:rPr>
          <w:rFonts w:hint="eastAsia" w:ascii="仿宋" w:hAnsi="仿宋" w:eastAsia="仿宋" w:cs="仿宋"/>
          <w:sz w:val="30"/>
          <w:szCs w:val="30"/>
          <w:highlight w:val="none"/>
          <w:lang w:val="en-US" w:eastAsia="zh-CN"/>
        </w:rPr>
        <w:t>印件备案，未按要求提供或证件过期的，采购人有权拒绝其进场施工。</w:t>
      </w:r>
    </w:p>
    <w:p w14:paraId="27EF636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5.其他要求：报价人须对施工现场进行全面踏勘，自行核实电缆铺设路径及长度，并将相关风险计入投标报价。本项目为包工包料项目，中标价格即为最终结算价格。凡是为实现项目功能所必需但未在投标文件中列明的材料或服务（如辅材、额外线缆长度等），均视为已包含在总价中，采购人不再另行支付任何费用</w:t>
      </w:r>
    </w:p>
    <w:p w14:paraId="2DF3CD1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6.</w:t>
      </w:r>
      <w:r>
        <w:rPr>
          <w:rFonts w:hint="eastAsia" w:ascii="仿宋" w:hAnsi="仿宋" w:eastAsia="仿宋" w:cs="仿宋"/>
          <w:sz w:val="30"/>
          <w:szCs w:val="30"/>
        </w:rPr>
        <w:t>本项目总金额限价为</w:t>
      </w:r>
      <w:r>
        <w:rPr>
          <w:rFonts w:hint="eastAsia" w:ascii="仿宋" w:hAnsi="仿宋" w:eastAsia="仿宋" w:cs="仿宋"/>
          <w:sz w:val="30"/>
          <w:szCs w:val="30"/>
          <w:lang w:eastAsia="zh-CN"/>
        </w:rPr>
        <w:t>人民币7.3</w:t>
      </w:r>
      <w:r>
        <w:rPr>
          <w:rFonts w:hint="eastAsia" w:ascii="仿宋" w:hAnsi="仿宋" w:eastAsia="仿宋" w:cs="仿宋"/>
          <w:sz w:val="30"/>
          <w:szCs w:val="30"/>
          <w:lang w:val="en-US" w:eastAsia="zh-CN"/>
        </w:rPr>
        <w:t>万</w:t>
      </w:r>
      <w:r>
        <w:rPr>
          <w:rFonts w:hint="eastAsia" w:ascii="仿宋" w:hAnsi="仿宋" w:eastAsia="仿宋" w:cs="仿宋"/>
          <w:sz w:val="30"/>
          <w:szCs w:val="30"/>
        </w:rPr>
        <w:t>元</w:t>
      </w:r>
      <w:r>
        <w:rPr>
          <w:rFonts w:hint="eastAsia" w:ascii="仿宋" w:hAnsi="仿宋" w:eastAsia="仿宋" w:cs="仿宋"/>
          <w:sz w:val="30"/>
          <w:szCs w:val="30"/>
          <w:lang w:eastAsia="zh-CN"/>
        </w:rPr>
        <w:t>。</w:t>
      </w:r>
    </w:p>
    <w:p w14:paraId="1437BFE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二、报价人要求。</w:t>
      </w:r>
    </w:p>
    <w:p w14:paraId="3FB6369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1.报价人必须是在中华人民共和国境内注册，具有独立法人资格和独立承担民事责任的能力；投标人经营范围须包含相关资质。</w:t>
      </w:r>
    </w:p>
    <w:p w14:paraId="00BDC82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报价人</w:t>
      </w:r>
      <w:r>
        <w:rPr>
          <w:rFonts w:hint="eastAsia" w:ascii="仿宋" w:hAnsi="仿宋" w:eastAsia="仿宋" w:cs="仿宋"/>
          <w:sz w:val="30"/>
          <w:szCs w:val="30"/>
        </w:rPr>
        <w:t>在“信用中国”（www.creditchina.gov.cn）、中国政府采购网（www.ccgp.gov.cn）等</w:t>
      </w:r>
      <w:r>
        <w:rPr>
          <w:rFonts w:hint="eastAsia" w:ascii="仿宋" w:hAnsi="仿宋" w:eastAsia="仿宋" w:cs="仿宋"/>
          <w:sz w:val="30"/>
          <w:szCs w:val="30"/>
          <w:lang w:eastAsia="zh-CN"/>
        </w:rPr>
        <w:t>其他</w:t>
      </w:r>
      <w:r>
        <w:rPr>
          <w:rFonts w:hint="eastAsia" w:ascii="仿宋" w:hAnsi="仿宋" w:eastAsia="仿宋" w:cs="仿宋"/>
          <w:sz w:val="30"/>
          <w:szCs w:val="30"/>
        </w:rPr>
        <w:t>官方网站没有被列入失信被执行人、重大税收违法案件当事人名单、政府采购严重违法失信行为记录名单、有责合同纠纷、重点关注名单、黑名单等不良记录；</w:t>
      </w:r>
    </w:p>
    <w:p w14:paraId="74C0370C">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3.报价单位负责人为同一人或者存在控股、管理关系的不同单位，不得同时参加本项目。  </w:t>
      </w:r>
    </w:p>
    <w:p w14:paraId="2BF3258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4.本项目不接受联合体报价，不接受分包。</w:t>
      </w:r>
    </w:p>
    <w:p w14:paraId="31202C6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bookmarkStart w:id="7" w:name="_Toc530583880"/>
      <w:bookmarkStart w:id="8" w:name="_Toc530583923"/>
      <w:r>
        <w:rPr>
          <w:rFonts w:hint="eastAsia" w:ascii="仿宋_GB2312" w:eastAsia="仿宋_GB2312"/>
          <w:b/>
          <w:bCs/>
          <w:sz w:val="30"/>
          <w:szCs w:val="30"/>
          <w:lang w:eastAsia="zh-CN"/>
        </w:rPr>
        <w:t>三</w:t>
      </w:r>
      <w:r>
        <w:rPr>
          <w:rFonts w:hint="eastAsia" w:ascii="仿宋_GB2312" w:eastAsia="仿宋_GB2312"/>
          <w:b/>
          <w:bCs/>
          <w:sz w:val="30"/>
          <w:szCs w:val="30"/>
        </w:rPr>
        <w:t>、</w:t>
      </w:r>
      <w:r>
        <w:rPr>
          <w:rFonts w:hint="eastAsia" w:ascii="仿宋_GB2312" w:eastAsia="仿宋_GB2312"/>
          <w:b/>
          <w:bCs/>
          <w:sz w:val="30"/>
          <w:szCs w:val="30"/>
          <w:lang w:eastAsia="zh-CN"/>
        </w:rPr>
        <w:t>开标</w:t>
      </w:r>
      <w:r>
        <w:rPr>
          <w:rFonts w:hint="eastAsia" w:ascii="仿宋_GB2312" w:eastAsia="仿宋_GB2312"/>
          <w:b/>
          <w:bCs/>
          <w:sz w:val="30"/>
          <w:szCs w:val="30"/>
        </w:rPr>
        <w:t>时间及递交方式。</w:t>
      </w:r>
    </w:p>
    <w:p w14:paraId="0AA8C9E1">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1.</w:t>
      </w:r>
      <w:r>
        <w:rPr>
          <w:rFonts w:hint="eastAsia" w:ascii="仿宋_GB2312" w:eastAsia="仿宋_GB2312"/>
          <w:sz w:val="30"/>
          <w:szCs w:val="30"/>
          <w:lang w:eastAsia="zh-CN"/>
        </w:rPr>
        <w:t>开标</w:t>
      </w:r>
      <w:r>
        <w:rPr>
          <w:rFonts w:hint="eastAsia" w:ascii="仿宋_GB2312" w:eastAsia="仿宋_GB2312"/>
          <w:sz w:val="30"/>
          <w:szCs w:val="30"/>
        </w:rPr>
        <w:t>时间：202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11月6</w:t>
      </w:r>
      <w:r>
        <w:rPr>
          <w:rFonts w:hint="eastAsia" w:ascii="仿宋_GB2312" w:eastAsia="仿宋_GB2312"/>
          <w:sz w:val="30"/>
          <w:szCs w:val="30"/>
        </w:rPr>
        <w:t>日。</w:t>
      </w:r>
      <w:bookmarkStart w:id="36" w:name="_GoBack"/>
      <w:bookmarkEnd w:id="36"/>
    </w:p>
    <w:p w14:paraId="413918B7">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2.</w:t>
      </w:r>
      <w:r>
        <w:rPr>
          <w:rFonts w:hint="eastAsia" w:ascii="仿宋_GB2312" w:eastAsia="仿宋_GB2312"/>
          <w:sz w:val="30"/>
          <w:szCs w:val="30"/>
          <w:lang w:eastAsia="zh-CN"/>
        </w:rPr>
        <w:t>开标</w:t>
      </w:r>
      <w:r>
        <w:rPr>
          <w:rFonts w:hint="eastAsia" w:ascii="仿宋_GB2312" w:eastAsia="仿宋_GB2312"/>
          <w:sz w:val="30"/>
          <w:szCs w:val="30"/>
        </w:rPr>
        <w:t>地点：</w:t>
      </w:r>
      <w:r>
        <w:rPr>
          <w:rFonts w:hint="eastAsia" w:ascii="仿宋_GB2312" w:eastAsia="仿宋_GB2312"/>
          <w:sz w:val="30"/>
          <w:szCs w:val="30"/>
          <w:lang w:eastAsia="zh-CN"/>
        </w:rPr>
        <w:t>浙江省绍兴市柯桥区钱滨线二线海塘绍兴市再生能源发展有限公司。</w:t>
      </w:r>
    </w:p>
    <w:p w14:paraId="00939C8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rPr>
        <w:t>3.报价文件的递交：</w:t>
      </w:r>
    </w:p>
    <w:p w14:paraId="33FF4D8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b/>
          <w:bCs/>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1</w:t>
      </w:r>
      <w:r>
        <w:rPr>
          <w:rFonts w:hint="eastAsia" w:ascii="仿宋_GB2312" w:eastAsia="仿宋_GB2312"/>
          <w:sz w:val="30"/>
          <w:szCs w:val="30"/>
          <w:lang w:eastAsia="zh-CN"/>
        </w:rPr>
        <w:t>）本次询价开标采用线</w:t>
      </w:r>
      <w:r>
        <w:rPr>
          <w:rFonts w:hint="eastAsia" w:ascii="仿宋_GB2312" w:eastAsia="仿宋_GB2312"/>
          <w:sz w:val="30"/>
          <w:szCs w:val="30"/>
          <w:lang w:val="en-US" w:eastAsia="zh-CN"/>
        </w:rPr>
        <w:t>下开标</w:t>
      </w:r>
      <w:r>
        <w:rPr>
          <w:rFonts w:hint="eastAsia" w:ascii="仿宋_GB2312" w:eastAsia="仿宋_GB2312"/>
          <w:sz w:val="30"/>
          <w:szCs w:val="30"/>
          <w:lang w:eastAsia="zh-CN"/>
        </w:rPr>
        <w:t>方式，报价人需在开标时间前将报价文件递交至绍兴市再生能源发展有限公司综合楼一楼投标箱。报价人可</w:t>
      </w:r>
      <w:r>
        <w:rPr>
          <w:rFonts w:hint="eastAsia" w:ascii="仿宋_GB2312" w:eastAsia="仿宋_GB2312"/>
          <w:sz w:val="30"/>
          <w:szCs w:val="30"/>
        </w:rPr>
        <w:t>现场提交</w:t>
      </w:r>
      <w:r>
        <w:rPr>
          <w:rFonts w:hint="eastAsia" w:ascii="仿宋_GB2312" w:eastAsia="仿宋_GB2312"/>
          <w:sz w:val="30"/>
          <w:szCs w:val="30"/>
          <w:lang w:eastAsia="zh-CN"/>
        </w:rPr>
        <w:t>报价</w:t>
      </w:r>
      <w:r>
        <w:rPr>
          <w:rFonts w:hint="eastAsia" w:ascii="仿宋_GB2312" w:eastAsia="仿宋_GB2312"/>
          <w:sz w:val="30"/>
          <w:szCs w:val="30"/>
        </w:rPr>
        <w:t>文件</w:t>
      </w:r>
      <w:r>
        <w:rPr>
          <w:rFonts w:hint="eastAsia" w:ascii="仿宋_GB2312" w:eastAsia="仿宋_GB2312"/>
          <w:sz w:val="30"/>
          <w:szCs w:val="30"/>
          <w:lang w:eastAsia="zh-CN"/>
        </w:rPr>
        <w:t>，也可以通过邮寄（快递）递交报价文件，</w:t>
      </w:r>
      <w:r>
        <w:rPr>
          <w:rFonts w:hint="eastAsia" w:ascii="仿宋" w:hAnsi="仿宋" w:eastAsia="仿宋" w:cs="仿宋"/>
          <w:color w:val="auto"/>
          <w:sz w:val="30"/>
          <w:szCs w:val="30"/>
          <w:highlight w:val="none"/>
          <w:lang w:eastAsia="zh-CN"/>
        </w:rPr>
        <w:t>报价人在报价文件寄出后，应将邮寄信息及时反馈给采购人收件人。</w:t>
      </w:r>
    </w:p>
    <w:p w14:paraId="2F8A847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eastAsia="仿宋_GB2312"/>
          <w:sz w:val="30"/>
          <w:szCs w:val="30"/>
          <w:lang w:val="en-US" w:eastAsia="zh-CN"/>
        </w:rPr>
      </w:pPr>
      <w:r>
        <w:rPr>
          <w:rFonts w:hint="eastAsia" w:ascii="仿宋_GB2312" w:eastAsia="仿宋_GB2312"/>
          <w:sz w:val="30"/>
          <w:szCs w:val="30"/>
          <w:lang w:eastAsia="zh-CN"/>
        </w:rPr>
        <w:t>（</w:t>
      </w:r>
      <w:r>
        <w:rPr>
          <w:rFonts w:hint="eastAsia" w:ascii="仿宋_GB2312" w:eastAsia="仿宋_GB2312"/>
          <w:sz w:val="30"/>
          <w:szCs w:val="30"/>
          <w:lang w:val="en-US" w:eastAsia="zh-CN"/>
        </w:rPr>
        <w:t>2</w:t>
      </w:r>
      <w:r>
        <w:rPr>
          <w:rFonts w:hint="eastAsia" w:ascii="仿宋_GB2312" w:eastAsia="仿宋_GB2312"/>
          <w:sz w:val="30"/>
          <w:szCs w:val="30"/>
          <w:lang w:eastAsia="zh-CN"/>
        </w:rPr>
        <w:t>）</w:t>
      </w:r>
      <w:r>
        <w:rPr>
          <w:rFonts w:hint="eastAsia" w:ascii="仿宋_GB2312" w:eastAsia="仿宋_GB2312"/>
          <w:sz w:val="30"/>
          <w:szCs w:val="30"/>
        </w:rPr>
        <w:t>邮寄地址：</w:t>
      </w:r>
      <w:r>
        <w:rPr>
          <w:rFonts w:hint="eastAsia" w:ascii="仿宋_GB2312" w:eastAsia="仿宋_GB2312"/>
          <w:sz w:val="30"/>
          <w:szCs w:val="30"/>
          <w:lang w:eastAsia="zh-CN"/>
        </w:rPr>
        <w:t>浙江省绍兴市柯桥区钱滨线二线海塘绍兴市再生能源发展有限公司</w:t>
      </w:r>
      <w:r>
        <w:rPr>
          <w:rFonts w:hint="eastAsia" w:ascii="仿宋_GB2312" w:eastAsia="仿宋_GB2312"/>
          <w:sz w:val="30"/>
          <w:szCs w:val="30"/>
        </w:rPr>
        <w:t>  </w:t>
      </w:r>
      <w:r>
        <w:rPr>
          <w:rFonts w:hint="eastAsia" w:ascii="仿宋_GB2312" w:eastAsia="仿宋_GB2312"/>
          <w:sz w:val="30"/>
          <w:szCs w:val="30"/>
          <w:lang w:eastAsia="zh-CN"/>
        </w:rPr>
        <w:t xml:space="preserve"> 采购供应部 </w:t>
      </w:r>
      <w:r>
        <w:rPr>
          <w:rFonts w:hint="eastAsia" w:ascii="仿宋_GB2312" w:eastAsia="仿宋_GB2312"/>
          <w:sz w:val="30"/>
          <w:szCs w:val="30"/>
          <w:lang w:val="en-US" w:eastAsia="zh-CN"/>
        </w:rPr>
        <w:t>0575-85791913</w:t>
      </w:r>
    </w:p>
    <w:p w14:paraId="3A7894C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highlight w:val="none"/>
        </w:rPr>
      </w:pPr>
      <w:r>
        <w:rPr>
          <w:rFonts w:hint="eastAsia" w:ascii="仿宋_GB2312" w:eastAsia="仿宋_GB2312"/>
          <w:sz w:val="30"/>
          <w:szCs w:val="30"/>
          <w:lang w:eastAsia="zh-CN"/>
        </w:rPr>
        <w:t>（</w:t>
      </w:r>
      <w:r>
        <w:rPr>
          <w:rFonts w:hint="eastAsia" w:ascii="仿宋_GB2312" w:eastAsia="仿宋_GB2312"/>
          <w:sz w:val="30"/>
          <w:szCs w:val="30"/>
          <w:lang w:val="en-US" w:eastAsia="zh-CN"/>
        </w:rPr>
        <w:t>3</w:t>
      </w:r>
      <w:r>
        <w:rPr>
          <w:rFonts w:hint="eastAsia" w:ascii="仿宋_GB2312" w:eastAsia="仿宋_GB2312"/>
          <w:sz w:val="30"/>
          <w:szCs w:val="30"/>
          <w:lang w:eastAsia="zh-CN"/>
        </w:rPr>
        <w:t>）</w:t>
      </w:r>
      <w:r>
        <w:rPr>
          <w:rFonts w:hint="eastAsia" w:ascii="仿宋_GB2312" w:eastAsia="仿宋_GB2312"/>
          <w:sz w:val="30"/>
          <w:szCs w:val="30"/>
        </w:rPr>
        <w:t>报价文件邮寄封装要求：</w:t>
      </w:r>
      <w:r>
        <w:rPr>
          <w:rFonts w:hint="eastAsia" w:ascii="仿宋_GB2312" w:eastAsia="仿宋_GB2312"/>
          <w:sz w:val="30"/>
          <w:szCs w:val="30"/>
          <w:lang w:eastAsia="zh-CN"/>
        </w:rPr>
        <w:t>报价人</w:t>
      </w:r>
      <w:r>
        <w:rPr>
          <w:rFonts w:hint="eastAsia" w:ascii="仿宋_GB2312" w:eastAsia="仿宋_GB2312"/>
          <w:sz w:val="30"/>
          <w:szCs w:val="30"/>
        </w:rPr>
        <w:t>除按照文件要求封装报价文件外，还需在快递外包装上醒目注明项目名称、</w:t>
      </w:r>
      <w:r>
        <w:rPr>
          <w:rFonts w:hint="eastAsia" w:ascii="仿宋_GB2312" w:eastAsia="仿宋_GB2312"/>
          <w:sz w:val="30"/>
          <w:szCs w:val="30"/>
          <w:lang w:eastAsia="zh-CN"/>
        </w:rPr>
        <w:t>询价</w:t>
      </w:r>
      <w:r>
        <w:rPr>
          <w:rFonts w:hint="eastAsia" w:ascii="仿宋_GB2312" w:eastAsia="仿宋_GB2312"/>
          <w:sz w:val="30"/>
          <w:szCs w:val="30"/>
        </w:rPr>
        <w:t>编号，且注明报价人联系人、联系人电话；快递包装务必牢固可靠，因包装原因出现影响</w:t>
      </w:r>
      <w:r>
        <w:rPr>
          <w:rFonts w:hint="eastAsia" w:ascii="仿宋_GB2312" w:eastAsia="仿宋_GB2312"/>
          <w:sz w:val="30"/>
          <w:szCs w:val="30"/>
          <w:lang w:val="en-US" w:eastAsia="zh-CN"/>
        </w:rPr>
        <w:t>报价</w:t>
      </w:r>
      <w:r>
        <w:rPr>
          <w:rFonts w:hint="eastAsia" w:ascii="仿宋_GB2312" w:eastAsia="仿宋_GB2312"/>
          <w:sz w:val="30"/>
          <w:szCs w:val="30"/>
        </w:rPr>
        <w:t>文件完整性、密封性等后果由</w:t>
      </w:r>
      <w:r>
        <w:rPr>
          <w:rFonts w:hint="eastAsia" w:ascii="仿宋_GB2312" w:eastAsia="仿宋_GB2312"/>
          <w:sz w:val="30"/>
          <w:szCs w:val="30"/>
          <w:lang w:eastAsia="zh-CN"/>
        </w:rPr>
        <w:t>报价人</w:t>
      </w:r>
      <w:r>
        <w:rPr>
          <w:rFonts w:hint="eastAsia" w:ascii="仿宋_GB2312" w:eastAsia="仿宋_GB2312"/>
          <w:sz w:val="30"/>
          <w:szCs w:val="30"/>
        </w:rPr>
        <w:t>自行负责</w:t>
      </w:r>
      <w:r>
        <w:rPr>
          <w:rFonts w:hint="eastAsia" w:ascii="仿宋_GB2312" w:eastAsia="仿宋_GB2312"/>
          <w:sz w:val="30"/>
          <w:szCs w:val="30"/>
          <w:highlight w:val="none"/>
        </w:rPr>
        <w:t>。</w:t>
      </w:r>
      <w:r>
        <w:rPr>
          <w:rFonts w:hint="eastAsia" w:ascii="仿宋_GB2312" w:eastAsia="仿宋_GB2312"/>
          <w:color w:val="FF0000"/>
          <w:sz w:val="30"/>
          <w:szCs w:val="30"/>
          <w:highlight w:val="none"/>
          <w:lang w:val="en-US" w:eastAsia="zh-CN"/>
        </w:rPr>
        <w:t>本招标文件内有资质要求，报价人需另行分装报价资格一览表，封装方式需与报价文件相同，且需在快递包装上醒目注明报价资格表、项目名称、询价编号，报价人联系人、联系人电话。</w:t>
      </w:r>
    </w:p>
    <w:p w14:paraId="69476E1C">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w:t>
      </w:r>
      <w:r>
        <w:rPr>
          <w:rFonts w:hint="eastAsia" w:ascii="仿宋_GB2312" w:eastAsia="仿宋_GB2312"/>
          <w:sz w:val="30"/>
          <w:szCs w:val="30"/>
          <w:lang w:val="en-US" w:eastAsia="zh-CN"/>
        </w:rPr>
        <w:t>4</w:t>
      </w:r>
      <w:r>
        <w:rPr>
          <w:rFonts w:hint="eastAsia" w:ascii="仿宋_GB2312" w:eastAsia="仿宋_GB2312"/>
          <w:sz w:val="30"/>
          <w:szCs w:val="30"/>
          <w:lang w:eastAsia="zh-CN"/>
        </w:rPr>
        <w:t>）</w:t>
      </w:r>
      <w:r>
        <w:rPr>
          <w:rFonts w:hint="eastAsia" w:ascii="仿宋_GB2312" w:eastAsia="仿宋_GB2312"/>
          <w:sz w:val="30"/>
          <w:szCs w:val="30"/>
        </w:rPr>
        <w:t>报价文件邮递递交截止时间：截至202</w:t>
      </w:r>
      <w:r>
        <w:rPr>
          <w:rFonts w:hint="eastAsia" w:ascii="仿宋_GB2312" w:eastAsia="仿宋_GB2312"/>
          <w:sz w:val="30"/>
          <w:szCs w:val="30"/>
          <w:lang w:val="en-US" w:eastAsia="zh-CN"/>
        </w:rPr>
        <w:t>6</w:t>
      </w:r>
      <w:r>
        <w:rPr>
          <w:rFonts w:hint="eastAsia" w:ascii="仿宋_GB2312" w:eastAsia="仿宋_GB2312"/>
          <w:sz w:val="30"/>
          <w:szCs w:val="30"/>
        </w:rPr>
        <w:t>年</w:t>
      </w:r>
      <w:r>
        <w:rPr>
          <w:rFonts w:hint="eastAsia" w:ascii="仿宋_GB2312" w:eastAsia="仿宋_GB2312"/>
          <w:sz w:val="30"/>
          <w:szCs w:val="30"/>
          <w:lang w:val="en-US" w:eastAsia="zh-CN"/>
        </w:rPr>
        <w:t>11</w:t>
      </w:r>
      <w:r>
        <w:rPr>
          <w:rFonts w:hint="eastAsia" w:ascii="仿宋_GB2312" w:eastAsia="仿宋_GB2312"/>
          <w:sz w:val="30"/>
          <w:szCs w:val="30"/>
        </w:rPr>
        <w:t>月</w:t>
      </w:r>
      <w:r>
        <w:rPr>
          <w:rFonts w:hint="eastAsia" w:ascii="仿宋_GB2312" w:eastAsia="仿宋_GB2312"/>
          <w:sz w:val="30"/>
          <w:szCs w:val="30"/>
          <w:lang w:val="en-US" w:eastAsia="zh-CN"/>
        </w:rPr>
        <w:t>5</w:t>
      </w:r>
      <w:r>
        <w:rPr>
          <w:rFonts w:hint="eastAsia" w:ascii="仿宋_GB2312" w:eastAsia="仿宋_GB2312"/>
          <w:sz w:val="30"/>
          <w:szCs w:val="30"/>
        </w:rPr>
        <w:t>日，以邮寄签收时间为准，因邮寄原因导致报价文件不能如期送达等风险由</w:t>
      </w:r>
      <w:r>
        <w:rPr>
          <w:rFonts w:hint="eastAsia" w:ascii="仿宋_GB2312" w:eastAsia="仿宋_GB2312"/>
          <w:sz w:val="30"/>
          <w:szCs w:val="30"/>
          <w:lang w:eastAsia="zh-CN"/>
        </w:rPr>
        <w:t>报价人</w:t>
      </w:r>
      <w:r>
        <w:rPr>
          <w:rFonts w:hint="eastAsia" w:ascii="仿宋_GB2312" w:eastAsia="仿宋_GB2312"/>
          <w:sz w:val="30"/>
          <w:szCs w:val="30"/>
        </w:rPr>
        <w:t>自行承担。</w:t>
      </w:r>
    </w:p>
    <w:p w14:paraId="69EA963F">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hAnsi="Times New Roman" w:eastAsia="仿宋_GB2312" w:cs="Times New Roman"/>
          <w:b/>
          <w:bCs/>
          <w:sz w:val="30"/>
          <w:szCs w:val="30"/>
          <w:lang w:val="en-US" w:eastAsia="zh-CN"/>
        </w:rPr>
      </w:pPr>
      <w:r>
        <w:rPr>
          <w:rFonts w:hint="eastAsia" w:ascii="仿宋_GB2312" w:hAnsi="Times New Roman" w:eastAsia="仿宋_GB2312" w:cs="Times New Roman"/>
          <w:b/>
          <w:bCs/>
          <w:sz w:val="30"/>
          <w:szCs w:val="30"/>
          <w:lang w:val="en-US" w:eastAsia="zh-CN"/>
        </w:rPr>
        <w:t>四、技术规范</w:t>
      </w:r>
    </w:p>
    <w:p w14:paraId="4F6C3BF4">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1.报价人如对询价文件中采购内容的技术规范/型号规格存在疑义，应在投标前向采购人进行咨询。开标后采购人不再回答相关问题。若报价人提供货品与供货要求不符，则由报价人自行负责。</w:t>
      </w:r>
    </w:p>
    <w:p w14:paraId="6E0CCEBB">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ascii="仿宋_GB2312" w:hAnsi="Times New Roman" w:eastAsia="仿宋_GB2312" w:cs="Times New Roman"/>
          <w:sz w:val="30"/>
          <w:szCs w:val="30"/>
          <w:lang w:val="en-US" w:eastAsia="zh-CN"/>
        </w:rPr>
      </w:pPr>
      <w:r>
        <w:rPr>
          <w:rFonts w:hint="eastAsia" w:ascii="仿宋_GB2312" w:hAnsi="Times New Roman" w:eastAsia="仿宋_GB2312" w:cs="Times New Roman"/>
          <w:sz w:val="30"/>
          <w:szCs w:val="30"/>
          <w:lang w:val="en-US" w:eastAsia="zh-CN"/>
        </w:rPr>
        <w:t>2.联系人：</w:t>
      </w:r>
      <w:r>
        <w:rPr>
          <w:rFonts w:hint="eastAsia" w:ascii="仿宋_GB2312" w:eastAsia="仿宋_GB2312" w:cs="Times New Roman"/>
          <w:sz w:val="30"/>
          <w:szCs w:val="30"/>
          <w:lang w:val="en-US" w:eastAsia="zh-CN"/>
        </w:rPr>
        <w:t>杨</w:t>
      </w:r>
      <w:r>
        <w:rPr>
          <w:rFonts w:hint="eastAsia" w:ascii="仿宋_GB2312" w:hAnsi="Times New Roman" w:eastAsia="仿宋_GB2312" w:cs="Times New Roman"/>
          <w:sz w:val="30"/>
          <w:szCs w:val="30"/>
          <w:lang w:val="en-US" w:eastAsia="zh-CN"/>
        </w:rPr>
        <w:t>工    联系电话：18</w:t>
      </w:r>
      <w:r>
        <w:rPr>
          <w:rFonts w:hint="eastAsia" w:ascii="仿宋_GB2312" w:eastAsia="仿宋_GB2312" w:cs="Times New Roman"/>
          <w:sz w:val="30"/>
          <w:szCs w:val="30"/>
          <w:lang w:val="en-US" w:eastAsia="zh-CN"/>
        </w:rPr>
        <w:t>857591913</w:t>
      </w:r>
    </w:p>
    <w:p w14:paraId="67FB8046">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rPr>
      </w:pPr>
      <w:r>
        <w:rPr>
          <w:rFonts w:hint="eastAsia" w:ascii="仿宋_GB2312" w:eastAsia="仿宋_GB2312"/>
          <w:b/>
          <w:bCs/>
          <w:sz w:val="30"/>
          <w:szCs w:val="30"/>
          <w:lang w:eastAsia="zh-CN"/>
        </w:rPr>
        <w:t>五</w:t>
      </w:r>
      <w:r>
        <w:rPr>
          <w:rFonts w:hint="eastAsia" w:ascii="仿宋_GB2312" w:eastAsia="仿宋_GB2312"/>
          <w:b/>
          <w:bCs/>
          <w:sz w:val="30"/>
          <w:szCs w:val="30"/>
        </w:rPr>
        <w:t>、质疑。</w:t>
      </w:r>
    </w:p>
    <w:p w14:paraId="6C81090D">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eastAsia" w:ascii="仿宋_GB2312" w:eastAsia="仿宋_GB2312"/>
          <w:sz w:val="30"/>
          <w:szCs w:val="30"/>
        </w:rPr>
      </w:pPr>
      <w:r>
        <w:rPr>
          <w:rFonts w:hint="eastAsia" w:ascii="仿宋_GB2312" w:eastAsia="仿宋_GB2312"/>
          <w:sz w:val="30"/>
          <w:szCs w:val="30"/>
          <w:lang w:eastAsia="zh-CN"/>
        </w:rPr>
        <w:t>报价人</w:t>
      </w:r>
      <w:r>
        <w:rPr>
          <w:rFonts w:hint="eastAsia" w:ascii="仿宋_GB2312" w:eastAsia="仿宋_GB2312"/>
          <w:sz w:val="30"/>
          <w:szCs w:val="30"/>
        </w:rPr>
        <w:t>如认为询价文件使自身的合法权益受到损害的，应于自</w:t>
      </w:r>
      <w:r>
        <w:rPr>
          <w:rFonts w:hint="eastAsia" w:ascii="仿宋_GB2312" w:eastAsia="仿宋_GB2312"/>
          <w:sz w:val="30"/>
          <w:szCs w:val="30"/>
          <w:lang w:eastAsia="zh-CN"/>
        </w:rPr>
        <w:t>公告</w:t>
      </w:r>
      <w:r>
        <w:rPr>
          <w:rFonts w:hint="eastAsia" w:ascii="仿宋_GB2312" w:eastAsia="仿宋_GB2312"/>
          <w:sz w:val="30"/>
          <w:szCs w:val="30"/>
        </w:rPr>
        <w:t>之日起1日内以书面形式向采购人提出质疑。逾期视作无异议。</w:t>
      </w:r>
    </w:p>
    <w:p w14:paraId="483B6D10">
      <w:pPr>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其他</w:t>
      </w:r>
    </w:p>
    <w:p w14:paraId="2E58BB05">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rPr>
          <w:rFonts w:hint="default"/>
          <w:lang w:val="en-US" w:eastAsia="zh-CN"/>
        </w:rPr>
      </w:pPr>
      <w:r>
        <w:rPr>
          <w:rFonts w:hint="eastAsia" w:ascii="仿宋_GB2312" w:hAnsi="Times New Roman" w:eastAsia="仿宋_GB2312" w:cs="Times New Roman"/>
          <w:sz w:val="30"/>
          <w:szCs w:val="30"/>
          <w:lang w:val="en-US" w:eastAsia="zh-CN"/>
        </w:rPr>
        <w:t>本项目未委托任何招标代理进行对外询价，且禁止第三方平台用于相关经济项目活动。若未经本公司授权，直接对本项目进行二次利用，产生的相关纠纷，本公司保留追责权利。</w:t>
      </w:r>
    </w:p>
    <w:p w14:paraId="62C16CA8">
      <w:pPr>
        <w:keepNext w:val="0"/>
        <w:keepLines w:val="0"/>
        <w:pageBreakBefore w:val="0"/>
        <w:widowControl w:val="0"/>
        <w:kinsoku/>
        <w:wordWrap/>
        <w:overflowPunct/>
        <w:topLinePunct w:val="0"/>
        <w:autoSpaceDE/>
        <w:autoSpaceDN/>
        <w:bidi w:val="0"/>
        <w:adjustRightInd/>
        <w:snapToGrid w:val="0"/>
        <w:spacing w:line="360" w:lineRule="auto"/>
        <w:ind w:firstLine="585"/>
        <w:jc w:val="left"/>
        <w:textAlignment w:val="auto"/>
        <w:outlineLvl w:val="1"/>
        <w:rPr>
          <w:rFonts w:hint="eastAsia" w:ascii="仿宋_GB2312" w:eastAsia="仿宋_GB2312"/>
          <w:sz w:val="30"/>
          <w:szCs w:val="30"/>
        </w:rPr>
      </w:pPr>
      <w:r>
        <w:rPr>
          <w:rFonts w:hint="eastAsia" w:ascii="仿宋_GB2312" w:eastAsia="仿宋_GB2312"/>
          <w:b/>
          <w:bCs/>
          <w:sz w:val="30"/>
          <w:szCs w:val="30"/>
          <w:lang w:eastAsia="zh-CN"/>
        </w:rPr>
        <w:t>七</w:t>
      </w:r>
      <w:r>
        <w:rPr>
          <w:rFonts w:hint="eastAsia" w:ascii="仿宋_GB2312" w:eastAsia="仿宋_GB2312"/>
          <w:b/>
          <w:bCs/>
          <w:sz w:val="30"/>
          <w:szCs w:val="30"/>
        </w:rPr>
        <w:t>、监督部门</w:t>
      </w:r>
      <w:r>
        <w:rPr>
          <w:rFonts w:hint="eastAsia" w:ascii="仿宋_GB2312" w:eastAsia="仿宋_GB2312"/>
          <w:b/>
          <w:bCs/>
          <w:sz w:val="30"/>
          <w:szCs w:val="30"/>
          <w:lang w:val="en-US" w:eastAsia="zh-CN"/>
        </w:rPr>
        <w:t xml:space="preserve">  </w:t>
      </w:r>
      <w:r>
        <w:rPr>
          <w:rFonts w:hint="eastAsia" w:ascii="仿宋_GB2312" w:hAnsi="Times New Roman" w:eastAsia="仿宋_GB2312" w:cs="Times New Roman"/>
          <w:sz w:val="30"/>
          <w:szCs w:val="30"/>
          <w:lang w:val="en-US" w:eastAsia="zh-CN"/>
        </w:rPr>
        <w:t>联系电话：</w:t>
      </w:r>
      <w:r>
        <w:rPr>
          <w:rFonts w:hint="eastAsia" w:ascii="仿宋_GB2312" w:eastAsia="仿宋_GB2312" w:cs="Times New Roman"/>
          <w:color w:val="auto"/>
          <w:sz w:val="30"/>
          <w:szCs w:val="30"/>
          <w:lang w:val="en-US" w:eastAsia="zh-CN"/>
        </w:rPr>
        <w:t>0575-85791902</w:t>
      </w:r>
    </w:p>
    <w:p w14:paraId="7336D46D">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lang w:eastAsia="zh-CN"/>
        </w:rPr>
      </w:pPr>
      <w:r>
        <w:rPr>
          <w:rFonts w:hint="eastAsia" w:ascii="仿宋_GB2312" w:eastAsia="仿宋_GB2312"/>
          <w:sz w:val="30"/>
          <w:szCs w:val="30"/>
          <w:lang w:eastAsia="zh-CN"/>
        </w:rPr>
        <w:t>绍兴市再生能源发展有限公司</w:t>
      </w:r>
    </w:p>
    <w:p w14:paraId="4297356C">
      <w:pPr>
        <w:keepNext w:val="0"/>
        <w:keepLines w:val="0"/>
        <w:pageBreakBefore w:val="0"/>
        <w:widowControl w:val="0"/>
        <w:kinsoku/>
        <w:wordWrap/>
        <w:overflowPunct/>
        <w:topLinePunct w:val="0"/>
        <w:autoSpaceDE/>
        <w:autoSpaceDN/>
        <w:bidi w:val="0"/>
        <w:adjustRightInd/>
        <w:snapToGrid w:val="0"/>
        <w:spacing w:line="360" w:lineRule="auto"/>
        <w:ind w:firstLine="585"/>
        <w:jc w:val="right"/>
        <w:textAlignment w:val="auto"/>
        <w:rPr>
          <w:rFonts w:hint="eastAsia" w:ascii="仿宋_GB2312" w:eastAsia="仿宋_GB2312"/>
          <w:sz w:val="30"/>
          <w:szCs w:val="30"/>
        </w:rPr>
      </w:pPr>
      <w:r>
        <w:rPr>
          <w:rFonts w:hint="eastAsia" w:ascii="仿宋_GB2312" w:eastAsia="仿宋_GB2312"/>
          <w:sz w:val="30"/>
          <w:szCs w:val="30"/>
          <w:lang w:val="en-US" w:eastAsia="zh-CN"/>
        </w:rPr>
        <w:t>2026</w:t>
      </w:r>
      <w:r>
        <w:rPr>
          <w:rFonts w:hint="default" w:ascii="仿宋_GB2312" w:eastAsia="仿宋_GB2312"/>
          <w:sz w:val="30"/>
          <w:szCs w:val="30"/>
          <w:lang w:val="en-US"/>
        </w:rPr>
        <w:t>年</w:t>
      </w:r>
      <w:r>
        <w:rPr>
          <w:rFonts w:hint="eastAsia" w:ascii="仿宋_GB2312" w:eastAsia="仿宋_GB2312"/>
          <w:sz w:val="30"/>
          <w:szCs w:val="30"/>
          <w:lang w:val="en-US" w:eastAsia="zh-CN"/>
        </w:rPr>
        <w:t>10月30</w:t>
      </w:r>
      <w:r>
        <w:rPr>
          <w:rFonts w:hint="eastAsia" w:ascii="仿宋_GB2312" w:eastAsia="仿宋_GB2312"/>
          <w:sz w:val="30"/>
          <w:szCs w:val="30"/>
        </w:rPr>
        <w:t>日</w:t>
      </w:r>
    </w:p>
    <w:p w14:paraId="0C5AC8FA">
      <w:pPr>
        <w:pageBreakBefore w:val="0"/>
        <w:kinsoku/>
        <w:wordWrap/>
        <w:topLinePunct w:val="0"/>
        <w:bidi w:val="0"/>
        <w:snapToGrid w:val="0"/>
        <w:spacing w:line="360" w:lineRule="auto"/>
        <w:ind w:firstLine="585"/>
        <w:jc w:val="center"/>
        <w:outlineLvl w:val="0"/>
        <w:rPr>
          <w:rFonts w:ascii="仿宋_GB2312" w:eastAsia="仿宋_GB2312"/>
          <w:snapToGrid w:val="0"/>
          <w:sz w:val="30"/>
          <w:szCs w:val="30"/>
        </w:rPr>
      </w:pPr>
      <w:r>
        <w:rPr>
          <w:rFonts w:hint="eastAsia" w:ascii="仿宋_GB2312" w:eastAsia="仿宋_GB2312"/>
          <w:sz w:val="30"/>
          <w:szCs w:val="30"/>
        </w:rPr>
        <w:br w:type="page"/>
      </w:r>
      <w:bookmarkStart w:id="9" w:name="_Toc5134"/>
      <w:bookmarkStart w:id="10" w:name="_Toc530583922"/>
      <w:bookmarkStart w:id="11" w:name="_Toc530583879"/>
      <w:r>
        <w:rPr>
          <w:rFonts w:hint="eastAsia" w:ascii="仿宋" w:hAnsi="仿宋" w:eastAsia="仿宋" w:cs="仿宋"/>
          <w:b/>
          <w:snapToGrid w:val="0"/>
          <w:color w:val="000000"/>
          <w:kern w:val="44"/>
          <w:sz w:val="44"/>
          <w:szCs w:val="44"/>
          <w:lang w:val="en-US" w:eastAsia="zh-CN" w:bidi="ar-SA"/>
        </w:rPr>
        <w:t>第二部分   采购须知</w:t>
      </w:r>
      <w:bookmarkEnd w:id="9"/>
      <w:bookmarkEnd w:id="10"/>
      <w:bookmarkEnd w:id="11"/>
    </w:p>
    <w:p w14:paraId="139FFD1C">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一、适用范围。</w:t>
      </w:r>
    </w:p>
    <w:p w14:paraId="319002C2">
      <w:pPr>
        <w:pageBreakBefore w:val="0"/>
        <w:kinsoku/>
        <w:wordWrap/>
        <w:topLinePunct w:val="0"/>
        <w:bidi w:val="0"/>
        <w:snapToGrid w:val="0"/>
        <w:spacing w:line="360" w:lineRule="auto"/>
        <w:rPr>
          <w:rFonts w:ascii="仿宋_GB2312" w:hAnsi="宋体" w:eastAsia="仿宋_GB2312"/>
          <w:sz w:val="30"/>
          <w:szCs w:val="30"/>
        </w:rPr>
      </w:pPr>
      <w:r>
        <w:rPr>
          <w:rFonts w:hint="eastAsia" w:ascii="仿宋_GB2312" w:hAnsi="宋体" w:eastAsia="仿宋_GB2312"/>
          <w:sz w:val="30"/>
          <w:szCs w:val="30"/>
        </w:rPr>
        <w:t xml:space="preserve">    仅适用于本次询价采购所叙述的货物和服务。</w:t>
      </w:r>
      <w:r>
        <w:rPr>
          <w:rFonts w:hint="eastAsia" w:ascii="仿宋_GB2312" w:eastAsia="仿宋_GB2312"/>
          <w:sz w:val="30"/>
          <w:szCs w:val="30"/>
        </w:rPr>
        <w:t>无论询价采购过程和结果如何，</w:t>
      </w:r>
      <w:r>
        <w:rPr>
          <w:rFonts w:hint="eastAsia" w:ascii="仿宋_GB2312" w:eastAsia="仿宋_GB2312"/>
          <w:sz w:val="30"/>
          <w:szCs w:val="30"/>
          <w:lang w:val="en-US" w:eastAsia="zh-CN"/>
        </w:rPr>
        <w:t>报价人</w:t>
      </w:r>
      <w:r>
        <w:rPr>
          <w:rFonts w:hint="eastAsia" w:ascii="仿宋_GB2312" w:eastAsia="仿宋_GB2312"/>
          <w:sz w:val="30"/>
          <w:szCs w:val="30"/>
        </w:rPr>
        <w:t>自行承担全部费用。</w:t>
      </w:r>
    </w:p>
    <w:p w14:paraId="0CDBFE61">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二、定义。</w:t>
      </w:r>
    </w:p>
    <w:p w14:paraId="7EF43873">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”系指</w:t>
      </w:r>
      <w:r>
        <w:rPr>
          <w:rFonts w:hint="eastAsia" w:ascii="仿宋_GB2312" w:hAnsi="宋体" w:eastAsia="仿宋_GB2312"/>
          <w:sz w:val="30"/>
          <w:szCs w:val="30"/>
          <w:lang w:eastAsia="zh-CN"/>
        </w:rPr>
        <w:t>绍兴市再生能源发展有限公司</w:t>
      </w:r>
      <w:r>
        <w:rPr>
          <w:rFonts w:hint="eastAsia" w:ascii="仿宋_GB2312" w:hAnsi="宋体" w:eastAsia="仿宋_GB2312"/>
          <w:sz w:val="30"/>
          <w:szCs w:val="30"/>
        </w:rPr>
        <w:t>。</w:t>
      </w:r>
    </w:p>
    <w:p w14:paraId="5D80BEA0">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”系指向采购人提交报价文件的商家。</w:t>
      </w:r>
    </w:p>
    <w:p w14:paraId="74D653E4">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rPr>
        <w:t>（三</w:t>
      </w:r>
      <w:r>
        <w:rPr>
          <w:rFonts w:hint="eastAsia" w:ascii="仿宋_GB2312" w:hAnsi="宋体" w:eastAsia="仿宋_GB2312"/>
          <w:sz w:val="30"/>
          <w:szCs w:val="30"/>
          <w:highlight w:val="none"/>
        </w:rPr>
        <w:t>）“货物和服务”系指按询价文件要求的货物和服务。</w:t>
      </w:r>
    </w:p>
    <w:p w14:paraId="715DC594">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lang w:val="en-US" w:eastAsia="zh-CN"/>
        </w:rPr>
      </w:pPr>
      <w:r>
        <w:rPr>
          <w:rFonts w:hint="eastAsia" w:ascii="仿宋_GB2312" w:hAnsi="宋体" w:eastAsia="仿宋_GB2312"/>
          <w:sz w:val="30"/>
          <w:szCs w:val="30"/>
          <w:highlight w:val="none"/>
          <w:lang w:val="en-US" w:eastAsia="zh-CN"/>
        </w:rPr>
        <w:t>（四）“服务方”系指向经评审确定为本次询价成交商家</w:t>
      </w:r>
    </w:p>
    <w:p w14:paraId="32C7434A">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highlight w:val="none"/>
        </w:rPr>
      </w:pPr>
      <w:r>
        <w:rPr>
          <w:rFonts w:hint="eastAsia" w:ascii="仿宋_GB2312" w:eastAsia="仿宋_GB2312"/>
          <w:b/>
          <w:bCs/>
          <w:sz w:val="30"/>
          <w:szCs w:val="30"/>
          <w:highlight w:val="none"/>
        </w:rPr>
        <w:t>三、采购报价。</w:t>
      </w:r>
    </w:p>
    <w:p w14:paraId="5BE622D7">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（一）本项目以人民币为结算货币。</w:t>
      </w:r>
    </w:p>
    <w:p w14:paraId="67A6A4A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应按询价文件要求认真制作《报价一览表》，报价时，报价文件中的报价金额如有大写和小写不一致的，以大写金额为准；总价金额与按单价汇总金额不一致的，以单价金额计算结果为准。</w:t>
      </w:r>
    </w:p>
    <w:p w14:paraId="25657504">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报价应为一次性报价。如果出现两个或两个以上报价，则报价无效。</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报价超过最高限价的，作无效报价处理。</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报价应包括</w:t>
      </w:r>
      <w:r>
        <w:rPr>
          <w:rFonts w:hint="eastAsia" w:ascii="仿宋_GB2312" w:hAnsi="宋体" w:eastAsia="仿宋_GB2312"/>
          <w:sz w:val="30"/>
          <w:szCs w:val="30"/>
          <w:lang w:val="en-US" w:eastAsia="zh-CN"/>
        </w:rPr>
        <w:t>运输</w:t>
      </w:r>
      <w:r>
        <w:rPr>
          <w:rFonts w:hint="eastAsia" w:ascii="仿宋_GB2312" w:hAnsi="宋体" w:eastAsia="仿宋_GB2312"/>
          <w:sz w:val="30"/>
          <w:szCs w:val="30"/>
        </w:rPr>
        <w:t>费</w:t>
      </w:r>
      <w:r>
        <w:rPr>
          <w:rFonts w:hint="eastAsia" w:ascii="仿宋_GB2312" w:hAnsi="宋体" w:eastAsia="仿宋_GB2312"/>
          <w:sz w:val="30"/>
          <w:szCs w:val="30"/>
          <w:lang w:val="en-US" w:eastAsia="zh-CN"/>
        </w:rPr>
        <w:t>和</w:t>
      </w:r>
      <w:r>
        <w:rPr>
          <w:rFonts w:hint="eastAsia" w:ascii="仿宋_GB2312" w:hAnsi="宋体" w:eastAsia="仿宋_GB2312"/>
          <w:sz w:val="30"/>
          <w:szCs w:val="30"/>
        </w:rPr>
        <w:t>税费等。</w:t>
      </w:r>
    </w:p>
    <w:p w14:paraId="1D9FBF5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四、报价有效期。</w:t>
      </w:r>
    </w:p>
    <w:p w14:paraId="3948F8FC">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eastAsia" w:ascii="仿宋_GB2312" w:hAnsi="宋体" w:eastAsia="仿宋_GB2312"/>
          <w:sz w:val="30"/>
          <w:szCs w:val="30"/>
        </w:rPr>
        <w:t>（一）从报价截止之日起，报价文件有效期为30日。</w:t>
      </w:r>
    </w:p>
    <w:p w14:paraId="12EB40A5">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（二）特殊情况下，</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可与</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协商延缓报价有效期，这种要求和答复均以书面形式进行。</w:t>
      </w:r>
    </w:p>
    <w:p w14:paraId="6F182F15">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五、报价文件的组成。</w:t>
      </w:r>
    </w:p>
    <w:p w14:paraId="75AC62A6">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1</w:t>
      </w:r>
      <w:r>
        <w:rPr>
          <w:rFonts w:hint="eastAsia" w:ascii="仿宋_GB2312" w:hAnsi="宋体" w:eastAsia="仿宋_GB2312"/>
          <w:sz w:val="30"/>
          <w:szCs w:val="30"/>
          <w:lang w:val="en-US" w:eastAsia="zh-CN"/>
        </w:rPr>
        <w:t>.</w:t>
      </w:r>
      <w:r>
        <w:rPr>
          <w:rFonts w:hint="eastAsia" w:ascii="仿宋_GB2312" w:hAnsi="宋体" w:eastAsia="仿宋_GB2312"/>
          <w:b/>
          <w:bCs/>
          <w:color w:val="FF0000"/>
          <w:sz w:val="30"/>
          <w:szCs w:val="30"/>
          <w:lang w:val="en-US" w:eastAsia="zh-CN"/>
        </w:rPr>
        <w:t>报价资格一览表</w:t>
      </w:r>
      <w:r>
        <w:rPr>
          <w:rFonts w:hint="eastAsia" w:ascii="仿宋_GB2312" w:hAnsi="宋体" w:eastAsia="仿宋_GB2312"/>
          <w:b/>
          <w:bCs/>
          <w:color w:val="FF0000"/>
          <w:sz w:val="30"/>
          <w:szCs w:val="30"/>
        </w:rPr>
        <w:t>（附件一）；</w:t>
      </w:r>
    </w:p>
    <w:p w14:paraId="05C2F5B4">
      <w:pPr>
        <w:pageBreakBefore w:val="0"/>
        <w:kinsoku/>
        <w:wordWrap/>
        <w:topLinePunct w:val="0"/>
        <w:bidi w:val="0"/>
        <w:snapToGrid w:val="0"/>
        <w:spacing w:line="360" w:lineRule="auto"/>
        <w:ind w:firstLine="600" w:firstLineChars="200"/>
        <w:rPr>
          <w:rFonts w:hint="default" w:ascii="仿宋_GB2312" w:hAnsi="宋体" w:eastAsia="仿宋_GB2312"/>
          <w:sz w:val="30"/>
          <w:szCs w:val="30"/>
          <w:lang w:val="en-US" w:eastAsia="zh-CN"/>
        </w:rPr>
      </w:pPr>
      <w:r>
        <w:rPr>
          <w:rFonts w:hint="default" w:ascii="仿宋_GB2312" w:hAnsi="宋体" w:eastAsia="仿宋_GB2312"/>
          <w:sz w:val="30"/>
          <w:szCs w:val="30"/>
          <w:lang w:eastAsia="zh-CN"/>
        </w:rPr>
        <w:t>2</w:t>
      </w:r>
      <w:r>
        <w:rPr>
          <w:rFonts w:hint="eastAsia" w:ascii="仿宋_GB2312" w:hAnsi="宋体" w:eastAsia="仿宋_GB2312"/>
          <w:sz w:val="30"/>
          <w:szCs w:val="30"/>
          <w:lang w:val="en-US" w:eastAsia="zh-CN"/>
        </w:rPr>
        <w:t>.</w:t>
      </w:r>
      <w:r>
        <w:rPr>
          <w:rFonts w:hint="eastAsia" w:ascii="仿宋_GB2312" w:hAnsi="宋体" w:eastAsia="仿宋_GB2312"/>
          <w:sz w:val="30"/>
          <w:szCs w:val="30"/>
        </w:rPr>
        <w:t>报价文件</w:t>
      </w:r>
      <w:r>
        <w:rPr>
          <w:rFonts w:hint="eastAsia" w:ascii="仿宋_GB2312" w:hAnsi="宋体" w:eastAsia="仿宋_GB2312"/>
          <w:sz w:val="30"/>
          <w:szCs w:val="30"/>
          <w:lang w:eastAsia="zh-CN"/>
        </w:rPr>
        <w:t>密封</w:t>
      </w:r>
      <w:r>
        <w:rPr>
          <w:rFonts w:hint="eastAsia" w:ascii="仿宋_GB2312" w:hAnsi="宋体" w:eastAsia="仿宋_GB2312"/>
          <w:sz w:val="30"/>
          <w:szCs w:val="30"/>
        </w:rPr>
        <w:t>封面</w:t>
      </w:r>
      <w:r>
        <w:rPr>
          <w:rFonts w:hint="eastAsia" w:ascii="仿宋_GB2312" w:hAnsi="宋体" w:eastAsia="仿宋_GB2312"/>
          <w:sz w:val="30"/>
          <w:szCs w:val="30"/>
          <w:lang w:eastAsia="zh-CN"/>
        </w:rPr>
        <w:t>；</w:t>
      </w:r>
    </w:p>
    <w:p w14:paraId="7B4BC3DD">
      <w:pPr>
        <w:pageBreakBefore w:val="0"/>
        <w:kinsoku/>
        <w:wordWrap/>
        <w:topLinePunct w:val="0"/>
        <w:bidi w:val="0"/>
        <w:snapToGrid w:val="0"/>
        <w:spacing w:line="360" w:lineRule="auto"/>
        <w:ind w:firstLine="600" w:firstLineChars="200"/>
        <w:rPr>
          <w:rFonts w:hint="eastAsia" w:ascii="仿宋_GB2312" w:hAnsi="宋体" w:eastAsia="仿宋_GB2312"/>
          <w:sz w:val="30"/>
          <w:szCs w:val="30"/>
        </w:rPr>
      </w:pPr>
      <w:r>
        <w:rPr>
          <w:rFonts w:hint="default" w:ascii="仿宋_GB2312" w:hAnsi="宋体" w:eastAsia="仿宋_GB2312"/>
          <w:sz w:val="30"/>
          <w:szCs w:val="30"/>
          <w:lang w:eastAsia="zh-CN"/>
        </w:rPr>
        <w:t>3</w:t>
      </w:r>
      <w:r>
        <w:rPr>
          <w:rFonts w:hint="eastAsia" w:ascii="仿宋_GB2312" w:hAnsi="宋体" w:eastAsia="仿宋_GB2312"/>
          <w:sz w:val="30"/>
          <w:szCs w:val="30"/>
        </w:rPr>
        <w:t>.报价一览表（附件</w:t>
      </w:r>
      <w:r>
        <w:rPr>
          <w:rFonts w:hint="eastAsia" w:ascii="仿宋_GB2312" w:hAnsi="宋体" w:eastAsia="仿宋_GB2312"/>
          <w:sz w:val="30"/>
          <w:szCs w:val="30"/>
          <w:lang w:eastAsia="zh-CN"/>
        </w:rPr>
        <w:t>二</w:t>
      </w:r>
      <w:r>
        <w:rPr>
          <w:rFonts w:hint="eastAsia" w:ascii="仿宋_GB2312" w:hAnsi="宋体" w:eastAsia="仿宋_GB2312"/>
          <w:sz w:val="30"/>
          <w:szCs w:val="30"/>
        </w:rPr>
        <w:t>）；</w:t>
      </w:r>
    </w:p>
    <w:p w14:paraId="12D2C136">
      <w:pPr>
        <w:pageBreakBefore w:val="0"/>
        <w:kinsoku/>
        <w:wordWrap/>
        <w:topLinePunct w:val="0"/>
        <w:bidi w:val="0"/>
        <w:snapToGrid w:val="0"/>
        <w:spacing w:line="360" w:lineRule="auto"/>
        <w:ind w:firstLine="600" w:firstLineChars="200"/>
        <w:rPr>
          <w:rFonts w:hint="default" w:eastAsia="仿宋_GB2312"/>
          <w:lang w:val="en-US" w:eastAsia="zh-CN"/>
        </w:rPr>
      </w:pPr>
      <w:r>
        <w:rPr>
          <w:rFonts w:hint="default" w:ascii="仿宋_GB2312" w:hAnsi="宋体" w:eastAsia="仿宋_GB2312"/>
          <w:sz w:val="30"/>
          <w:szCs w:val="30"/>
          <w:lang w:eastAsia="zh-CN"/>
        </w:rPr>
        <w:t>4</w:t>
      </w:r>
      <w:r>
        <w:rPr>
          <w:rFonts w:hint="eastAsia" w:ascii="仿宋_GB2312" w:hAnsi="宋体" w:eastAsia="仿宋_GB2312"/>
          <w:sz w:val="30"/>
          <w:szCs w:val="30"/>
        </w:rPr>
        <w:t>.</w:t>
      </w:r>
      <w:r>
        <w:rPr>
          <w:rFonts w:hint="eastAsia" w:ascii="仿宋_GB2312" w:hAnsi="宋体" w:eastAsia="仿宋_GB2312"/>
          <w:sz w:val="30"/>
          <w:szCs w:val="30"/>
          <w:lang w:val="en-US" w:eastAsia="zh-CN"/>
        </w:rPr>
        <w:t>服务</w:t>
      </w:r>
      <w:r>
        <w:rPr>
          <w:rFonts w:hint="eastAsia" w:ascii="仿宋_GB2312" w:hAnsi="宋体" w:eastAsia="仿宋_GB2312"/>
          <w:sz w:val="30"/>
          <w:szCs w:val="30"/>
        </w:rPr>
        <w:t>质量保证承诺函（附件</w:t>
      </w:r>
      <w:r>
        <w:rPr>
          <w:rFonts w:hint="eastAsia" w:ascii="仿宋_GB2312" w:hAnsi="宋体" w:eastAsia="仿宋_GB2312"/>
          <w:sz w:val="30"/>
          <w:szCs w:val="30"/>
          <w:lang w:val="en-US" w:eastAsia="zh-CN"/>
        </w:rPr>
        <w:t>四</w:t>
      </w:r>
      <w:r>
        <w:rPr>
          <w:rFonts w:hint="eastAsia" w:ascii="仿宋_GB2312" w:hAnsi="宋体" w:eastAsia="仿宋_GB2312"/>
          <w:sz w:val="30"/>
          <w:szCs w:val="30"/>
        </w:rPr>
        <w:t>）；</w:t>
      </w:r>
    </w:p>
    <w:p w14:paraId="291F8948">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default" w:ascii="仿宋_GB2312" w:hAnsi="宋体" w:eastAsia="仿宋_GB2312"/>
          <w:sz w:val="30"/>
          <w:szCs w:val="30"/>
          <w:lang w:eastAsia="zh-CN"/>
        </w:rPr>
        <w:t>5</w:t>
      </w:r>
      <w:r>
        <w:rPr>
          <w:rFonts w:hint="eastAsia" w:ascii="仿宋_GB2312" w:hAnsi="宋体" w:eastAsia="仿宋_GB2312"/>
          <w:sz w:val="30"/>
          <w:szCs w:val="30"/>
        </w:rPr>
        <w:t>.资质证明及装订密封要求</w:t>
      </w:r>
      <w:r>
        <w:rPr>
          <w:rFonts w:hint="eastAsia" w:ascii="仿宋_GB2312" w:hAnsi="宋体" w:eastAsia="仿宋_GB2312"/>
          <w:sz w:val="30"/>
          <w:szCs w:val="30"/>
          <w:highlight w:val="none"/>
        </w:rPr>
        <w:t>：</w:t>
      </w:r>
    </w:p>
    <w:p w14:paraId="4A8DD835">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装订密封：报价文件及资格证明文件须规范装订并密封。</w:t>
      </w:r>
    </w:p>
    <w:p w14:paraId="79D04641">
      <w:pPr>
        <w:pageBreakBefore w:val="0"/>
        <w:kinsoku/>
        <w:wordWrap/>
        <w:topLinePunct w:val="0"/>
        <w:bidi w:val="0"/>
        <w:snapToGrid w:val="0"/>
        <w:spacing w:line="360" w:lineRule="auto"/>
        <w:ind w:firstLine="600" w:firstLineChars="200"/>
        <w:rPr>
          <w:rFonts w:hint="eastAsia" w:ascii="仿宋_GB2312" w:hAnsi="宋体" w:eastAsia="仿宋_GB2312"/>
          <w:sz w:val="30"/>
          <w:szCs w:val="30"/>
          <w:highlight w:val="none"/>
        </w:rPr>
      </w:pPr>
      <w:r>
        <w:rPr>
          <w:rFonts w:hint="eastAsia" w:ascii="仿宋_GB2312" w:hAnsi="宋体" w:eastAsia="仿宋_GB2312"/>
          <w:sz w:val="30"/>
          <w:szCs w:val="30"/>
          <w:highlight w:val="none"/>
        </w:rPr>
        <w:t>封面注明：密封袋（或密封包装）封面须清晰注明：采购项目名称、采购项目编号、报价单位名称、联系人、联系方式。</w:t>
      </w:r>
    </w:p>
    <w:p w14:paraId="5D9D8444">
      <w:pPr>
        <w:pageBreakBefore w:val="0"/>
        <w:kinsoku/>
        <w:wordWrap/>
        <w:topLinePunct w:val="0"/>
        <w:bidi w:val="0"/>
        <w:snapToGrid w:val="0"/>
        <w:spacing w:line="360" w:lineRule="auto"/>
        <w:ind w:firstLine="600" w:firstLineChars="200"/>
        <w:rPr>
          <w:rFonts w:hint="eastAsia" w:ascii="仿宋_GB2312" w:hAnsi="宋体" w:eastAsia="仿宋_GB2312"/>
          <w:b/>
          <w:bCs/>
          <w:sz w:val="30"/>
          <w:szCs w:val="30"/>
          <w:highlight w:val="yellow"/>
          <w:lang w:eastAsia="zh-CN"/>
        </w:rPr>
      </w:pPr>
      <w:r>
        <w:rPr>
          <w:rFonts w:hint="eastAsia" w:ascii="仿宋_GB2312" w:hAnsi="宋体" w:eastAsia="仿宋_GB2312"/>
          <w:color w:val="FF0000"/>
          <w:sz w:val="30"/>
          <w:szCs w:val="30"/>
          <w:highlight w:val="none"/>
        </w:rPr>
        <w:t>资格文件：报价资格文件的装订及密封方式应与报价文件保持一致</w:t>
      </w:r>
      <w:r>
        <w:rPr>
          <w:rFonts w:hint="eastAsia" w:ascii="仿宋_GB2312" w:hAnsi="宋体" w:eastAsia="仿宋_GB2312"/>
          <w:color w:val="FF0000"/>
          <w:sz w:val="30"/>
          <w:szCs w:val="30"/>
          <w:highlight w:val="none"/>
          <w:lang w:eastAsia="zh-CN"/>
        </w:rPr>
        <w:t>，且密封封面须单独注明"报价资格文件"字样</w:t>
      </w:r>
      <w:r>
        <w:rPr>
          <w:rFonts w:hint="default" w:ascii="仿宋_GB2312" w:hAnsi="宋体" w:eastAsia="仿宋_GB2312"/>
          <w:b/>
          <w:bCs/>
          <w:color w:val="FF0000"/>
          <w:sz w:val="30"/>
          <w:szCs w:val="30"/>
          <w:lang w:eastAsia="zh-CN"/>
        </w:rPr>
        <w:t>。</w:t>
      </w:r>
    </w:p>
    <w:p w14:paraId="5E6C7F68">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六、报价文件的签署和份数。</w:t>
      </w:r>
    </w:p>
    <w:p w14:paraId="554A1C41">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（一）报价文件需打印或用不褪色的墨水填写。报价文件的装订顺序应按本章第六条所叙顺序装订。</w:t>
      </w:r>
    </w:p>
    <w:p w14:paraId="19CD4B9F">
      <w:pPr>
        <w:pageBreakBefore w:val="0"/>
        <w:kinsoku/>
        <w:wordWrap/>
        <w:topLinePunct w:val="0"/>
        <w:bidi w:val="0"/>
        <w:snapToGrid w:val="0"/>
        <w:spacing w:line="360" w:lineRule="auto"/>
        <w:ind w:firstLine="600" w:firstLineChars="200"/>
        <w:rPr>
          <w:rFonts w:ascii="仿宋_GB2312" w:eastAsia="仿宋_GB2312"/>
          <w:sz w:val="30"/>
          <w:szCs w:val="30"/>
        </w:rPr>
      </w:pPr>
      <w:r>
        <w:rPr>
          <w:rFonts w:hint="eastAsia" w:ascii="仿宋_GB2312" w:eastAsia="仿宋_GB2312"/>
          <w:sz w:val="30"/>
          <w:szCs w:val="30"/>
        </w:rPr>
        <w:t>（二）报价文件凡需要盖章处均须由报价单位盖公章，并由法定代表人或</w:t>
      </w:r>
      <w:r>
        <w:rPr>
          <w:rFonts w:hint="eastAsia" w:ascii="仿宋_GB2312" w:eastAsia="仿宋_GB2312"/>
          <w:sz w:val="30"/>
          <w:szCs w:val="30"/>
          <w:lang w:eastAsia="zh-CN"/>
        </w:rPr>
        <w:t>授权</w:t>
      </w:r>
      <w:r>
        <w:rPr>
          <w:rFonts w:hint="eastAsia" w:ascii="仿宋_GB2312" w:eastAsia="仿宋_GB2312"/>
          <w:sz w:val="30"/>
          <w:szCs w:val="30"/>
        </w:rPr>
        <w:t>代表签署，</w:t>
      </w:r>
      <w:r>
        <w:rPr>
          <w:rFonts w:hint="eastAsia" w:ascii="仿宋_GB2312" w:eastAsia="仿宋_GB2312"/>
          <w:sz w:val="30"/>
          <w:szCs w:val="30"/>
          <w:lang w:val="en-US" w:eastAsia="zh-CN"/>
        </w:rPr>
        <w:t>报价人</w:t>
      </w:r>
      <w:r>
        <w:rPr>
          <w:rFonts w:hint="eastAsia" w:ascii="仿宋_GB2312" w:eastAsia="仿宋_GB2312"/>
          <w:sz w:val="30"/>
          <w:szCs w:val="30"/>
        </w:rPr>
        <w:t>单位应写全称。</w:t>
      </w:r>
    </w:p>
    <w:p w14:paraId="33122ABA">
      <w:pPr>
        <w:pageBreakBefore w:val="0"/>
        <w:kinsoku/>
        <w:wordWrap/>
        <w:topLinePunct w:val="0"/>
        <w:bidi w:val="0"/>
        <w:snapToGrid w:val="0"/>
        <w:spacing w:line="360" w:lineRule="auto"/>
        <w:ind w:firstLine="615" w:firstLineChars="205"/>
        <w:jc w:val="left"/>
        <w:rPr>
          <w:rFonts w:hint="eastAsia" w:ascii="仿宋_GB2312" w:eastAsia="仿宋_GB2312"/>
          <w:sz w:val="30"/>
          <w:szCs w:val="30"/>
          <w:lang w:eastAsia="zh-CN"/>
        </w:rPr>
      </w:pPr>
      <w:r>
        <w:rPr>
          <w:rFonts w:hint="eastAsia" w:ascii="仿宋_GB2312" w:eastAsia="仿宋_GB2312"/>
          <w:sz w:val="30"/>
          <w:szCs w:val="30"/>
        </w:rPr>
        <w:t>（三）</w:t>
      </w:r>
      <w:r>
        <w:rPr>
          <w:rFonts w:hint="eastAsia" w:ascii="仿宋_GB2312" w:eastAsia="仿宋_GB2312"/>
          <w:sz w:val="30"/>
          <w:szCs w:val="30"/>
          <w:lang w:val="en-US" w:eastAsia="zh-CN"/>
        </w:rPr>
        <w:t>报价人</w:t>
      </w:r>
      <w:r>
        <w:rPr>
          <w:rFonts w:hint="eastAsia" w:ascii="仿宋_GB2312" w:eastAsia="仿宋_GB2312"/>
          <w:sz w:val="30"/>
          <w:szCs w:val="30"/>
        </w:rPr>
        <w:t>应按照询价文件的格式要求制作报价文件，报价文件正本1份</w:t>
      </w:r>
      <w:r>
        <w:rPr>
          <w:rFonts w:hint="eastAsia" w:ascii="仿宋_GB2312" w:eastAsia="仿宋_GB2312"/>
          <w:sz w:val="30"/>
          <w:szCs w:val="30"/>
          <w:lang w:eastAsia="zh-CN"/>
        </w:rPr>
        <w:t>，副本</w:t>
      </w:r>
      <w:r>
        <w:rPr>
          <w:rFonts w:hint="eastAsia" w:ascii="仿宋_GB2312" w:eastAsia="仿宋_GB2312"/>
          <w:sz w:val="30"/>
          <w:szCs w:val="30"/>
          <w:lang w:val="en-US" w:eastAsia="zh-CN"/>
        </w:rPr>
        <w:t>4份</w:t>
      </w:r>
      <w:r>
        <w:rPr>
          <w:rFonts w:hint="eastAsia" w:ascii="仿宋_GB2312" w:eastAsia="仿宋_GB2312"/>
          <w:sz w:val="30"/>
          <w:szCs w:val="30"/>
          <w:lang w:eastAsia="zh-CN"/>
        </w:rPr>
        <w:t>。</w:t>
      </w:r>
    </w:p>
    <w:p w14:paraId="1B2E3F7E">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rPr>
      </w:pPr>
      <w:r>
        <w:rPr>
          <w:rFonts w:hint="eastAsia" w:ascii="仿宋_GB2312" w:eastAsia="仿宋_GB2312"/>
          <w:b/>
          <w:bCs/>
          <w:sz w:val="30"/>
          <w:szCs w:val="30"/>
        </w:rPr>
        <w:t>七、报价文件的递交。</w:t>
      </w:r>
    </w:p>
    <w:p w14:paraId="47043CE7">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（一）如果</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未加写标记，</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对报价文件的误投和提前启封不负责任。</w:t>
      </w:r>
    </w:p>
    <w:p w14:paraId="625A1FFB">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（二）</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接受</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报价文件时间：在报价截止时间前接受报价文件。</w:t>
      </w:r>
    </w:p>
    <w:p w14:paraId="5A7BEB9D">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（三）报价截止时间前，</w:t>
      </w:r>
      <w:r>
        <w:rPr>
          <w:rFonts w:hint="eastAsia" w:ascii="仿宋_GB2312" w:hAnsi="宋体" w:eastAsia="仿宋_GB2312"/>
          <w:sz w:val="30"/>
          <w:szCs w:val="30"/>
          <w:lang w:val="en-US" w:eastAsia="zh-CN"/>
        </w:rPr>
        <w:t>报价人</w:t>
      </w:r>
      <w:r>
        <w:rPr>
          <w:rFonts w:hint="eastAsia" w:ascii="仿宋_GB2312" w:hAnsi="宋体" w:eastAsia="仿宋_GB2312"/>
          <w:sz w:val="30"/>
          <w:szCs w:val="30"/>
        </w:rPr>
        <w:t>可以书面形式向</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已递交的报价文件提出补充和修改，</w:t>
      </w:r>
      <w:r>
        <w:rPr>
          <w:rFonts w:hint="eastAsia" w:ascii="仿宋_GB2312" w:hAnsi="宋体" w:eastAsia="仿宋_GB2312"/>
          <w:sz w:val="30"/>
          <w:szCs w:val="30"/>
          <w:lang w:val="en-US" w:eastAsia="zh-CN"/>
        </w:rPr>
        <w:t>采购人</w:t>
      </w:r>
      <w:r>
        <w:rPr>
          <w:rFonts w:hint="eastAsia" w:ascii="仿宋_GB2312" w:hAnsi="宋体" w:eastAsia="仿宋_GB2312"/>
          <w:sz w:val="30"/>
          <w:szCs w:val="30"/>
        </w:rPr>
        <w:t>以最后的补充和修改为准。该书面材料应密封，由法定代表人或授权委托人签字并加盖公章。</w:t>
      </w:r>
    </w:p>
    <w:p w14:paraId="6123A858">
      <w:pPr>
        <w:pageBreakBefore w:val="0"/>
        <w:kinsoku/>
        <w:wordWrap/>
        <w:topLinePunct w:val="0"/>
        <w:bidi w:val="0"/>
        <w:snapToGrid w:val="0"/>
        <w:spacing w:line="360" w:lineRule="auto"/>
        <w:ind w:firstLine="600" w:firstLineChars="200"/>
        <w:rPr>
          <w:rFonts w:ascii="仿宋_GB2312" w:hAnsi="宋体" w:eastAsia="仿宋_GB2312"/>
          <w:sz w:val="30"/>
          <w:szCs w:val="30"/>
        </w:rPr>
      </w:pPr>
      <w:r>
        <w:rPr>
          <w:rFonts w:hint="eastAsia" w:ascii="仿宋_GB2312" w:hAnsi="宋体" w:eastAsia="仿宋_GB2312"/>
          <w:sz w:val="30"/>
          <w:szCs w:val="30"/>
        </w:rPr>
        <w:t>（四）报价文件填写字迹必须清楚、工整，对不同文字文本报价文件的解释发生异议的，以中文文本为准。</w:t>
      </w:r>
    </w:p>
    <w:p w14:paraId="4C731654">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eastAsia="zh-CN"/>
        </w:rPr>
      </w:pPr>
      <w:r>
        <w:rPr>
          <w:rFonts w:hint="eastAsia" w:ascii="仿宋_GB2312" w:eastAsia="仿宋_GB2312"/>
          <w:b/>
          <w:bCs/>
          <w:sz w:val="30"/>
          <w:szCs w:val="30"/>
          <w:lang w:eastAsia="zh-CN"/>
        </w:rPr>
        <w:t>八</w:t>
      </w:r>
      <w:r>
        <w:rPr>
          <w:rFonts w:hint="eastAsia" w:ascii="仿宋_GB2312" w:eastAsia="仿宋_GB2312"/>
          <w:b/>
          <w:bCs/>
          <w:sz w:val="30"/>
          <w:szCs w:val="30"/>
        </w:rPr>
        <w:t>、无效报价</w:t>
      </w:r>
      <w:r>
        <w:rPr>
          <w:rFonts w:hint="eastAsia" w:ascii="仿宋_GB2312" w:eastAsia="仿宋_GB2312"/>
          <w:b/>
          <w:bCs/>
          <w:sz w:val="30"/>
          <w:szCs w:val="30"/>
          <w:lang w:eastAsia="zh-CN"/>
        </w:rPr>
        <w:t>。</w:t>
      </w:r>
    </w:p>
    <w:p w14:paraId="0FE9A41E">
      <w:pPr>
        <w:pageBreakBefore w:val="0"/>
        <w:kinsoku/>
        <w:wordWrap/>
        <w:topLinePunct w:val="0"/>
        <w:bidi w:val="0"/>
        <w:snapToGrid w:val="0"/>
        <w:spacing w:line="360" w:lineRule="auto"/>
        <w:ind w:left="1" w:firstLine="771" w:firstLineChars="257"/>
        <w:rPr>
          <w:rFonts w:ascii="仿宋_GB2312" w:eastAsia="仿宋_GB2312"/>
          <w:sz w:val="30"/>
          <w:szCs w:val="30"/>
        </w:rPr>
      </w:pPr>
      <w:r>
        <w:rPr>
          <w:rFonts w:hint="eastAsia" w:ascii="仿宋_GB2312" w:eastAsia="仿宋_GB2312"/>
          <w:sz w:val="30"/>
          <w:szCs w:val="30"/>
        </w:rPr>
        <w:t>发生下列情况之一的，</w:t>
      </w:r>
      <w:r>
        <w:rPr>
          <w:rFonts w:hint="eastAsia" w:ascii="仿宋_GB2312" w:eastAsia="仿宋_GB2312"/>
          <w:sz w:val="30"/>
          <w:szCs w:val="30"/>
          <w:lang w:val="en-US" w:eastAsia="zh-CN"/>
        </w:rPr>
        <w:t>采购人</w:t>
      </w:r>
      <w:r>
        <w:rPr>
          <w:rFonts w:hint="eastAsia" w:ascii="仿宋_GB2312" w:eastAsia="仿宋_GB2312"/>
          <w:sz w:val="30"/>
          <w:szCs w:val="30"/>
        </w:rPr>
        <w:t>可视情况作无效报价处理：</w:t>
      </w:r>
    </w:p>
    <w:p w14:paraId="71DDD2CE">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（一）在</w:t>
      </w:r>
      <w:r>
        <w:rPr>
          <w:rFonts w:hint="eastAsia" w:ascii="仿宋_GB2312" w:eastAsia="仿宋_GB2312"/>
          <w:sz w:val="30"/>
          <w:szCs w:val="30"/>
          <w:lang w:val="en-US" w:eastAsia="zh-CN"/>
        </w:rPr>
        <w:t>采购人</w:t>
      </w:r>
      <w:r>
        <w:rPr>
          <w:rFonts w:hint="eastAsia" w:ascii="仿宋_GB2312" w:eastAsia="仿宋_GB2312"/>
          <w:sz w:val="30"/>
          <w:szCs w:val="30"/>
        </w:rPr>
        <w:t>规定的截止时间以后送达的报价文件。</w:t>
      </w:r>
    </w:p>
    <w:p w14:paraId="2E0B90DB">
      <w:pPr>
        <w:pageBreakBefore w:val="0"/>
        <w:kinsoku/>
        <w:wordWrap/>
        <w:topLinePunct w:val="0"/>
        <w:bidi w:val="0"/>
        <w:snapToGrid w:val="0"/>
        <w:spacing w:line="360" w:lineRule="auto"/>
        <w:ind w:firstLine="612" w:firstLineChars="204"/>
        <w:rPr>
          <w:rFonts w:ascii="仿宋_GB2312" w:eastAsia="仿宋_GB2312"/>
          <w:sz w:val="30"/>
          <w:szCs w:val="30"/>
        </w:rPr>
      </w:pPr>
      <w:r>
        <w:rPr>
          <w:rFonts w:hint="eastAsia" w:ascii="仿宋_GB2312" w:eastAsia="仿宋_GB2312"/>
          <w:sz w:val="30"/>
          <w:szCs w:val="30"/>
        </w:rPr>
        <w:t>（二）提供两个或两个以上报价方案的。</w:t>
      </w:r>
    </w:p>
    <w:p w14:paraId="46B05D9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rPr>
        <w:t>（三）报价文件应盖公章而未盖公章或盖非公司公章、未装订、</w:t>
      </w:r>
      <w:r>
        <w:rPr>
          <w:rFonts w:hint="eastAsia" w:ascii="仿宋_GB2312" w:eastAsia="仿宋_GB2312"/>
          <w:sz w:val="30"/>
          <w:szCs w:val="30"/>
          <w:lang w:val="en-US" w:eastAsia="zh-CN"/>
        </w:rPr>
        <w:t>未密封、未有效授权的。</w:t>
      </w:r>
    </w:p>
    <w:p w14:paraId="11A4A250">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（四）报价总价超过最高限价的。</w:t>
      </w:r>
    </w:p>
    <w:p w14:paraId="70C8B54B">
      <w:pPr>
        <w:pageBreakBefore w:val="0"/>
        <w:kinsoku/>
        <w:wordWrap/>
        <w:topLinePunct w:val="0"/>
        <w:bidi w:val="0"/>
        <w:snapToGrid w:val="0"/>
        <w:spacing w:line="360" w:lineRule="auto"/>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 xml:space="preserve">    （五）所提供的资料存在弄虚作假的。</w:t>
      </w:r>
    </w:p>
    <w:p w14:paraId="5C1C01D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（六）不符合法律法规和本询价文件规定的其他要求的。</w:t>
      </w:r>
    </w:p>
    <w:p w14:paraId="5A290253">
      <w:pPr>
        <w:pageBreakBefore w:val="0"/>
        <w:kinsoku/>
        <w:wordWrap/>
        <w:topLinePunct w:val="0"/>
        <w:bidi w:val="0"/>
        <w:snapToGrid w:val="0"/>
        <w:spacing w:line="360" w:lineRule="auto"/>
        <w:ind w:left="1" w:firstLine="774" w:firstLineChars="257"/>
        <w:outlineLvl w:val="1"/>
        <w:rPr>
          <w:rFonts w:hint="eastAsia" w:ascii="仿宋_GB2312" w:eastAsia="仿宋_GB2312"/>
          <w:b/>
          <w:bCs/>
          <w:sz w:val="30"/>
          <w:szCs w:val="30"/>
          <w:lang w:val="en-US" w:eastAsia="zh-CN"/>
        </w:rPr>
      </w:pPr>
      <w:r>
        <w:rPr>
          <w:rFonts w:hint="eastAsia" w:ascii="仿宋_GB2312" w:eastAsia="仿宋_GB2312"/>
          <w:b/>
          <w:bCs/>
          <w:sz w:val="30"/>
          <w:szCs w:val="30"/>
          <w:lang w:val="en-US" w:eastAsia="zh-CN"/>
        </w:rPr>
        <w:t>九、询价过程。</w:t>
      </w:r>
    </w:p>
    <w:p w14:paraId="39B2D471">
      <w:pPr>
        <w:pageBreakBefore w:val="0"/>
        <w:kinsoku/>
        <w:wordWrap/>
        <w:topLinePunct w:val="0"/>
        <w:bidi w:val="0"/>
        <w:snapToGrid w:val="0"/>
        <w:spacing w:line="360" w:lineRule="auto"/>
        <w:jc w:val="left"/>
        <w:rPr>
          <w:rFonts w:ascii="仿宋_GB2312" w:eastAsia="仿宋_GB2312"/>
          <w:sz w:val="30"/>
          <w:szCs w:val="30"/>
        </w:rPr>
      </w:pPr>
      <w:r>
        <w:rPr>
          <w:rFonts w:hint="eastAsia" w:ascii="仿宋_GB2312" w:eastAsia="仿宋_GB2312"/>
          <w:sz w:val="30"/>
          <w:szCs w:val="30"/>
        </w:rPr>
        <w:t xml:space="preserve">    （一）</w:t>
      </w:r>
      <w:r>
        <w:rPr>
          <w:rFonts w:hint="eastAsia" w:ascii="仿宋_GB2312" w:eastAsia="仿宋_GB2312"/>
          <w:sz w:val="30"/>
          <w:szCs w:val="30"/>
          <w:lang w:val="en-US" w:eastAsia="zh-CN"/>
        </w:rPr>
        <w:t>采购人</w:t>
      </w:r>
      <w:r>
        <w:rPr>
          <w:rFonts w:hint="eastAsia" w:ascii="仿宋_GB2312" w:eastAsia="仿宋_GB2312"/>
          <w:sz w:val="30"/>
          <w:szCs w:val="30"/>
        </w:rPr>
        <w:t>组织3人</w:t>
      </w:r>
      <w:r>
        <w:rPr>
          <w:rFonts w:hint="eastAsia" w:ascii="仿宋_GB2312" w:eastAsia="仿宋_GB2312"/>
          <w:sz w:val="30"/>
          <w:szCs w:val="30"/>
          <w:lang w:eastAsia="zh-CN"/>
        </w:rPr>
        <w:t>或</w:t>
      </w:r>
      <w:r>
        <w:rPr>
          <w:rFonts w:hint="eastAsia" w:ascii="仿宋_GB2312" w:eastAsia="仿宋_GB2312"/>
          <w:sz w:val="30"/>
          <w:szCs w:val="30"/>
          <w:lang w:val="en-US" w:eastAsia="zh-CN"/>
        </w:rPr>
        <w:t>3人以上</w:t>
      </w:r>
      <w:r>
        <w:rPr>
          <w:rFonts w:hint="eastAsia" w:ascii="仿宋_GB2312" w:eastAsia="仿宋_GB2312"/>
          <w:sz w:val="30"/>
          <w:szCs w:val="30"/>
        </w:rPr>
        <w:t>组成询价评审小组。</w:t>
      </w:r>
    </w:p>
    <w:p w14:paraId="1B15F8AE">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（二）</w:t>
      </w:r>
      <w:r>
        <w:rPr>
          <w:rFonts w:hint="eastAsia" w:ascii="仿宋_GB2312" w:eastAsia="仿宋_GB2312"/>
          <w:sz w:val="30"/>
          <w:szCs w:val="30"/>
          <w:lang w:val="en-US" w:eastAsia="zh-CN"/>
        </w:rPr>
        <w:t>采购人</w:t>
      </w:r>
      <w:r>
        <w:rPr>
          <w:rFonts w:hint="eastAsia" w:ascii="仿宋_GB2312" w:eastAsia="仿宋_GB2312"/>
          <w:sz w:val="30"/>
          <w:szCs w:val="30"/>
        </w:rPr>
        <w:t>在询价文件规定的时间和地点</w:t>
      </w:r>
      <w:r>
        <w:rPr>
          <w:rFonts w:hint="eastAsia" w:ascii="仿宋_GB2312" w:eastAsia="仿宋_GB2312"/>
          <w:sz w:val="30"/>
          <w:szCs w:val="30"/>
          <w:lang w:eastAsia="zh-CN"/>
        </w:rPr>
        <w:t>进行开标</w:t>
      </w:r>
      <w:r>
        <w:rPr>
          <w:rFonts w:hint="eastAsia" w:ascii="仿宋_GB2312" w:eastAsia="仿宋_GB2312"/>
          <w:sz w:val="30"/>
          <w:szCs w:val="30"/>
        </w:rPr>
        <w:t>。</w:t>
      </w:r>
    </w:p>
    <w:p w14:paraId="598C5C1C">
      <w:pPr>
        <w:pageBreakBefore w:val="0"/>
        <w:kinsoku/>
        <w:wordWrap/>
        <w:topLinePunct w:val="0"/>
        <w:bidi w:val="0"/>
        <w:snapToGrid w:val="0"/>
        <w:spacing w:line="360" w:lineRule="auto"/>
        <w:ind w:firstLine="600" w:firstLineChars="200"/>
        <w:jc w:val="left"/>
        <w:rPr>
          <w:rFonts w:ascii="仿宋_GB2312" w:eastAsia="仿宋_GB2312"/>
          <w:sz w:val="30"/>
          <w:szCs w:val="30"/>
        </w:rPr>
      </w:pPr>
      <w:r>
        <w:rPr>
          <w:rFonts w:hint="eastAsia" w:ascii="仿宋_GB2312" w:eastAsia="仿宋_GB2312"/>
          <w:sz w:val="30"/>
          <w:szCs w:val="30"/>
        </w:rPr>
        <w:t>（三）</w:t>
      </w:r>
      <w:r>
        <w:rPr>
          <w:rFonts w:hint="eastAsia" w:ascii="仿宋_GB2312" w:eastAsia="仿宋_GB2312"/>
          <w:sz w:val="30"/>
          <w:szCs w:val="30"/>
          <w:lang w:eastAsia="zh-CN"/>
        </w:rPr>
        <w:t>开标</w:t>
      </w:r>
      <w:r>
        <w:rPr>
          <w:rFonts w:hint="eastAsia" w:ascii="仿宋_GB2312" w:eastAsia="仿宋_GB2312"/>
          <w:sz w:val="30"/>
          <w:szCs w:val="30"/>
        </w:rPr>
        <w:t>时，</w:t>
      </w:r>
      <w:r>
        <w:rPr>
          <w:rFonts w:hint="eastAsia" w:ascii="仿宋_GB2312" w:eastAsia="仿宋_GB2312"/>
          <w:sz w:val="30"/>
          <w:szCs w:val="30"/>
          <w:lang w:val="en-US" w:eastAsia="zh-CN"/>
        </w:rPr>
        <w:t>采购人</w:t>
      </w:r>
      <w:r>
        <w:rPr>
          <w:rFonts w:hint="eastAsia" w:ascii="仿宋_GB2312" w:eastAsia="仿宋_GB2312"/>
          <w:sz w:val="30"/>
          <w:szCs w:val="30"/>
        </w:rPr>
        <w:t>将查验报价文件密封情况，确认无误后公开拆封报价文件报价。</w:t>
      </w:r>
    </w:p>
    <w:p w14:paraId="06430990">
      <w:pPr>
        <w:pageBreakBefore w:val="0"/>
        <w:kinsoku/>
        <w:wordWrap/>
        <w:topLinePunct w:val="0"/>
        <w:bidi w:val="0"/>
        <w:snapToGrid w:val="0"/>
        <w:spacing w:line="360" w:lineRule="auto"/>
        <w:ind w:right="-176" w:rightChars="-84" w:firstLine="600"/>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重新询价和不再询价。</w:t>
      </w:r>
    </w:p>
    <w:p w14:paraId="0D7FF31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（一）重新询价</w:t>
      </w:r>
    </w:p>
    <w:p w14:paraId="3313344D">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eastAsia="zh-CN"/>
        </w:rPr>
        <w:t>询价截止时间止，报价人少于3家的或经评审后有效标不足3家，采购人将重新询价。</w:t>
      </w:r>
    </w:p>
    <w:p w14:paraId="29100C71">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（二）不再询价</w:t>
      </w:r>
    </w:p>
    <w:p w14:paraId="33622BEC">
      <w:pPr>
        <w:pageBreakBefore w:val="0"/>
        <w:kinsoku/>
        <w:wordWrap/>
        <w:topLinePunct w:val="0"/>
        <w:bidi w:val="0"/>
        <w:snapToGrid w:val="0"/>
        <w:spacing w:line="360" w:lineRule="auto"/>
        <w:ind w:firstLine="600" w:firstLineChars="200"/>
        <w:jc w:val="left"/>
        <w:rPr>
          <w:rFonts w:hint="eastAsia" w:ascii="仿宋_GB2312" w:eastAsia="仿宋_GB2312"/>
          <w:sz w:val="30"/>
          <w:szCs w:val="30"/>
          <w:lang w:val="en-US" w:eastAsia="zh-CN"/>
        </w:rPr>
      </w:pPr>
      <w:r>
        <w:rPr>
          <w:rFonts w:hint="eastAsia" w:ascii="仿宋_GB2312" w:eastAsia="仿宋_GB2312"/>
          <w:sz w:val="30"/>
          <w:szCs w:val="30"/>
          <w:lang w:val="en-US" w:eastAsia="zh-CN"/>
        </w:rPr>
        <w:t>重新询价后报价人仍少于3个或者经评审有效标不足3家，直接转为竞争性谈判，询价文件即为谈判文件，评标小组成员即为谈判小组成员。</w:t>
      </w:r>
    </w:p>
    <w:p w14:paraId="78FC0D2E">
      <w:pPr>
        <w:pageBreakBefore w:val="0"/>
        <w:kinsoku/>
        <w:wordWrap/>
        <w:topLinePunct w:val="0"/>
        <w:bidi w:val="0"/>
        <w:snapToGrid w:val="0"/>
        <w:spacing w:line="360" w:lineRule="auto"/>
        <w:ind w:firstLine="602" w:firstLineChars="200"/>
        <w:jc w:val="left"/>
        <w:outlineLvl w:val="1"/>
        <w:rPr>
          <w:rFonts w:ascii="仿宋_GB2312" w:eastAsia="仿宋_GB2312"/>
          <w:b/>
          <w:bCs/>
          <w:color w:val="auto"/>
          <w:sz w:val="30"/>
          <w:szCs w:val="30"/>
          <w:highlight w:val="none"/>
        </w:rPr>
      </w:pPr>
      <w:r>
        <w:rPr>
          <w:rFonts w:hint="eastAsia" w:ascii="仿宋_GB2312" w:eastAsia="仿宋_GB2312"/>
          <w:b/>
          <w:bCs/>
          <w:color w:val="auto"/>
          <w:sz w:val="30"/>
          <w:szCs w:val="30"/>
          <w:highlight w:val="none"/>
          <w:lang w:eastAsia="zh-CN"/>
        </w:rPr>
        <w:t>十一、</w:t>
      </w:r>
      <w:r>
        <w:rPr>
          <w:rFonts w:hint="eastAsia" w:ascii="仿宋_GB2312" w:eastAsia="仿宋_GB2312"/>
          <w:b/>
          <w:bCs/>
          <w:color w:val="auto"/>
          <w:sz w:val="30"/>
          <w:szCs w:val="30"/>
          <w:highlight w:val="none"/>
        </w:rPr>
        <w:t>成交原则与</w:t>
      </w:r>
      <w:r>
        <w:rPr>
          <w:rFonts w:hint="eastAsia" w:ascii="仿宋_GB2312" w:eastAsia="仿宋_GB2312"/>
          <w:b/>
          <w:bCs/>
          <w:color w:val="auto"/>
          <w:sz w:val="30"/>
          <w:szCs w:val="30"/>
          <w:highlight w:val="none"/>
          <w:lang w:val="en-US" w:eastAsia="zh-CN"/>
        </w:rPr>
        <w:t>二次报价</w:t>
      </w:r>
      <w:r>
        <w:rPr>
          <w:rFonts w:hint="eastAsia" w:ascii="仿宋_GB2312" w:eastAsia="仿宋_GB2312"/>
          <w:b/>
          <w:bCs/>
          <w:color w:val="auto"/>
          <w:sz w:val="30"/>
          <w:szCs w:val="30"/>
          <w:highlight w:val="none"/>
        </w:rPr>
        <w:t>。</w:t>
      </w:r>
    </w:p>
    <w:p w14:paraId="366C9130">
      <w:pPr>
        <w:pageBreakBefore w:val="0"/>
        <w:kinsoku/>
        <w:wordWrap/>
        <w:topLinePunct w:val="0"/>
        <w:bidi w:val="0"/>
        <w:snapToGrid w:val="0"/>
        <w:spacing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（一）为保障公司利益最大化，在初次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基础上，我司将开展二次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rPr>
        <w:t>工作。</w:t>
      </w:r>
      <w:r>
        <w:rPr>
          <w:rFonts w:hint="eastAsia" w:ascii="仿宋_GB2312" w:eastAsia="仿宋_GB2312"/>
          <w:color w:val="auto"/>
          <w:sz w:val="30"/>
          <w:szCs w:val="30"/>
          <w:highlight w:val="none"/>
          <w:lang w:eastAsia="zh-CN"/>
        </w:rPr>
        <w:t>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将针对初次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中部分关键条款或价格存在调整空间的物资/服务，</w:t>
      </w:r>
      <w:r>
        <w:rPr>
          <w:rFonts w:hint="eastAsia" w:ascii="仿宋_GB2312" w:eastAsia="仿宋_GB2312"/>
          <w:color w:val="auto"/>
          <w:sz w:val="30"/>
          <w:szCs w:val="30"/>
          <w:highlight w:val="none"/>
          <w:lang w:val="en-US" w:eastAsia="zh-CN"/>
        </w:rPr>
        <w:t>遵循公平、公正、公开的原则进行。</w:t>
      </w:r>
      <w:r>
        <w:rPr>
          <w:rFonts w:hint="eastAsia" w:ascii="仿宋_GB2312" w:eastAsia="仿宋_GB2312"/>
          <w:color w:val="auto"/>
          <w:sz w:val="30"/>
          <w:szCs w:val="30"/>
          <w:highlight w:val="none"/>
          <w:lang w:eastAsia="zh-CN"/>
        </w:rPr>
        <w:t>参与二次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的报价人需严格按照</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lang w:eastAsia="zh-CN"/>
        </w:rPr>
        <w:t>提供的二次</w:t>
      </w:r>
      <w:r>
        <w:rPr>
          <w:rFonts w:hint="eastAsia" w:ascii="仿宋_GB2312" w:eastAsia="仿宋_GB2312"/>
          <w:color w:val="auto"/>
          <w:sz w:val="30"/>
          <w:szCs w:val="30"/>
          <w:highlight w:val="none"/>
          <w:lang w:val="en-US" w:eastAsia="zh-CN"/>
        </w:rPr>
        <w:t>报价</w:t>
      </w:r>
      <w:r>
        <w:rPr>
          <w:rFonts w:hint="eastAsia" w:ascii="仿宋_GB2312" w:eastAsia="仿宋_GB2312"/>
          <w:color w:val="auto"/>
          <w:sz w:val="30"/>
          <w:szCs w:val="30"/>
          <w:highlight w:val="none"/>
          <w:lang w:eastAsia="zh-CN"/>
        </w:rPr>
        <w:t>文件要求，在规定的时间内提交详细且具有竞争力的报价及相关说明。报价应涵盖所有费用明细，确保清晰透明。报价人在二次报价时，除需提供更新后的价格信息外，还需对初次报价中的相关疑问或我司提出的特定要求做出明确回应，确保报价的完整性与准确性。</w:t>
      </w:r>
      <w:r>
        <w:rPr>
          <w:rFonts w:hint="eastAsia" w:ascii="仿宋_GB2312" w:eastAsia="仿宋_GB2312"/>
          <w:color w:val="auto"/>
          <w:sz w:val="30"/>
          <w:szCs w:val="30"/>
          <w:highlight w:val="none"/>
          <w:lang w:val="en-US" w:eastAsia="zh-CN"/>
        </w:rPr>
        <w:t>采购人将严格按照既定的招标流程和时间安排，向符合条件的报价人电话发出二次报价通知。报价人的二次报价一经提交，不得更改。采购人组织评审小组对各单位的二次报价资料当场进行审核，在满足采购人要求的前提下，以二次报价金额最低价成交的原则确定中标单位。若出现税率不一致的情况，将以不含税总金额进行比对。 如果出现相同总金额最低报价情况时</w:t>
      </w:r>
      <w:r>
        <w:rPr>
          <w:rFonts w:hint="eastAsia" w:ascii="仿宋_GB2312" w:eastAsia="仿宋_GB2312"/>
          <w:color w:val="auto"/>
          <w:sz w:val="30"/>
          <w:szCs w:val="30"/>
          <w:highlight w:val="none"/>
        </w:rPr>
        <w:t>，总金额最低报价相同的</w:t>
      </w:r>
      <w:r>
        <w:rPr>
          <w:rFonts w:hint="eastAsia" w:ascii="仿宋_GB2312" w:eastAsia="仿宋_GB2312"/>
          <w:color w:val="auto"/>
          <w:sz w:val="30"/>
          <w:szCs w:val="30"/>
          <w:highlight w:val="none"/>
          <w:lang w:val="en-US" w:eastAsia="zh-CN"/>
        </w:rPr>
        <w:t>报价人</w:t>
      </w:r>
      <w:r>
        <w:rPr>
          <w:rFonts w:hint="eastAsia" w:ascii="仿宋_GB2312" w:eastAsia="仿宋_GB2312"/>
          <w:color w:val="auto"/>
          <w:sz w:val="30"/>
          <w:szCs w:val="30"/>
          <w:highlight w:val="none"/>
        </w:rPr>
        <w:t>再进行一轮报价。如报价再相同，则由</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抽签决定</w:t>
      </w:r>
      <w:r>
        <w:rPr>
          <w:rFonts w:hint="eastAsia" w:ascii="仿宋_GB2312" w:eastAsia="仿宋_GB2312"/>
          <w:color w:val="auto"/>
          <w:sz w:val="30"/>
          <w:szCs w:val="30"/>
          <w:highlight w:val="none"/>
          <w:lang w:val="en-US" w:eastAsia="zh-CN"/>
        </w:rPr>
        <w:t>中标单位。</w:t>
      </w:r>
    </w:p>
    <w:p w14:paraId="2379838A">
      <w:pPr>
        <w:pStyle w:val="12"/>
        <w:snapToGrid/>
        <w:spacing w:line="360" w:lineRule="auto"/>
        <w:rPr>
          <w:rFonts w:hint="eastAsia"/>
          <w:color w:val="auto"/>
          <w:lang w:eastAsia="zh-CN"/>
        </w:rPr>
      </w:pP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lang w:val="en-US" w:eastAsia="zh-CN"/>
        </w:rPr>
        <w:t>二次报价流程仅限于采购总金额限价人民币10万元（含）以上的采购项目展开，若采购总金额限价低于人民币10万元（不含）则不进行二次报价，以初次递交报价文件为最终报价。</w:t>
      </w:r>
    </w:p>
    <w:p w14:paraId="7BB50CC3">
      <w:pPr>
        <w:pStyle w:val="12"/>
        <w:snapToGrid/>
        <w:spacing w:line="360" w:lineRule="auto"/>
        <w:ind w:left="0" w:leftChars="0" w:firstLine="600" w:firstLineChars="0"/>
        <w:rPr>
          <w:rFonts w:hint="default"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三）参与二次报价的报价人需在接到采购人电话通知后30分钟内将盖章后的二次报价文件电子版发至邮箱dzw@sxszsny.com。若超过30分钟采购人未收到准确有效的二次报价文件，则默认报价人保持原价。二次报价文件内容参照附件“二次报价一览表”。</w:t>
      </w:r>
    </w:p>
    <w:p w14:paraId="2E154B8E">
      <w:pPr>
        <w:pageBreakBefore w:val="0"/>
        <w:kinsoku/>
        <w:wordWrap/>
        <w:topLinePunct w:val="0"/>
        <w:bidi w:val="0"/>
        <w:snapToGrid w:val="0"/>
        <w:spacing w:line="360" w:lineRule="auto"/>
        <w:ind w:left="974" w:leftChars="64" w:hanging="840" w:hangingChars="280"/>
        <w:jc w:val="left"/>
        <w:rPr>
          <w:rFonts w:ascii="仿宋_GB2312" w:eastAsia="仿宋_GB2312"/>
          <w:color w:val="auto"/>
          <w:sz w:val="30"/>
          <w:szCs w:val="30"/>
        </w:rPr>
      </w:pPr>
      <w:r>
        <w:rPr>
          <w:rFonts w:hint="eastAsia" w:ascii="仿宋_GB2312" w:eastAsia="仿宋_GB2312"/>
          <w:color w:val="auto"/>
          <w:sz w:val="30"/>
          <w:szCs w:val="30"/>
          <w:highlight w:val="none"/>
        </w:rPr>
        <w:t xml:space="preserve">   （</w:t>
      </w:r>
      <w:r>
        <w:rPr>
          <w:rFonts w:hint="eastAsia" w:ascii="仿宋_GB2312" w:eastAsia="仿宋_GB2312"/>
          <w:color w:val="auto"/>
          <w:sz w:val="30"/>
          <w:szCs w:val="30"/>
          <w:highlight w:val="none"/>
          <w:lang w:val="en-US" w:eastAsia="zh-CN"/>
        </w:rPr>
        <w:t>四</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采购人</w:t>
      </w:r>
      <w:r>
        <w:rPr>
          <w:rFonts w:hint="eastAsia" w:ascii="仿宋_GB2312" w:eastAsia="仿宋_GB2312"/>
          <w:color w:val="auto"/>
          <w:sz w:val="30"/>
          <w:szCs w:val="30"/>
          <w:highlight w:val="none"/>
        </w:rPr>
        <w:t>不向未</w:t>
      </w:r>
      <w:r>
        <w:rPr>
          <w:rFonts w:hint="eastAsia" w:ascii="仿宋_GB2312" w:eastAsia="仿宋_GB2312"/>
          <w:color w:val="auto"/>
          <w:sz w:val="30"/>
          <w:szCs w:val="30"/>
          <w:highlight w:val="none"/>
          <w:lang w:val="en-US" w:eastAsia="zh-CN"/>
        </w:rPr>
        <w:t>中标单位</w:t>
      </w:r>
      <w:r>
        <w:rPr>
          <w:rFonts w:hint="eastAsia" w:ascii="仿宋_GB2312" w:eastAsia="仿宋_GB2312"/>
          <w:color w:val="auto"/>
          <w:sz w:val="30"/>
          <w:szCs w:val="30"/>
          <w:highlight w:val="none"/>
        </w:rPr>
        <w:t>解释未成交原因，不退还报价文件。</w:t>
      </w:r>
    </w:p>
    <w:p w14:paraId="43F8FA11">
      <w:pPr>
        <w:pStyle w:val="20"/>
        <w:pageBreakBefore w:val="0"/>
        <w:widowControl w:val="0"/>
        <w:kinsoku/>
        <w:wordWrap/>
        <w:topLinePunct w:val="0"/>
        <w:bidi w:val="0"/>
        <w:snapToGrid w:val="0"/>
        <w:spacing w:line="360" w:lineRule="auto"/>
        <w:ind w:firstLine="601"/>
        <w:outlineLvl w:val="1"/>
        <w:rPr>
          <w:rFonts w:hint="eastAsia" w:ascii="仿宋_GB2312" w:eastAsia="仿宋_GB2312"/>
          <w:b/>
          <w:bCs/>
          <w:sz w:val="30"/>
          <w:szCs w:val="30"/>
          <w:lang w:eastAsia="zh-CN"/>
        </w:rPr>
      </w:pPr>
      <w:r>
        <w:rPr>
          <w:rFonts w:hint="eastAsia" w:ascii="仿宋_GB2312" w:eastAsia="仿宋_GB2312"/>
          <w:b/>
          <w:bCs/>
          <w:sz w:val="30"/>
          <w:szCs w:val="30"/>
        </w:rPr>
        <w:t>十</w:t>
      </w:r>
      <w:r>
        <w:rPr>
          <w:rFonts w:hint="eastAsia" w:ascii="仿宋_GB2312" w:eastAsia="仿宋_GB2312"/>
          <w:b/>
          <w:bCs/>
          <w:sz w:val="30"/>
          <w:szCs w:val="30"/>
          <w:lang w:eastAsia="zh-CN"/>
        </w:rPr>
        <w:t>二</w:t>
      </w:r>
      <w:r>
        <w:rPr>
          <w:rFonts w:hint="eastAsia" w:ascii="仿宋_GB2312" w:eastAsia="仿宋_GB2312"/>
          <w:b/>
          <w:bCs/>
          <w:sz w:val="30"/>
          <w:szCs w:val="30"/>
        </w:rPr>
        <w:t>、合同</w:t>
      </w:r>
      <w:r>
        <w:rPr>
          <w:rFonts w:hint="eastAsia" w:ascii="仿宋_GB2312" w:eastAsia="仿宋_GB2312"/>
          <w:b/>
          <w:bCs/>
          <w:sz w:val="30"/>
          <w:szCs w:val="30"/>
          <w:lang w:eastAsia="zh-CN"/>
        </w:rPr>
        <w:t>。</w:t>
      </w:r>
    </w:p>
    <w:p w14:paraId="5D3BE94D">
      <w:pPr>
        <w:pageBreakBefore w:val="0"/>
        <w:kinsoku/>
        <w:wordWrap/>
        <w:topLinePunct w:val="0"/>
        <w:bidi w:val="0"/>
        <w:snapToGrid w:val="0"/>
        <w:spacing w:line="360" w:lineRule="auto"/>
        <w:ind w:firstLine="600" w:firstLineChars="200"/>
        <w:jc w:val="left"/>
        <w:rPr>
          <w:rFonts w:hint="eastAsia" w:ascii="仿宋_GB2312" w:hAnsi="Times New Roman" w:eastAsia="仿宋_GB2312" w:cs="Times New Roman"/>
          <w:sz w:val="30"/>
          <w:szCs w:val="30"/>
          <w:lang w:eastAsia="zh-CN"/>
        </w:rPr>
      </w:pPr>
      <w:r>
        <w:rPr>
          <w:rFonts w:hint="eastAsia" w:ascii="仿宋_GB2312" w:eastAsia="仿宋_GB2312"/>
          <w:sz w:val="30"/>
          <w:szCs w:val="30"/>
        </w:rPr>
        <w:t>合同签订：</w:t>
      </w:r>
      <w:r>
        <w:rPr>
          <w:rFonts w:hint="eastAsia" w:ascii="仿宋_GB2312" w:eastAsia="仿宋_GB2312"/>
          <w:sz w:val="30"/>
          <w:szCs w:val="30"/>
          <w:lang w:val="en-US" w:eastAsia="zh-CN"/>
        </w:rPr>
        <w:t>报价人</w:t>
      </w:r>
      <w:r>
        <w:rPr>
          <w:rFonts w:hint="eastAsia" w:ascii="仿宋_GB2312" w:eastAsia="仿宋_GB2312"/>
          <w:sz w:val="30"/>
          <w:szCs w:val="30"/>
        </w:rPr>
        <w:t>按照上述第十</w:t>
      </w:r>
      <w:r>
        <w:rPr>
          <w:rFonts w:hint="eastAsia" w:ascii="仿宋_GB2312" w:eastAsia="仿宋_GB2312"/>
          <w:sz w:val="30"/>
          <w:szCs w:val="30"/>
          <w:lang w:eastAsia="zh-CN"/>
        </w:rPr>
        <w:t>一</w:t>
      </w:r>
      <w:r>
        <w:rPr>
          <w:rFonts w:hint="eastAsia" w:ascii="仿宋_GB2312" w:eastAsia="仿宋_GB2312"/>
          <w:sz w:val="30"/>
          <w:szCs w:val="30"/>
        </w:rPr>
        <w:t>条规定确定</w:t>
      </w:r>
      <w:r>
        <w:rPr>
          <w:rFonts w:hint="eastAsia" w:ascii="仿宋_GB2312" w:eastAsia="仿宋_GB2312"/>
          <w:sz w:val="30"/>
          <w:szCs w:val="30"/>
          <w:lang w:val="en-US" w:eastAsia="zh-CN"/>
        </w:rPr>
        <w:t>中标单位</w:t>
      </w:r>
      <w:r>
        <w:rPr>
          <w:rFonts w:hint="eastAsia" w:ascii="仿宋_GB2312" w:eastAsia="仿宋_GB2312"/>
          <w:sz w:val="30"/>
          <w:szCs w:val="30"/>
        </w:rPr>
        <w:t>，并签订采购合同，签约单位为</w:t>
      </w:r>
      <w:r>
        <w:rPr>
          <w:rFonts w:hint="eastAsia" w:ascii="仿宋_GB2312" w:eastAsia="仿宋_GB2312"/>
          <w:sz w:val="30"/>
          <w:szCs w:val="30"/>
          <w:lang w:eastAsia="zh-CN"/>
        </w:rPr>
        <w:t>绍兴市再生能源发展有限公司</w:t>
      </w:r>
      <w:r>
        <w:rPr>
          <w:rFonts w:hint="eastAsia" w:ascii="仿宋_GB2312" w:eastAsia="仿宋_GB2312"/>
          <w:sz w:val="30"/>
          <w:szCs w:val="30"/>
        </w:rPr>
        <w:t>。合同履行期间，采购人可根据实际需要，按照成交价格，调整采购数量。</w:t>
      </w:r>
      <w:r>
        <w:rPr>
          <w:rFonts w:hint="eastAsia" w:ascii="仿宋_GB2312" w:hAnsi="Times New Roman" w:eastAsia="仿宋_GB2312" w:cs="Times New Roman"/>
          <w:sz w:val="30"/>
          <w:szCs w:val="30"/>
          <w:lang w:eastAsia="zh-CN"/>
        </w:rPr>
        <w:t>（成交价格及采购数量不得超过原合同的百分之十）</w:t>
      </w:r>
    </w:p>
    <w:p w14:paraId="13281489">
      <w:pPr>
        <w:pageBreakBefore w:val="0"/>
        <w:kinsoku/>
        <w:wordWrap/>
        <w:topLinePunct w:val="0"/>
        <w:bidi w:val="0"/>
        <w:snapToGrid w:val="0"/>
        <w:spacing w:line="360" w:lineRule="auto"/>
        <w:ind w:firstLine="600" w:firstLineChars="200"/>
        <w:jc w:val="left"/>
        <w:rPr>
          <w:rFonts w:hint="eastAsia"/>
        </w:rPr>
      </w:pPr>
      <w:r>
        <w:rPr>
          <w:rFonts w:hint="eastAsia" w:ascii="仿宋_GB2312" w:eastAsia="仿宋_GB2312"/>
          <w:sz w:val="30"/>
          <w:szCs w:val="30"/>
          <w:lang w:eastAsia="zh-CN"/>
        </w:rPr>
        <w:t>标书内合同主要条款为拟定条款，具体合同条款在签订合同时由双方协商后确定。</w:t>
      </w:r>
    </w:p>
    <w:p w14:paraId="60B7FBAB">
      <w:pPr>
        <w:keepNext w:val="0"/>
        <w:keepLines w:val="0"/>
        <w:pageBreakBefore w:val="0"/>
        <w:widowControl w:val="0"/>
        <w:kinsoku/>
        <w:wordWrap/>
        <w:overflowPunct/>
        <w:topLinePunct w:val="0"/>
        <w:autoSpaceDE/>
        <w:autoSpaceDN/>
        <w:bidi w:val="0"/>
        <w:adjustRightInd/>
        <w:snapToGrid w:val="0"/>
        <w:spacing w:line="360" w:lineRule="auto"/>
        <w:ind w:firstLine="602" w:firstLineChars="200"/>
        <w:textAlignment w:val="auto"/>
        <w:outlineLvl w:val="1"/>
        <w:rPr>
          <w:rFonts w:hint="eastAsia" w:ascii="仿宋" w:hAnsi="仿宋" w:eastAsia="仿宋" w:cs="仿宋"/>
          <w:b/>
          <w:bCs/>
          <w:sz w:val="30"/>
          <w:szCs w:val="30"/>
        </w:rPr>
      </w:pPr>
      <w:r>
        <w:rPr>
          <w:rFonts w:hint="eastAsia" w:ascii="仿宋" w:hAnsi="仿宋" w:eastAsia="仿宋" w:cs="仿宋"/>
          <w:b/>
          <w:bCs/>
          <w:sz w:val="30"/>
          <w:szCs w:val="30"/>
        </w:rPr>
        <w:t>十</w:t>
      </w:r>
      <w:r>
        <w:rPr>
          <w:rFonts w:hint="eastAsia" w:ascii="仿宋" w:hAnsi="仿宋" w:eastAsia="仿宋" w:cs="仿宋"/>
          <w:b/>
          <w:bCs/>
          <w:sz w:val="30"/>
          <w:szCs w:val="30"/>
          <w:lang w:val="en-US" w:eastAsia="zh-CN"/>
        </w:rPr>
        <w:t>三</w:t>
      </w:r>
      <w:r>
        <w:rPr>
          <w:rFonts w:hint="eastAsia" w:ascii="仿宋" w:hAnsi="仿宋" w:eastAsia="仿宋" w:cs="仿宋"/>
          <w:b/>
          <w:bCs/>
          <w:sz w:val="30"/>
          <w:szCs w:val="30"/>
        </w:rPr>
        <w:t>、其他。</w:t>
      </w:r>
    </w:p>
    <w:p w14:paraId="3C874DA5">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（一）如果有证据证明各</w:t>
      </w:r>
      <w:r>
        <w:rPr>
          <w:rFonts w:hint="eastAsia" w:ascii="仿宋" w:hAnsi="仿宋" w:eastAsia="仿宋" w:cs="仿宋"/>
          <w:sz w:val="30"/>
          <w:szCs w:val="30"/>
          <w:lang w:eastAsia="zh-CN"/>
        </w:rPr>
        <w:t>报价人</w:t>
      </w:r>
      <w:r>
        <w:rPr>
          <w:rFonts w:hint="eastAsia" w:ascii="仿宋" w:hAnsi="仿宋" w:eastAsia="仿宋" w:cs="仿宋"/>
          <w:sz w:val="30"/>
          <w:szCs w:val="30"/>
        </w:rPr>
        <w:t>之间存在串通等舞弊、违法行为，</w:t>
      </w:r>
      <w:r>
        <w:rPr>
          <w:rFonts w:hint="eastAsia" w:ascii="仿宋" w:hAnsi="仿宋" w:eastAsia="仿宋" w:cs="仿宋"/>
          <w:sz w:val="30"/>
          <w:szCs w:val="30"/>
          <w:lang w:eastAsia="zh-CN"/>
        </w:rPr>
        <w:t>采购人</w:t>
      </w:r>
      <w:r>
        <w:rPr>
          <w:rFonts w:hint="eastAsia" w:ascii="仿宋" w:hAnsi="仿宋" w:eastAsia="仿宋" w:cs="仿宋"/>
          <w:sz w:val="30"/>
          <w:szCs w:val="30"/>
        </w:rPr>
        <w:t>有权拒绝存在此行为的</w:t>
      </w:r>
      <w:r>
        <w:rPr>
          <w:rFonts w:hint="eastAsia" w:ascii="仿宋" w:hAnsi="仿宋" w:eastAsia="仿宋" w:cs="仿宋"/>
          <w:sz w:val="30"/>
          <w:szCs w:val="30"/>
          <w:lang w:eastAsia="zh-CN"/>
        </w:rPr>
        <w:t>报价人</w:t>
      </w:r>
      <w:r>
        <w:rPr>
          <w:rFonts w:hint="eastAsia" w:ascii="仿宋" w:hAnsi="仿宋" w:eastAsia="仿宋" w:cs="仿宋"/>
          <w:sz w:val="30"/>
          <w:szCs w:val="30"/>
        </w:rPr>
        <w:t>报价。</w:t>
      </w:r>
    </w:p>
    <w:p w14:paraId="0ECF30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（二）本询价文件未及事项，在签订合同时双方友好商定。</w:t>
      </w:r>
    </w:p>
    <w:p w14:paraId="6A507DF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（三）凡涉及本次询价的解释权均属于</w:t>
      </w:r>
      <w:r>
        <w:rPr>
          <w:rFonts w:hint="eastAsia" w:ascii="仿宋" w:hAnsi="仿宋" w:eastAsia="仿宋" w:cs="仿宋"/>
          <w:sz w:val="30"/>
          <w:szCs w:val="30"/>
          <w:lang w:eastAsia="zh-CN"/>
        </w:rPr>
        <w:t>绍兴市再生能源发展有限公司</w:t>
      </w:r>
      <w:r>
        <w:rPr>
          <w:rFonts w:hint="eastAsia" w:ascii="仿宋" w:hAnsi="仿宋" w:eastAsia="仿宋" w:cs="仿宋"/>
          <w:sz w:val="30"/>
          <w:szCs w:val="30"/>
        </w:rPr>
        <w:t>。</w:t>
      </w:r>
    </w:p>
    <w:p w14:paraId="6BD434A3">
      <w:pPr>
        <w:pStyle w:val="2"/>
        <w:numPr>
          <w:ilvl w:val="0"/>
          <w:numId w:val="0"/>
        </w:numPr>
        <w:jc w:val="center"/>
        <w:outlineLvl w:val="9"/>
        <w:rPr>
          <w:rFonts w:hint="eastAsia" w:ascii="仿宋" w:hAnsi="仿宋" w:eastAsia="仿宋" w:cs="仿宋"/>
          <w:snapToGrid w:val="0"/>
          <w:sz w:val="44"/>
          <w:szCs w:val="44"/>
        </w:rPr>
      </w:pPr>
    </w:p>
    <w:p w14:paraId="5108F7AF">
      <w:pPr>
        <w:rPr>
          <w:rFonts w:hint="eastAsia" w:ascii="仿宋" w:hAnsi="仿宋" w:eastAsia="仿宋" w:cs="仿宋"/>
          <w:snapToGrid w:val="0"/>
          <w:sz w:val="44"/>
          <w:szCs w:val="44"/>
        </w:rPr>
      </w:pPr>
    </w:p>
    <w:p w14:paraId="1ACF9921">
      <w:pPr>
        <w:pStyle w:val="4"/>
        <w:rPr>
          <w:rFonts w:hint="eastAsia" w:ascii="仿宋" w:hAnsi="仿宋" w:eastAsia="仿宋" w:cs="仿宋"/>
          <w:snapToGrid w:val="0"/>
          <w:sz w:val="44"/>
          <w:szCs w:val="44"/>
        </w:rPr>
      </w:pPr>
    </w:p>
    <w:p w14:paraId="5677F180">
      <w:pPr>
        <w:pStyle w:val="2"/>
        <w:numPr>
          <w:ilvl w:val="0"/>
          <w:numId w:val="0"/>
        </w:numPr>
        <w:jc w:val="both"/>
        <w:rPr>
          <w:rFonts w:hint="eastAsia" w:ascii="仿宋" w:hAnsi="仿宋" w:eastAsia="仿宋" w:cs="仿宋"/>
          <w:snapToGrid w:val="0"/>
          <w:sz w:val="44"/>
          <w:szCs w:val="44"/>
        </w:rPr>
      </w:pPr>
    </w:p>
    <w:p w14:paraId="4BFC861E">
      <w:pPr>
        <w:rPr>
          <w:rFonts w:hint="eastAsia" w:ascii="仿宋" w:hAnsi="仿宋" w:eastAsia="仿宋" w:cs="仿宋"/>
          <w:snapToGrid w:val="0"/>
          <w:sz w:val="44"/>
          <w:szCs w:val="44"/>
        </w:rPr>
      </w:pPr>
    </w:p>
    <w:p w14:paraId="694DD683">
      <w:pPr>
        <w:pStyle w:val="12"/>
        <w:rPr>
          <w:rFonts w:hint="eastAsia"/>
        </w:rPr>
      </w:pPr>
    </w:p>
    <w:p w14:paraId="0A40157F">
      <w:pPr>
        <w:pStyle w:val="12"/>
        <w:rPr>
          <w:rFonts w:hint="eastAsia"/>
        </w:rPr>
      </w:pPr>
    </w:p>
    <w:p w14:paraId="7777F8FC">
      <w:pPr>
        <w:pStyle w:val="2"/>
        <w:numPr>
          <w:ilvl w:val="0"/>
          <w:numId w:val="0"/>
        </w:numPr>
        <w:jc w:val="center"/>
        <w:rPr>
          <w:rFonts w:hint="eastAsia" w:ascii="仿宋" w:hAnsi="仿宋" w:eastAsia="仿宋" w:cs="仿宋"/>
          <w:b w:val="0"/>
          <w:bCs/>
          <w:snapToGrid w:val="0"/>
          <w:sz w:val="44"/>
          <w:highlight w:val="none"/>
        </w:rPr>
      </w:pPr>
      <w:bookmarkStart w:id="12" w:name="_Toc31003"/>
      <w:r>
        <w:rPr>
          <w:rFonts w:hint="eastAsia" w:ascii="仿宋" w:hAnsi="仿宋" w:eastAsia="仿宋" w:cs="仿宋"/>
          <w:snapToGrid w:val="0"/>
          <w:sz w:val="44"/>
          <w:szCs w:val="44"/>
          <w:highlight w:val="none"/>
        </w:rPr>
        <w:t>第三部分   询价内容</w:t>
      </w:r>
      <w:bookmarkEnd w:id="7"/>
      <w:bookmarkEnd w:id="8"/>
      <w:bookmarkEnd w:id="12"/>
    </w:p>
    <w:p w14:paraId="19320ECE">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eastAsia="zh-CN"/>
        </w:rPr>
        <w:t>一、</w:t>
      </w:r>
      <w:r>
        <w:rPr>
          <w:rFonts w:hint="eastAsia" w:ascii="仿宋" w:hAnsi="仿宋" w:eastAsia="仿宋" w:cs="仿宋"/>
          <w:color w:val="auto"/>
          <w:kern w:val="2"/>
          <w:sz w:val="30"/>
          <w:szCs w:val="30"/>
          <w:highlight w:val="none"/>
        </w:rPr>
        <w:t>采购内容及相关说明</w:t>
      </w:r>
    </w:p>
    <w:p w14:paraId="5B18D0B5">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eastAsia="zh-CN"/>
        </w:rPr>
      </w:pPr>
      <w:r>
        <w:rPr>
          <w:rFonts w:hint="eastAsia" w:ascii="仿宋" w:hAnsi="仿宋" w:eastAsia="仿宋" w:cs="仿宋"/>
          <w:color w:val="auto"/>
          <w:kern w:val="2"/>
          <w:sz w:val="30"/>
          <w:szCs w:val="30"/>
          <w:highlight w:val="none"/>
          <w:lang w:val="en-US" w:eastAsia="zh-CN"/>
        </w:rPr>
        <w:t>详见报价清单</w:t>
      </w:r>
    </w:p>
    <w:p w14:paraId="70E1D45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二、服务</w:t>
      </w:r>
      <w:r>
        <w:rPr>
          <w:rFonts w:hint="eastAsia" w:ascii="仿宋" w:hAnsi="仿宋" w:eastAsia="仿宋" w:cs="仿宋"/>
          <w:color w:val="auto"/>
          <w:kern w:val="2"/>
          <w:sz w:val="30"/>
          <w:szCs w:val="30"/>
          <w:highlight w:val="none"/>
        </w:rPr>
        <w:t>方式</w:t>
      </w:r>
    </w:p>
    <w:p w14:paraId="50D646C6">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lang w:val="en-US" w:eastAsia="zh-CN"/>
        </w:rPr>
      </w:pPr>
      <w:r>
        <w:rPr>
          <w:rFonts w:hint="eastAsia" w:ascii="仿宋" w:hAnsi="仿宋" w:eastAsia="仿宋" w:cs="仿宋"/>
          <w:color w:val="auto"/>
          <w:kern w:val="2"/>
          <w:sz w:val="30"/>
          <w:szCs w:val="30"/>
          <w:highlight w:val="none"/>
          <w:lang w:val="en-US" w:eastAsia="zh-CN"/>
        </w:rPr>
        <w:t>本项目为包工包料项目，总工期为3个自然日。服务方需在接到采购人开工通知后立即响应，并于1日内组织人员及设备进场施工。服务方须确保在进场后3天内完成所有设备的供货、安装、调试及旧设备拆除清运工作，并交付采购人验收使用。</w:t>
      </w:r>
    </w:p>
    <w:p w14:paraId="1B05ACEF">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三、付款方式</w:t>
      </w:r>
    </w:p>
    <w:p w14:paraId="3320052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项目完成且经由采购人验收合格后，服务方提供经双方确认的送货清单及等额、合法、有效的增值税专用发票，采购人自收到准确清单和发票且核对无误后，于次二月完成款项支付，若服务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服务方需提供两年质保，其履约保证金（合同价的5%）到时（验收合格后）自动转为质保金，质保期从验收合格之日起计算，质保金于质保期满且无未决质量争议后无息退还。</w:t>
      </w:r>
    </w:p>
    <w:p w14:paraId="7987A4B7">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outlineLvl w:val="1"/>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rPr>
        <w:t>四、售后服务</w:t>
      </w:r>
    </w:p>
    <w:p w14:paraId="0FC08D6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rPr>
        <w:t>1.供应商必须满足采购人售后服务要求。如产品使用过</w:t>
      </w:r>
      <w:r>
        <w:rPr>
          <w:rFonts w:hint="eastAsia" w:ascii="仿宋" w:hAnsi="仿宋" w:eastAsia="仿宋" w:cs="仿宋"/>
          <w:color w:val="auto"/>
          <w:kern w:val="2"/>
          <w:sz w:val="30"/>
          <w:szCs w:val="30"/>
          <w:lang w:eastAsia="zh-CN"/>
        </w:rPr>
        <w:t>程中</w:t>
      </w:r>
      <w:r>
        <w:rPr>
          <w:rFonts w:hint="eastAsia" w:ascii="仿宋" w:hAnsi="仿宋" w:eastAsia="仿宋" w:cs="仿宋"/>
          <w:color w:val="auto"/>
          <w:kern w:val="2"/>
          <w:sz w:val="30"/>
          <w:szCs w:val="30"/>
        </w:rPr>
        <w:t>发生问题，供应商须在接到</w:t>
      </w:r>
      <w:r>
        <w:rPr>
          <w:rFonts w:hint="eastAsia" w:ascii="仿宋" w:hAnsi="仿宋" w:eastAsia="仿宋" w:cs="仿宋"/>
          <w:color w:val="auto"/>
          <w:kern w:val="2"/>
          <w:sz w:val="30"/>
          <w:szCs w:val="30"/>
          <w:lang w:val="en-US" w:eastAsia="zh-CN"/>
        </w:rPr>
        <w:t>采购人</w:t>
      </w:r>
      <w:r>
        <w:rPr>
          <w:rFonts w:hint="eastAsia" w:ascii="仿宋" w:hAnsi="仿宋" w:eastAsia="仿宋" w:cs="仿宋"/>
          <w:color w:val="auto"/>
          <w:kern w:val="2"/>
          <w:sz w:val="30"/>
          <w:szCs w:val="30"/>
        </w:rPr>
        <w:t>通知后24小时内做出书面答复并提供解决方案。若需要派遣技术人员，则应在接到采购人通知后48小时内派人员到达现场进行免费指导解决问题。</w:t>
      </w:r>
    </w:p>
    <w:p w14:paraId="4F121412">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rPr>
      </w:pPr>
      <w:r>
        <w:rPr>
          <w:rFonts w:hint="eastAsia" w:ascii="仿宋" w:hAnsi="仿宋" w:eastAsia="仿宋" w:cs="仿宋"/>
          <w:color w:val="auto"/>
          <w:kern w:val="2"/>
          <w:sz w:val="30"/>
          <w:szCs w:val="30"/>
          <w:lang w:val="en-US" w:eastAsia="zh-CN"/>
        </w:rPr>
        <w:t>2</w:t>
      </w:r>
      <w:r>
        <w:rPr>
          <w:rFonts w:hint="eastAsia" w:ascii="仿宋" w:hAnsi="仿宋" w:eastAsia="仿宋" w:cs="仿宋"/>
          <w:color w:val="auto"/>
          <w:kern w:val="2"/>
          <w:sz w:val="30"/>
          <w:szCs w:val="30"/>
        </w:rPr>
        <w:t>.采购人不再对任何售后服务进行付费。供应商的派遣人员产生的一切费用由供应商承担。</w:t>
      </w:r>
    </w:p>
    <w:p w14:paraId="54F100F9">
      <w:pPr>
        <w:pStyle w:val="2"/>
        <w:numPr>
          <w:ilvl w:val="0"/>
          <w:numId w:val="0"/>
        </w:numPr>
        <w:jc w:val="center"/>
        <w:outlineLvl w:val="9"/>
        <w:rPr>
          <w:rFonts w:hint="eastAsia" w:ascii="仿宋" w:hAnsi="仿宋" w:eastAsia="仿宋" w:cs="仿宋"/>
          <w:snapToGrid w:val="0"/>
          <w:sz w:val="30"/>
          <w:szCs w:val="30"/>
        </w:rPr>
      </w:pPr>
      <w:bookmarkStart w:id="13" w:name="_Toc530583924"/>
      <w:r>
        <w:rPr>
          <w:rFonts w:hint="eastAsia" w:ascii="仿宋" w:hAnsi="仿宋" w:eastAsia="仿宋" w:cs="仿宋"/>
          <w:snapToGrid w:val="0"/>
          <w:sz w:val="30"/>
          <w:szCs w:val="30"/>
        </w:rPr>
        <w:br w:type="page"/>
      </w:r>
    </w:p>
    <w:p w14:paraId="1C6CD68D">
      <w:pPr>
        <w:pStyle w:val="2"/>
        <w:numPr>
          <w:ilvl w:val="0"/>
          <w:numId w:val="4"/>
        </w:numPr>
        <w:ind w:left="840" w:leftChars="0" w:firstLineChars="0"/>
        <w:jc w:val="center"/>
        <w:rPr>
          <w:rFonts w:hint="eastAsia" w:ascii="仿宋" w:hAnsi="仿宋" w:eastAsia="仿宋" w:cs="仿宋"/>
          <w:snapToGrid w:val="0"/>
          <w:sz w:val="44"/>
          <w:szCs w:val="44"/>
          <w:lang w:val="en-US" w:eastAsia="zh-CN"/>
        </w:rPr>
      </w:pPr>
      <w:r>
        <w:rPr>
          <w:rFonts w:hint="eastAsia" w:ascii="仿宋" w:hAnsi="仿宋" w:eastAsia="仿宋" w:cs="仿宋"/>
          <w:snapToGrid w:val="0"/>
          <w:sz w:val="44"/>
          <w:szCs w:val="44"/>
          <w:lang w:val="en-US" w:eastAsia="zh-CN"/>
        </w:rPr>
        <w:t xml:space="preserve">   </w:t>
      </w:r>
      <w:bookmarkStart w:id="14" w:name="_Toc2438"/>
      <w:r>
        <w:rPr>
          <w:rFonts w:hint="eastAsia" w:ascii="仿宋" w:hAnsi="仿宋" w:eastAsia="仿宋" w:cs="仿宋"/>
          <w:snapToGrid w:val="0"/>
          <w:sz w:val="44"/>
          <w:szCs w:val="44"/>
          <w:lang w:val="en-US" w:eastAsia="zh-CN"/>
        </w:rPr>
        <w:t>合同主要条款（供参考）</w:t>
      </w:r>
      <w:bookmarkEnd w:id="14"/>
    </w:p>
    <w:p w14:paraId="2F20F9C4">
      <w:pPr>
        <w:keepNext w:val="0"/>
        <w:keepLines w:val="0"/>
        <w:pageBreakBefore w:val="0"/>
        <w:widowControl/>
        <w:kinsoku/>
        <w:wordWrap/>
        <w:overflowPunct/>
        <w:topLinePunct w:val="0"/>
        <w:autoSpaceDE/>
        <w:autoSpaceDN/>
        <w:bidi w:val="0"/>
        <w:adjustRightInd w:val="0"/>
        <w:snapToGrid w:val="0"/>
        <w:spacing w:after="0" w:line="579" w:lineRule="exact"/>
        <w:ind w:firstLine="560" w:firstLineChars="200"/>
        <w:jc w:val="both"/>
        <w:textAlignment w:val="auto"/>
        <w:rPr>
          <w:rFonts w:hint="default" w:ascii="Times New Roman" w:hAnsi="Times New Roman" w:eastAsia="方正仿宋_GBK" w:cs="Times New Roman"/>
          <w:sz w:val="28"/>
          <w:szCs w:val="28"/>
        </w:rPr>
      </w:pPr>
      <w:r>
        <w:rPr>
          <w:rFonts w:hint="eastAsia" w:ascii="Times New Roman" w:hAnsi="Times New Roman" w:eastAsia="方正仿宋_GBK" w:cs="Times New Roman"/>
          <w:sz w:val="28"/>
          <w:szCs w:val="28"/>
        </w:rPr>
        <w:t>经</w:t>
      </w:r>
      <w:r>
        <w:rPr>
          <w:rFonts w:hint="eastAsia" w:eastAsia="方正仿宋_GBK" w:cs="Times New Roman"/>
          <w:sz w:val="28"/>
          <w:szCs w:val="28"/>
          <w:lang w:val="en-US" w:eastAsia="zh-CN"/>
        </w:rPr>
        <w:t>甲乙</w:t>
      </w:r>
      <w:r>
        <w:rPr>
          <w:rFonts w:hint="eastAsia" w:ascii="Times New Roman" w:hAnsi="Times New Roman" w:eastAsia="方正仿宋_GBK" w:cs="Times New Roman"/>
          <w:sz w:val="28"/>
          <w:szCs w:val="28"/>
        </w:rPr>
        <w:t>双方友好协商，一致同意签订本合同，以便遵照执行。</w:t>
      </w:r>
    </w:p>
    <w:p w14:paraId="55F35E2E">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lang w:eastAsia="zh-CN"/>
        </w:rPr>
      </w:pPr>
      <w:r>
        <w:rPr>
          <w:rFonts w:hint="eastAsia" w:ascii="黑体" w:hAnsi="黑体" w:eastAsia="黑体" w:cs="黑体"/>
          <w:sz w:val="28"/>
          <w:szCs w:val="28"/>
          <w:lang w:eastAsia="zh-CN"/>
        </w:rPr>
        <w:t>第一</w:t>
      </w:r>
      <w:r>
        <w:rPr>
          <w:rFonts w:hint="eastAsia" w:ascii="黑体" w:hAnsi="黑体" w:eastAsia="黑体" w:cs="黑体"/>
          <w:sz w:val="28"/>
          <w:szCs w:val="28"/>
          <w:highlight w:val="none"/>
          <w:lang w:eastAsia="zh-CN"/>
        </w:rPr>
        <w:t>条</w:t>
      </w:r>
      <w:r>
        <w:rPr>
          <w:rFonts w:hint="eastAsia" w:ascii="黑体" w:hAnsi="黑体" w:eastAsia="黑体" w:cs="黑体"/>
          <w:sz w:val="28"/>
          <w:szCs w:val="28"/>
          <w:highlight w:val="none"/>
          <w:lang w:val="en-US" w:eastAsia="zh-CN"/>
        </w:rPr>
        <w:t xml:space="preserve"> 服务</w:t>
      </w:r>
      <w:r>
        <w:rPr>
          <w:rFonts w:hint="eastAsia" w:ascii="黑体" w:hAnsi="黑体" w:eastAsia="黑体" w:cs="黑体"/>
          <w:sz w:val="28"/>
          <w:szCs w:val="28"/>
          <w:highlight w:val="none"/>
        </w:rPr>
        <w:t>范围及价格</w:t>
      </w:r>
    </w:p>
    <w:tbl>
      <w:tblPr>
        <w:tblStyle w:val="13"/>
        <w:tblW w:w="10967" w:type="dxa"/>
        <w:jc w:val="center"/>
        <w:tblLayout w:type="fixed"/>
        <w:tblCellMar>
          <w:top w:w="0" w:type="dxa"/>
          <w:left w:w="108" w:type="dxa"/>
          <w:bottom w:w="0" w:type="dxa"/>
          <w:right w:w="108" w:type="dxa"/>
        </w:tblCellMar>
      </w:tblPr>
      <w:tblGrid>
        <w:gridCol w:w="751"/>
        <w:gridCol w:w="1439"/>
        <w:gridCol w:w="3072"/>
        <w:gridCol w:w="990"/>
        <w:gridCol w:w="1897"/>
        <w:gridCol w:w="2818"/>
      </w:tblGrid>
      <w:tr w14:paraId="29AA74A6">
        <w:tblPrEx>
          <w:tblCellMar>
            <w:top w:w="0" w:type="dxa"/>
            <w:left w:w="108" w:type="dxa"/>
            <w:bottom w:w="0" w:type="dxa"/>
            <w:right w:w="108" w:type="dxa"/>
          </w:tblCellMar>
        </w:tblPrEx>
        <w:trPr>
          <w:trHeight w:val="796" w:hRule="atLeast"/>
          <w:jc w:val="center"/>
        </w:trPr>
        <w:tc>
          <w:tcPr>
            <w:tcW w:w="751" w:type="dxa"/>
            <w:tcBorders>
              <w:top w:val="single" w:color="auto" w:sz="4" w:space="0"/>
              <w:left w:val="single" w:color="auto" w:sz="4" w:space="0"/>
              <w:bottom w:val="single" w:color="auto" w:sz="4" w:space="0"/>
              <w:right w:val="single" w:color="auto" w:sz="4" w:space="0"/>
            </w:tcBorders>
            <w:noWrap w:val="0"/>
            <w:vAlign w:val="center"/>
          </w:tcPr>
          <w:p w14:paraId="1CC6D6BD">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lang w:val="en-US" w:eastAsia="zh-CN"/>
              </w:rPr>
              <w:t>序号</w:t>
            </w:r>
          </w:p>
        </w:tc>
        <w:tc>
          <w:tcPr>
            <w:tcW w:w="1439" w:type="dxa"/>
            <w:tcBorders>
              <w:top w:val="single" w:color="auto" w:sz="4" w:space="0"/>
              <w:left w:val="nil"/>
              <w:bottom w:val="single" w:color="auto" w:sz="4" w:space="0"/>
              <w:right w:val="single" w:color="auto" w:sz="4" w:space="0"/>
            </w:tcBorders>
            <w:noWrap w:val="0"/>
            <w:vAlign w:val="center"/>
          </w:tcPr>
          <w:p w14:paraId="62F442D1">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项目名称</w:t>
            </w:r>
          </w:p>
        </w:tc>
        <w:tc>
          <w:tcPr>
            <w:tcW w:w="3072" w:type="dxa"/>
            <w:tcBorders>
              <w:top w:val="single" w:color="auto" w:sz="4" w:space="0"/>
              <w:left w:val="nil"/>
              <w:bottom w:val="single" w:color="auto" w:sz="4" w:space="0"/>
              <w:right w:val="single" w:color="auto" w:sz="4" w:space="0"/>
            </w:tcBorders>
            <w:noWrap w:val="0"/>
            <w:vAlign w:val="center"/>
          </w:tcPr>
          <w:p w14:paraId="64E85B06">
            <w:pPr>
              <w:adjustRightInd/>
              <w:snapToGrid/>
              <w:spacing w:after="0"/>
              <w:jc w:val="center"/>
              <w:rPr>
                <w:rFonts w:hint="eastAsia"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 xml:space="preserve">规格尺寸 </w:t>
            </w:r>
          </w:p>
          <w:p w14:paraId="6519584A">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(mm)</w:t>
            </w:r>
          </w:p>
        </w:tc>
        <w:tc>
          <w:tcPr>
            <w:tcW w:w="990" w:type="dxa"/>
            <w:tcBorders>
              <w:top w:val="single" w:color="auto" w:sz="4" w:space="0"/>
              <w:left w:val="nil"/>
              <w:bottom w:val="single" w:color="auto" w:sz="4" w:space="0"/>
              <w:right w:val="single" w:color="auto" w:sz="4" w:space="0"/>
            </w:tcBorders>
            <w:noWrap w:val="0"/>
            <w:vAlign w:val="center"/>
          </w:tcPr>
          <w:p w14:paraId="15113C0B">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数量</w:t>
            </w:r>
          </w:p>
        </w:tc>
        <w:tc>
          <w:tcPr>
            <w:tcW w:w="1897" w:type="dxa"/>
            <w:tcBorders>
              <w:top w:val="single" w:color="auto" w:sz="4" w:space="0"/>
              <w:left w:val="nil"/>
              <w:bottom w:val="single" w:color="auto" w:sz="4" w:space="0"/>
              <w:right w:val="single" w:color="auto" w:sz="4" w:space="0"/>
            </w:tcBorders>
            <w:noWrap w:val="0"/>
            <w:vAlign w:val="center"/>
          </w:tcPr>
          <w:p w14:paraId="619668B6">
            <w:pPr>
              <w:adjustRightInd/>
              <w:snapToGrid/>
              <w:spacing w:after="0"/>
              <w:jc w:val="center"/>
              <w:rPr>
                <w:rFonts w:hint="default" w:ascii="Times New Roman" w:hAnsi="Times New Roman" w:eastAsia="方正仿宋_GBK" w:cs="Times New Roman"/>
                <w:b/>
                <w:bCs/>
                <w:sz w:val="24"/>
                <w:szCs w:val="24"/>
                <w:lang w:val="en-US" w:eastAsia="zh-CN"/>
              </w:rPr>
            </w:pPr>
            <w:r>
              <w:rPr>
                <w:rFonts w:hint="eastAsia" w:ascii="Times New Roman" w:hAnsi="Times New Roman" w:eastAsia="方正仿宋_GBK" w:cs="Times New Roman"/>
                <w:b/>
                <w:bCs/>
                <w:sz w:val="24"/>
                <w:szCs w:val="24"/>
                <w:lang w:val="en-US" w:eastAsia="zh-CN"/>
              </w:rPr>
              <w:t>单位</w:t>
            </w:r>
          </w:p>
        </w:tc>
        <w:tc>
          <w:tcPr>
            <w:tcW w:w="2818" w:type="dxa"/>
            <w:tcBorders>
              <w:top w:val="single" w:color="auto" w:sz="4" w:space="0"/>
              <w:left w:val="nil"/>
              <w:bottom w:val="single" w:color="auto" w:sz="4" w:space="0"/>
              <w:right w:val="single" w:color="auto" w:sz="4" w:space="0"/>
            </w:tcBorders>
            <w:noWrap w:val="0"/>
            <w:vAlign w:val="center"/>
          </w:tcPr>
          <w:p w14:paraId="5D4B485B">
            <w:pPr>
              <w:adjustRightInd/>
              <w:snapToGrid/>
              <w:spacing w:after="0"/>
              <w:jc w:val="center"/>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lang w:val="en-US" w:eastAsia="zh-CN"/>
              </w:rPr>
              <w:t>金额（元）</w:t>
            </w:r>
          </w:p>
        </w:tc>
      </w:tr>
      <w:tr w14:paraId="56798474">
        <w:tblPrEx>
          <w:tblCellMar>
            <w:top w:w="0" w:type="dxa"/>
            <w:left w:w="108" w:type="dxa"/>
            <w:bottom w:w="0" w:type="dxa"/>
            <w:right w:w="108" w:type="dxa"/>
          </w:tblCellMar>
        </w:tblPrEx>
        <w:trPr>
          <w:trHeight w:val="798" w:hRule="atLeast"/>
          <w:jc w:val="center"/>
        </w:trPr>
        <w:tc>
          <w:tcPr>
            <w:tcW w:w="751" w:type="dxa"/>
            <w:tcBorders>
              <w:top w:val="nil"/>
              <w:left w:val="single" w:color="auto" w:sz="4" w:space="0"/>
              <w:bottom w:val="single" w:color="auto" w:sz="4" w:space="0"/>
              <w:right w:val="single" w:color="auto" w:sz="4" w:space="0"/>
            </w:tcBorders>
            <w:shd w:val="clear" w:color="auto" w:fill="auto"/>
            <w:noWrap w:val="0"/>
            <w:vAlign w:val="center"/>
          </w:tcPr>
          <w:p w14:paraId="000A6060">
            <w:pPr>
              <w:adjustRightInd/>
              <w:snapToGrid/>
              <w:spacing w:after="0"/>
              <w:jc w:val="center"/>
              <w:rPr>
                <w:rFonts w:hint="default"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1</w:t>
            </w:r>
          </w:p>
        </w:tc>
        <w:tc>
          <w:tcPr>
            <w:tcW w:w="1439" w:type="dxa"/>
            <w:tcBorders>
              <w:top w:val="nil"/>
              <w:left w:val="nil"/>
              <w:bottom w:val="single" w:color="auto" w:sz="4" w:space="0"/>
              <w:right w:val="single" w:color="auto" w:sz="4" w:space="0"/>
            </w:tcBorders>
            <w:shd w:val="clear" w:color="000000" w:fill="FFFFFF"/>
            <w:noWrap w:val="0"/>
            <w:vAlign w:val="center"/>
          </w:tcPr>
          <w:p w14:paraId="4EB58504">
            <w:pPr>
              <w:adjustRightInd/>
              <w:snapToGrid/>
              <w:spacing w:after="0"/>
              <w:jc w:val="center"/>
              <w:rPr>
                <w:rFonts w:hint="eastAsia" w:ascii="Times New Roman" w:hAnsi="Times New Roman" w:eastAsia="方正仿宋_GBK" w:cs="Times New Roman"/>
                <w:b/>
                <w:bCs/>
                <w:sz w:val="24"/>
                <w:szCs w:val="24"/>
              </w:rPr>
            </w:pPr>
          </w:p>
        </w:tc>
        <w:tc>
          <w:tcPr>
            <w:tcW w:w="3072" w:type="dxa"/>
            <w:tcBorders>
              <w:top w:val="nil"/>
              <w:left w:val="nil"/>
              <w:bottom w:val="single" w:color="auto" w:sz="4" w:space="0"/>
              <w:right w:val="single" w:color="auto" w:sz="4" w:space="0"/>
            </w:tcBorders>
            <w:shd w:val="clear" w:color="000000" w:fill="FFFFFF"/>
            <w:noWrap w:val="0"/>
            <w:vAlign w:val="center"/>
          </w:tcPr>
          <w:p w14:paraId="6CA8FB00">
            <w:pPr>
              <w:adjustRightInd/>
              <w:snapToGrid/>
              <w:spacing w:after="0"/>
              <w:jc w:val="center"/>
              <w:rPr>
                <w:rFonts w:hint="default" w:ascii="Times New Roman" w:hAnsi="Times New Roman" w:eastAsia="方正仿宋_GBK" w:cs="Times New Roman"/>
                <w:b/>
                <w:bCs/>
                <w:sz w:val="24"/>
                <w:szCs w:val="24"/>
              </w:rPr>
            </w:pPr>
          </w:p>
        </w:tc>
        <w:tc>
          <w:tcPr>
            <w:tcW w:w="990" w:type="dxa"/>
            <w:tcBorders>
              <w:top w:val="nil"/>
              <w:left w:val="nil"/>
              <w:bottom w:val="single" w:color="auto" w:sz="4" w:space="0"/>
              <w:right w:val="single" w:color="auto" w:sz="4" w:space="0"/>
            </w:tcBorders>
            <w:noWrap w:val="0"/>
            <w:vAlign w:val="center"/>
          </w:tcPr>
          <w:p w14:paraId="2AEA6612">
            <w:pPr>
              <w:adjustRightInd/>
              <w:snapToGrid/>
              <w:spacing w:after="0"/>
              <w:jc w:val="center"/>
              <w:rPr>
                <w:rFonts w:hint="default" w:ascii="Times New Roman" w:hAnsi="Times New Roman" w:eastAsia="方正仿宋_GBK" w:cs="Times New Roman"/>
                <w:b/>
                <w:bCs/>
                <w:sz w:val="24"/>
                <w:szCs w:val="24"/>
              </w:rPr>
            </w:pPr>
          </w:p>
        </w:tc>
        <w:tc>
          <w:tcPr>
            <w:tcW w:w="1897" w:type="dxa"/>
            <w:tcBorders>
              <w:top w:val="nil"/>
              <w:left w:val="nil"/>
              <w:bottom w:val="single" w:color="auto" w:sz="4" w:space="0"/>
              <w:right w:val="single" w:color="auto" w:sz="4" w:space="0"/>
            </w:tcBorders>
            <w:noWrap w:val="0"/>
            <w:vAlign w:val="center"/>
          </w:tcPr>
          <w:p w14:paraId="08598B4A">
            <w:pPr>
              <w:adjustRightInd/>
              <w:snapToGrid/>
              <w:spacing w:after="0"/>
              <w:jc w:val="center"/>
              <w:rPr>
                <w:rFonts w:hint="eastAsia" w:ascii="Times New Roman" w:hAnsi="Times New Roman" w:eastAsia="方正仿宋_GBK" w:cs="Times New Roman"/>
                <w:b/>
                <w:bCs/>
                <w:sz w:val="24"/>
                <w:szCs w:val="24"/>
              </w:rPr>
            </w:pPr>
          </w:p>
        </w:tc>
        <w:tc>
          <w:tcPr>
            <w:tcW w:w="2818" w:type="dxa"/>
            <w:tcBorders>
              <w:top w:val="nil"/>
              <w:left w:val="nil"/>
              <w:bottom w:val="single" w:color="auto" w:sz="4" w:space="0"/>
              <w:right w:val="single" w:color="auto" w:sz="4" w:space="0"/>
            </w:tcBorders>
            <w:noWrap w:val="0"/>
            <w:vAlign w:val="center"/>
          </w:tcPr>
          <w:p w14:paraId="32553EA7">
            <w:pPr>
              <w:adjustRightInd/>
              <w:snapToGrid/>
              <w:spacing w:after="0"/>
              <w:jc w:val="center"/>
              <w:rPr>
                <w:rFonts w:hint="eastAsia" w:ascii="Times New Roman" w:hAnsi="Times New Roman" w:eastAsia="方正仿宋_GBK" w:cs="Times New Roman"/>
                <w:b/>
                <w:bCs/>
                <w:sz w:val="24"/>
                <w:szCs w:val="24"/>
              </w:rPr>
            </w:pPr>
          </w:p>
        </w:tc>
      </w:tr>
      <w:tr w14:paraId="365F6283">
        <w:trPr>
          <w:trHeight w:val="836" w:hRule="atLeast"/>
          <w:jc w:val="center"/>
        </w:trPr>
        <w:tc>
          <w:tcPr>
            <w:tcW w:w="8149" w:type="dxa"/>
            <w:gridSpan w:val="5"/>
            <w:tcBorders>
              <w:top w:val="nil"/>
              <w:left w:val="single" w:color="auto" w:sz="4" w:space="0"/>
              <w:bottom w:val="single" w:color="auto" w:sz="4" w:space="0"/>
              <w:right w:val="single" w:color="auto" w:sz="4" w:space="0"/>
            </w:tcBorders>
            <w:noWrap w:val="0"/>
            <w:vAlign w:val="center"/>
          </w:tcPr>
          <w:p w14:paraId="3DC161D1">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合同总金额人民币（大写）：</w:t>
            </w:r>
          </w:p>
        </w:tc>
        <w:tc>
          <w:tcPr>
            <w:tcW w:w="2818" w:type="dxa"/>
            <w:tcBorders>
              <w:top w:val="nil"/>
              <w:left w:val="single" w:color="auto" w:sz="4" w:space="0"/>
              <w:bottom w:val="single" w:color="auto" w:sz="4" w:space="0"/>
              <w:right w:val="single" w:color="auto" w:sz="4" w:space="0"/>
            </w:tcBorders>
            <w:noWrap w:val="0"/>
            <w:vAlign w:val="center"/>
          </w:tcPr>
          <w:p w14:paraId="6A94C4AE">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w:t>
            </w:r>
          </w:p>
        </w:tc>
      </w:tr>
      <w:tr w14:paraId="0C8556FF">
        <w:tblPrEx>
          <w:tblCellMar>
            <w:top w:w="0" w:type="dxa"/>
            <w:left w:w="108" w:type="dxa"/>
            <w:bottom w:w="0" w:type="dxa"/>
            <w:right w:w="108" w:type="dxa"/>
          </w:tblCellMar>
        </w:tblPrEx>
        <w:trPr>
          <w:trHeight w:val="716" w:hRule="atLeast"/>
          <w:jc w:val="center"/>
        </w:trPr>
        <w:tc>
          <w:tcPr>
            <w:tcW w:w="10967" w:type="dxa"/>
            <w:gridSpan w:val="6"/>
            <w:tcBorders>
              <w:top w:val="nil"/>
              <w:left w:val="single" w:color="auto" w:sz="4" w:space="0"/>
              <w:bottom w:val="single" w:color="auto" w:sz="4" w:space="0"/>
              <w:right w:val="single" w:color="auto" w:sz="4" w:space="0"/>
            </w:tcBorders>
            <w:noWrap w:val="0"/>
            <w:vAlign w:val="center"/>
          </w:tcPr>
          <w:p w14:paraId="61EE78DA">
            <w:pPr>
              <w:adjustRightInd/>
              <w:snapToGrid/>
              <w:spacing w:after="0"/>
              <w:jc w:val="left"/>
              <w:rPr>
                <w:rFonts w:hint="eastAsia" w:ascii="Times New Roman" w:hAnsi="Times New Roman" w:eastAsia="方正仿宋_GBK" w:cs="Times New Roman"/>
                <w:b/>
                <w:bCs/>
                <w:sz w:val="24"/>
                <w:szCs w:val="24"/>
              </w:rPr>
            </w:pPr>
            <w:r>
              <w:rPr>
                <w:rFonts w:hint="eastAsia" w:ascii="Times New Roman" w:hAnsi="Times New Roman" w:eastAsia="方正仿宋_GBK" w:cs="Times New Roman"/>
                <w:b/>
                <w:bCs/>
                <w:sz w:val="24"/>
                <w:szCs w:val="24"/>
              </w:rPr>
              <w:t>备注：以上金额含</w:t>
            </w:r>
            <w:r>
              <w:rPr>
                <w:rFonts w:hint="eastAsia" w:eastAsia="方正仿宋_GBK" w:cs="Times New Roman"/>
                <w:b/>
                <w:bCs/>
                <w:sz w:val="24"/>
                <w:szCs w:val="24"/>
                <w:lang w:val="en-US" w:eastAsia="zh-CN"/>
              </w:rPr>
              <w:t xml:space="preserve">  </w:t>
            </w:r>
            <w:r>
              <w:rPr>
                <w:rFonts w:hint="eastAsia" w:ascii="Times New Roman" w:hAnsi="Times New Roman" w:eastAsia="方正仿宋_GBK" w:cs="Times New Roman"/>
                <w:b/>
                <w:bCs/>
                <w:sz w:val="24"/>
                <w:szCs w:val="24"/>
              </w:rPr>
              <w:t>%增值税和运费</w:t>
            </w:r>
          </w:p>
        </w:tc>
      </w:tr>
    </w:tbl>
    <w:p w14:paraId="66319F51">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highlight w:val="none"/>
          <w:lang w:eastAsia="zh-CN"/>
        </w:rPr>
      </w:pPr>
      <w:r>
        <w:rPr>
          <w:rFonts w:hint="eastAsia" w:ascii="黑体" w:hAnsi="黑体" w:eastAsia="黑体" w:cs="黑体"/>
          <w:sz w:val="28"/>
          <w:szCs w:val="28"/>
          <w:highlight w:val="none"/>
        </w:rPr>
        <w:t xml:space="preserve">第二条  </w:t>
      </w:r>
      <w:r>
        <w:rPr>
          <w:rFonts w:hint="eastAsia" w:ascii="黑体" w:hAnsi="黑体" w:eastAsia="黑体" w:cs="黑体"/>
          <w:sz w:val="28"/>
          <w:szCs w:val="28"/>
          <w:highlight w:val="none"/>
          <w:lang w:val="en-US" w:eastAsia="zh-CN"/>
        </w:rPr>
        <w:t>服务</w:t>
      </w:r>
      <w:r>
        <w:rPr>
          <w:rFonts w:hint="eastAsia" w:ascii="黑体" w:hAnsi="黑体" w:eastAsia="黑体" w:cs="黑体"/>
          <w:sz w:val="28"/>
          <w:szCs w:val="28"/>
          <w:highlight w:val="none"/>
        </w:rPr>
        <w:t>时间、地点</w:t>
      </w:r>
    </w:p>
    <w:p w14:paraId="5375B587">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eastAsia="zh-CN"/>
        </w:rPr>
        <w:t>1.</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时间：</w:t>
      </w:r>
      <w:r>
        <w:rPr>
          <w:rFonts w:hint="eastAsia" w:ascii="方正仿宋_GBK" w:hAnsi="方正仿宋_GBK" w:eastAsia="方正仿宋_GBK" w:cs="方正仿宋_GBK"/>
          <w:sz w:val="28"/>
          <w:szCs w:val="28"/>
          <w:highlight w:val="none"/>
          <w:lang w:val="en-US" w:eastAsia="zh-CN"/>
        </w:rPr>
        <w:t>本项目为包工包料项目，总工期为3个自然日。乙方需在接到甲方开工通知后立即响应，并于1日内组织人员及设备进场施工。乙方须确保在进场后3天内完成所有设备的供货、安装、调试及旧设备拆除清运工作，并交付甲方验收使用</w:t>
      </w:r>
      <w:r>
        <w:rPr>
          <w:rFonts w:hint="eastAsia" w:ascii="方正仿宋_GBK" w:hAnsi="方正仿宋_GBK" w:eastAsia="方正仿宋_GBK" w:cs="方正仿宋_GBK"/>
          <w:sz w:val="28"/>
          <w:szCs w:val="28"/>
          <w:highlight w:val="none"/>
        </w:rPr>
        <w:t>。</w:t>
      </w:r>
    </w:p>
    <w:p w14:paraId="60D356AC">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highlight w:val="none"/>
          <w:lang w:eastAsia="zh-CN"/>
        </w:rPr>
        <w:t>2.</w:t>
      </w:r>
      <w:r>
        <w:rPr>
          <w:rFonts w:hint="eastAsia" w:ascii="方正仿宋_GBK" w:hAnsi="方正仿宋_GBK" w:eastAsia="方正仿宋_GBK" w:cs="方正仿宋_GBK"/>
          <w:sz w:val="28"/>
          <w:szCs w:val="28"/>
          <w:highlight w:val="none"/>
          <w:lang w:val="en-US" w:eastAsia="zh-CN"/>
        </w:rPr>
        <w:t>服务</w:t>
      </w:r>
      <w:r>
        <w:rPr>
          <w:rFonts w:hint="eastAsia" w:ascii="方正仿宋_GBK" w:hAnsi="方正仿宋_GBK" w:eastAsia="方正仿宋_GBK" w:cs="方正仿宋_GBK"/>
          <w:sz w:val="28"/>
          <w:szCs w:val="28"/>
          <w:highlight w:val="none"/>
        </w:rPr>
        <w:t>地点：</w:t>
      </w:r>
      <w:r>
        <w:rPr>
          <w:rFonts w:hint="eastAsia" w:ascii="方正仿宋_GBK" w:hAnsi="方正仿宋_GBK" w:eastAsia="方正仿宋_GBK" w:cs="方正仿宋_GBK"/>
          <w:sz w:val="28"/>
          <w:szCs w:val="28"/>
          <w:highlight w:val="none"/>
          <w:lang w:eastAsia="zh-CN"/>
        </w:rPr>
        <w:t>浙江省绍兴市柯桥区钱滨</w:t>
      </w:r>
      <w:r>
        <w:rPr>
          <w:rFonts w:hint="eastAsia" w:ascii="方正仿宋_GBK" w:hAnsi="方正仿宋_GBK" w:eastAsia="方正仿宋_GBK" w:cs="方正仿宋_GBK"/>
          <w:sz w:val="28"/>
          <w:szCs w:val="28"/>
          <w:lang w:eastAsia="zh-CN"/>
        </w:rPr>
        <w:t>线二线海塘绍兴市再生能源发展有限公司。</w:t>
      </w:r>
    </w:p>
    <w:p w14:paraId="3024D424">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default" w:ascii="黑体" w:hAnsi="黑体" w:eastAsia="黑体" w:cs="黑体"/>
          <w:sz w:val="28"/>
          <w:szCs w:val="28"/>
          <w:highlight w:val="none"/>
          <w:lang w:val="en-US" w:eastAsia="zh-CN"/>
        </w:rPr>
      </w:pPr>
      <w:r>
        <w:rPr>
          <w:rFonts w:hint="eastAsia" w:ascii="黑体" w:hAnsi="黑体" w:eastAsia="黑体" w:cs="黑体"/>
          <w:sz w:val="28"/>
          <w:szCs w:val="28"/>
        </w:rPr>
        <w:t>第三条</w:t>
      </w:r>
      <w:r>
        <w:rPr>
          <w:rFonts w:hint="eastAsia" w:ascii="黑体" w:hAnsi="黑体" w:eastAsia="黑体" w:cs="黑体"/>
          <w:sz w:val="28"/>
          <w:szCs w:val="28"/>
          <w:highlight w:val="none"/>
        </w:rPr>
        <w:t xml:space="preserve"> </w:t>
      </w:r>
      <w:r>
        <w:rPr>
          <w:rFonts w:hint="eastAsia" w:ascii="Times New Roman" w:hAnsi="Times New Roman" w:eastAsia="黑体"/>
          <w:sz w:val="28"/>
          <w:szCs w:val="28"/>
          <w:highlight w:val="none"/>
          <w:lang w:val="en-US" w:eastAsia="zh-CN"/>
        </w:rPr>
        <w:t>工作量</w:t>
      </w:r>
    </w:p>
    <w:p w14:paraId="298376AA">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旧设备拆除与清运</w:t>
      </w:r>
    </w:p>
    <w:p w14:paraId="721BDE15">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拆除旧燃气/电灶具，切断水电气接口，清理建筑垃圾。</w:t>
      </w:r>
    </w:p>
    <w:p w14:paraId="122D8DEB">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新设备安装与调试</w:t>
      </w:r>
    </w:p>
    <w:p w14:paraId="238FDF5E">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yellow"/>
          <w:lang w:val="en-US" w:eastAsia="zh-CN"/>
        </w:rPr>
      </w:pPr>
      <w:r>
        <w:rPr>
          <w:rFonts w:hint="eastAsia" w:ascii="方正仿宋_GBK" w:hAnsi="方正仿宋_GBK" w:eastAsia="方正仿宋_GBK" w:cs="方正仿宋_GBK"/>
          <w:sz w:val="28"/>
          <w:szCs w:val="28"/>
          <w:highlight w:val="none"/>
          <w:lang w:val="en-US" w:eastAsia="zh-CN"/>
        </w:rPr>
        <w:t>搬运就位，配置1个灶具电源控制箱，采购、敷设电缆并接线。接驳给排水管，通电测试及试运行。</w:t>
      </w:r>
    </w:p>
    <w:p w14:paraId="38BF1386">
      <w:pPr>
        <w:pStyle w:val="23"/>
        <w:keepNext w:val="0"/>
        <w:keepLines w:val="0"/>
        <w:pageBreakBefore w:val="0"/>
        <w:numPr>
          <w:ilvl w:val="0"/>
          <w:numId w:val="0"/>
        </w:numPr>
        <w:kinsoku/>
        <w:wordWrap/>
        <w:overflowPunct/>
        <w:topLinePunct w:val="0"/>
        <w:autoSpaceDE/>
        <w:autoSpaceDN/>
        <w:bidi w:val="0"/>
        <w:adjustRightInd w:val="0"/>
        <w:snapToGrid w:val="0"/>
        <w:spacing w:after="0" w:line="579" w:lineRule="exact"/>
        <w:ind w:left="0" w:leftChars="0"/>
        <w:jc w:val="both"/>
        <w:textAlignment w:val="auto"/>
        <w:outlineLvl w:val="1"/>
        <w:rPr>
          <w:rFonts w:hint="eastAsia" w:ascii="黑体" w:hAnsi="黑体" w:eastAsia="黑体" w:cs="黑体"/>
          <w:sz w:val="28"/>
          <w:szCs w:val="28"/>
        </w:rPr>
      </w:pPr>
      <w:r>
        <w:rPr>
          <w:rFonts w:hint="eastAsia" w:ascii="黑体" w:hAnsi="黑体" w:eastAsia="黑体" w:cs="黑体"/>
          <w:sz w:val="28"/>
          <w:szCs w:val="28"/>
        </w:rPr>
        <w:t xml:space="preserve">第四条 合同价格   </w:t>
      </w:r>
    </w:p>
    <w:p w14:paraId="3C7D9374">
      <w:pPr>
        <w:pStyle w:val="35"/>
        <w:keepNext w:val="0"/>
        <w:keepLines w:val="0"/>
        <w:pageBreakBefore w:val="0"/>
        <w:widowControl/>
        <w:kinsoku/>
        <w:wordWrap/>
        <w:overflowPunct/>
        <w:topLinePunct w:val="0"/>
        <w:autoSpaceDE/>
        <w:autoSpaceDN/>
        <w:bidi w:val="0"/>
        <w:adjustRightInd w:val="0"/>
        <w:snapToGrid w:val="0"/>
        <w:spacing w:after="0" w:line="579" w:lineRule="exact"/>
        <w:ind w:left="0" w:firstLine="560" w:firstLineChars="200"/>
        <w:contextualSpacing/>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rPr>
        <w:t>合同总金额人民币（大写）</w:t>
      </w:r>
      <w:r>
        <w:rPr>
          <w:rFonts w:hint="eastAsia" w:ascii="方正仿宋_GBK" w:hAnsi="方正仿宋_GBK" w:eastAsia="方正仿宋_GBK" w:cs="方正仿宋_GBK"/>
          <w:sz w:val="28"/>
          <w:szCs w:val="28"/>
          <w:u w:val="single"/>
        </w:rPr>
        <w:t xml:space="preserve">           </w:t>
      </w:r>
      <w:r>
        <w:rPr>
          <w:rFonts w:hint="eastAsia" w:ascii="方正仿宋_GBK" w:hAnsi="方正仿宋_GBK" w:eastAsia="方正仿宋_GBK" w:cs="方正仿宋_GBK"/>
          <w:sz w:val="28"/>
          <w:szCs w:val="28"/>
        </w:rPr>
        <w:t>元整，本合同</w:t>
      </w:r>
      <w:r>
        <w:rPr>
          <w:rFonts w:hint="eastAsia" w:ascii="方正仿宋_GBK" w:hAnsi="方正仿宋_GBK" w:eastAsia="方正仿宋_GBK" w:cs="方正仿宋_GBK"/>
          <w:sz w:val="28"/>
          <w:szCs w:val="28"/>
          <w:highlight w:val="none"/>
        </w:rPr>
        <w:t>为固定</w:t>
      </w:r>
      <w:r>
        <w:rPr>
          <w:rFonts w:hint="eastAsia" w:ascii="方正仿宋_GBK" w:hAnsi="方正仿宋_GBK" w:eastAsia="方正仿宋_GBK" w:cs="方正仿宋_GBK"/>
          <w:sz w:val="28"/>
          <w:szCs w:val="28"/>
          <w:highlight w:val="none"/>
          <w:lang w:val="en-US" w:eastAsia="zh-CN"/>
        </w:rPr>
        <w:t>总价</w:t>
      </w:r>
      <w:r>
        <w:rPr>
          <w:rFonts w:hint="eastAsia" w:ascii="方正仿宋_GBK" w:hAnsi="方正仿宋_GBK" w:eastAsia="方正仿宋_GBK" w:cs="方正仿宋_GBK"/>
          <w:sz w:val="28"/>
          <w:szCs w:val="28"/>
          <w:highlight w:val="none"/>
        </w:rPr>
        <w:t>合</w:t>
      </w:r>
      <w:r>
        <w:rPr>
          <w:rFonts w:hint="eastAsia" w:ascii="方正仿宋_GBK" w:hAnsi="方正仿宋_GBK" w:eastAsia="方正仿宋_GBK" w:cs="方正仿宋_GBK"/>
          <w:sz w:val="28"/>
          <w:szCs w:val="28"/>
        </w:rPr>
        <w:t>同，金额包含</w:t>
      </w:r>
      <w:r>
        <w:rPr>
          <w:rFonts w:hint="eastAsia" w:ascii="方正仿宋_GBK" w:hAnsi="方正仿宋_GBK" w:eastAsia="方正仿宋_GBK" w:cs="方正仿宋_GBK"/>
          <w:sz w:val="28"/>
          <w:szCs w:val="28"/>
          <w:lang w:val="en-US" w:eastAsia="zh-CN"/>
        </w:rPr>
        <w:t>设备费、运输费、保险费、安装调试费、辅材费、垃圾清运费、税金及技术服务等完成本项目所需的一切费用</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甲乙</w:t>
      </w:r>
      <w:r>
        <w:rPr>
          <w:rFonts w:hint="eastAsia" w:ascii="方正仿宋_GBK" w:hAnsi="方正仿宋_GBK" w:eastAsia="方正仿宋_GBK" w:cs="方正仿宋_GBK"/>
          <w:sz w:val="28"/>
          <w:szCs w:val="28"/>
        </w:rPr>
        <w:t>双方不能因市场价格变化而调整合同价</w:t>
      </w:r>
      <w:r>
        <w:rPr>
          <w:rFonts w:hint="eastAsia" w:ascii="方正仿宋_GBK" w:hAnsi="方正仿宋_GBK" w:eastAsia="方正仿宋_GBK" w:cs="方正仿宋_GBK"/>
          <w:sz w:val="28"/>
          <w:szCs w:val="28"/>
          <w:highlight w:val="none"/>
        </w:rPr>
        <w:t>。</w:t>
      </w:r>
    </w:p>
    <w:p w14:paraId="3C0CA234">
      <w:pPr>
        <w:pStyle w:val="35"/>
        <w:keepNext w:val="0"/>
        <w:keepLines w:val="0"/>
        <w:pageBreakBefore w:val="0"/>
        <w:numPr>
          <w:ilvl w:val="0"/>
          <w:numId w:val="5"/>
        </w:numPr>
        <w:kinsoku/>
        <w:wordWrap/>
        <w:overflowPunct/>
        <w:topLinePunct w:val="0"/>
        <w:autoSpaceDE/>
        <w:autoSpaceDN/>
        <w:bidi w:val="0"/>
        <w:adjustRightInd w:val="0"/>
        <w:snapToGrid w:val="0"/>
        <w:spacing w:line="579" w:lineRule="exact"/>
        <w:ind w:left="0" w:hanging="560" w:hangingChars="200"/>
        <w:contextualSpacing/>
        <w:jc w:val="both"/>
        <w:textAlignment w:val="auto"/>
        <w:outlineLvl w:val="1"/>
        <w:rPr>
          <w:rFonts w:hint="eastAsia" w:ascii="黑体" w:hAnsi="黑体" w:eastAsia="黑体" w:cs="黑体"/>
          <w:kern w:val="2"/>
          <w:sz w:val="28"/>
          <w:szCs w:val="28"/>
          <w:highlight w:val="none"/>
          <w:lang w:val="en-US" w:eastAsia="zh-CN" w:bidi="ar-SA"/>
        </w:rPr>
      </w:pPr>
      <w:r>
        <w:rPr>
          <w:rFonts w:ascii="Times New Roman" w:hAnsi="Times New Roman" w:eastAsia="黑体"/>
          <w:kern w:val="2"/>
          <w:sz w:val="28"/>
          <w:szCs w:val="28"/>
          <w:highlight w:val="none"/>
        </w:rPr>
        <w:t>付款方式及保证金</w:t>
      </w:r>
    </w:p>
    <w:p w14:paraId="4B8BA801">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kern w:val="2"/>
          <w:sz w:val="30"/>
          <w:szCs w:val="30"/>
          <w:highlight w:val="none"/>
        </w:rPr>
      </w:pPr>
      <w:r>
        <w:rPr>
          <w:rFonts w:hint="eastAsia" w:ascii="仿宋" w:hAnsi="仿宋" w:eastAsia="仿宋" w:cs="仿宋"/>
          <w:color w:val="auto"/>
          <w:kern w:val="2"/>
          <w:sz w:val="30"/>
          <w:szCs w:val="30"/>
          <w:highlight w:val="none"/>
          <w:lang w:val="en-US" w:eastAsia="zh-CN"/>
        </w:rPr>
        <w:t>项目完成且经由甲方验收合格后，乙方提供经双方确认的送货清单及等额、合法、有效的增值税专用发票，甲方自收到准确清单和发票且核对无误后，于次二月完成款项支付，若乙方未按时提供发票，或提供的发票不符合税务及甲方财务要求（包括但不限于信息错误、无法认证等），甲方有权顺延付款期限，直至收到合规发票为止。由此产生的付款延迟不视为甲方违约，甲方无需承担任何逾期付款利息或违约责任。乙方需提供两年质保，其履约保证金（合同价的5%）到时（验收合格后）自动转为质保金，质保期从验收合格之日起计算，质保金于质保期满且无未决质量争议后无息退还</w:t>
      </w:r>
      <w:r>
        <w:rPr>
          <w:rFonts w:hint="eastAsia" w:ascii="仿宋" w:hAnsi="仿宋" w:eastAsia="仿宋" w:cs="仿宋"/>
          <w:color w:val="auto"/>
          <w:kern w:val="2"/>
          <w:sz w:val="30"/>
          <w:szCs w:val="30"/>
          <w:highlight w:val="none"/>
          <w:lang w:eastAsia="zh-CN"/>
        </w:rPr>
        <w:t>。</w:t>
      </w:r>
    </w:p>
    <w:p w14:paraId="379255D2">
      <w:pPr>
        <w:pStyle w:val="35"/>
        <w:numPr>
          <w:ilvl w:val="0"/>
          <w:numId w:val="0"/>
        </w:numPr>
        <w:spacing w:line="579" w:lineRule="exact"/>
        <w:ind w:left="560" w:leftChars="0" w:hanging="560" w:hangingChars="200"/>
        <w:contextualSpacing/>
        <w:jc w:val="both"/>
        <w:outlineLvl w:val="0"/>
        <w:rPr>
          <w:rFonts w:ascii="Times New Roman" w:hAnsi="Times New Roman" w:eastAsia="黑体"/>
          <w:kern w:val="2"/>
          <w:sz w:val="28"/>
          <w:szCs w:val="28"/>
        </w:rPr>
      </w:pPr>
      <w:bookmarkStart w:id="15" w:name="_Toc11584"/>
      <w:r>
        <w:rPr>
          <w:rFonts w:hint="eastAsia" w:ascii="Times New Roman" w:hAnsi="Times New Roman" w:eastAsia="黑体" w:cs="Times New Roman"/>
          <w:kern w:val="2"/>
          <w:sz w:val="28"/>
          <w:szCs w:val="28"/>
          <w:lang w:val="en-US" w:eastAsia="zh-CN" w:bidi="ar-SA"/>
        </w:rPr>
        <w:t>第六</w:t>
      </w:r>
      <w:r>
        <w:rPr>
          <w:rFonts w:hint="eastAsia" w:ascii="Times New Roman" w:hAnsi="Times New Roman" w:eastAsia="黑体" w:cs="Times New Roman"/>
          <w:kern w:val="2"/>
          <w:sz w:val="28"/>
          <w:szCs w:val="28"/>
          <w:highlight w:val="none"/>
          <w:lang w:val="en-US" w:eastAsia="zh-CN" w:bidi="ar-SA"/>
        </w:rPr>
        <w:t xml:space="preserve">条 </w:t>
      </w:r>
      <w:r>
        <w:rPr>
          <w:rFonts w:ascii="Times New Roman" w:hAnsi="Times New Roman" w:eastAsia="黑体"/>
          <w:kern w:val="2"/>
          <w:sz w:val="28"/>
          <w:szCs w:val="28"/>
          <w:highlight w:val="none"/>
        </w:rPr>
        <w:t>验收标准</w:t>
      </w:r>
      <w:bookmarkEnd w:id="15"/>
    </w:p>
    <w:p w14:paraId="3697D57A">
      <w:pPr>
        <w:pStyle w:val="35"/>
        <w:spacing w:line="579" w:lineRule="exact"/>
        <w:ind w:firstLine="560" w:firstLineChars="200"/>
        <w:contextualSpacing/>
        <w:jc w:val="both"/>
        <w:rPr>
          <w:rFonts w:hint="default" w:ascii="Times New Roman" w:hAnsi="Times New Roman" w:eastAsia="方正仿宋_GBK"/>
          <w:sz w:val="28"/>
          <w:szCs w:val="28"/>
          <w:highlight w:val="none"/>
          <w:lang w:eastAsia="zh-CN"/>
        </w:rPr>
      </w:pPr>
      <w:r>
        <w:rPr>
          <w:rFonts w:hint="default" w:ascii="Times New Roman" w:hAnsi="Times New Roman" w:eastAsia="方正仿宋_GBK"/>
          <w:sz w:val="28"/>
          <w:szCs w:val="28"/>
          <w:highlight w:val="none"/>
          <w:lang w:val="en-US" w:eastAsia="zh-CN"/>
        </w:rPr>
        <w:t>本次验收只能视为初步验收，并不能视为解除乙方对其服务成果</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在</w:t>
      </w:r>
      <w:r>
        <w:rPr>
          <w:rFonts w:hint="eastAsia" w:ascii="Times New Roman" w:hAnsi="Times New Roman" w:eastAsia="方正仿宋_GBK"/>
          <w:sz w:val="28"/>
          <w:szCs w:val="28"/>
          <w:highlight w:val="none"/>
          <w:lang w:val="en-US" w:eastAsia="zh-CN"/>
        </w:rPr>
        <w:t>合同</w:t>
      </w:r>
      <w:r>
        <w:rPr>
          <w:rFonts w:hint="default" w:ascii="Times New Roman" w:hAnsi="Times New Roman" w:eastAsia="方正仿宋_GBK"/>
          <w:sz w:val="28"/>
          <w:szCs w:val="28"/>
          <w:highlight w:val="none"/>
          <w:lang w:val="en-US" w:eastAsia="zh-CN"/>
        </w:rPr>
        <w:t>期内（如有后续整改需求）应负责任的凭据。</w:t>
      </w:r>
    </w:p>
    <w:p w14:paraId="7DCCA065">
      <w:pPr>
        <w:pStyle w:val="35"/>
        <w:spacing w:line="579" w:lineRule="exact"/>
        <w:ind w:firstLine="560" w:firstLineChars="200"/>
        <w:contextualSpacing/>
        <w:jc w:val="both"/>
        <w:rPr>
          <w:rFonts w:ascii="Times New Roman" w:hAnsi="Times New Roman"/>
          <w:highlight w:val="none"/>
        </w:rPr>
      </w:pPr>
      <w:r>
        <w:rPr>
          <w:rFonts w:hint="default" w:ascii="Times New Roman" w:hAnsi="Times New Roman" w:eastAsia="方正仿宋_GBK"/>
          <w:sz w:val="28"/>
          <w:szCs w:val="28"/>
          <w:highlight w:val="none"/>
          <w:lang w:val="en-US" w:eastAsia="zh-CN"/>
        </w:rPr>
        <w:t>凡甲方验收过程中发现的乙方提供的服务</w:t>
      </w:r>
      <w:r>
        <w:rPr>
          <w:rFonts w:hint="eastAsia" w:ascii="Times New Roman" w:hAnsi="Times New Roman" w:eastAsia="方正仿宋_GBK"/>
          <w:sz w:val="28"/>
          <w:szCs w:val="28"/>
          <w:highlight w:val="none"/>
          <w:lang w:val="en-US" w:eastAsia="zh-CN"/>
        </w:rPr>
        <w:t>/产品</w:t>
      </w:r>
      <w:r>
        <w:rPr>
          <w:rFonts w:hint="default" w:ascii="Times New Roman" w:hAnsi="Times New Roman" w:eastAsia="方正仿宋_GBK"/>
          <w:sz w:val="28"/>
          <w:szCs w:val="28"/>
          <w:highlight w:val="none"/>
          <w:lang w:val="en-US" w:eastAsia="zh-CN"/>
        </w:rPr>
        <w:t>不符合合同约定的，乙方必须无偿进行整改直至符合甲方要求，并承担整改过程中所发生的一切费用和甲方的所有经济损失，整改 2 次后仍无法达到要求的，甲方有权解除合同并扣除履约保证金。因整改而超过合同约定服务时间的，乙方应按本合同第</w:t>
      </w:r>
      <w:r>
        <w:rPr>
          <w:rFonts w:hint="eastAsia" w:ascii="Times New Roman" w:hAnsi="Times New Roman" w:eastAsia="方正仿宋_GBK"/>
          <w:sz w:val="28"/>
          <w:szCs w:val="28"/>
          <w:highlight w:val="none"/>
          <w:lang w:val="en-US" w:eastAsia="zh-CN"/>
        </w:rPr>
        <w:t>八</w:t>
      </w:r>
      <w:r>
        <w:rPr>
          <w:rFonts w:hint="default" w:ascii="Times New Roman" w:hAnsi="Times New Roman" w:eastAsia="方正仿宋_GBK"/>
          <w:sz w:val="28"/>
          <w:szCs w:val="28"/>
          <w:highlight w:val="none"/>
          <w:lang w:val="en-US" w:eastAsia="zh-CN"/>
        </w:rPr>
        <w:t>条承担逾期服务违约责任</w:t>
      </w:r>
      <w:r>
        <w:rPr>
          <w:rFonts w:hint="eastAsia" w:ascii="Times New Roman" w:hAnsi="Times New Roman" w:eastAsia="方正仿宋_GBK"/>
          <w:sz w:val="28"/>
          <w:szCs w:val="28"/>
          <w:highlight w:val="none"/>
          <w:lang w:val="en-US" w:eastAsia="zh-CN"/>
        </w:rPr>
        <w:t>。</w:t>
      </w:r>
      <w:r>
        <w:rPr>
          <w:rFonts w:ascii="Times New Roman" w:hAnsi="Times New Roman"/>
          <w:highlight w:val="none"/>
        </w:rPr>
        <w:t xml:space="preserve">                                                                                                                                 </w:t>
      </w:r>
    </w:p>
    <w:p w14:paraId="2A49888C">
      <w:pPr>
        <w:pStyle w:val="35"/>
        <w:spacing w:line="579" w:lineRule="exact"/>
        <w:contextualSpacing/>
        <w:jc w:val="both"/>
        <w:outlineLvl w:val="0"/>
        <w:rPr>
          <w:rFonts w:ascii="Times New Roman" w:hAnsi="Times New Roman" w:eastAsia="黑体"/>
          <w:sz w:val="28"/>
          <w:szCs w:val="28"/>
          <w:highlight w:val="none"/>
        </w:rPr>
      </w:pPr>
      <w:bookmarkStart w:id="16" w:name="_Toc18446"/>
      <w:r>
        <w:rPr>
          <w:rFonts w:ascii="Times New Roman" w:hAnsi="Times New Roman" w:eastAsia="黑体"/>
          <w:sz w:val="28"/>
          <w:szCs w:val="28"/>
          <w:highlight w:val="none"/>
        </w:rPr>
        <w:t>第</w:t>
      </w:r>
      <w:r>
        <w:rPr>
          <w:rFonts w:hint="eastAsia" w:ascii="Times New Roman" w:hAnsi="Times New Roman" w:eastAsia="黑体"/>
          <w:sz w:val="28"/>
          <w:szCs w:val="28"/>
          <w:highlight w:val="none"/>
          <w:lang w:val="en-US" w:eastAsia="zh-CN"/>
        </w:rPr>
        <w:t>七</w:t>
      </w:r>
      <w:r>
        <w:rPr>
          <w:rFonts w:ascii="Times New Roman" w:hAnsi="Times New Roman" w:eastAsia="黑体"/>
          <w:sz w:val="28"/>
          <w:szCs w:val="28"/>
          <w:highlight w:val="none"/>
        </w:rPr>
        <w:t>条 质量保证</w:t>
      </w:r>
      <w:bookmarkEnd w:id="16"/>
    </w:p>
    <w:p w14:paraId="58345FDD">
      <w:pPr>
        <w:pStyle w:val="35"/>
        <w:spacing w:after="0" w:line="579" w:lineRule="exact"/>
        <w:ind w:firstLine="560" w:firstLineChars="200"/>
        <w:contextualSpacing/>
        <w:jc w:val="both"/>
        <w:rPr>
          <w:rFonts w:ascii="Times New Roman" w:hAnsi="Times New Roman"/>
        </w:rPr>
      </w:pPr>
      <w:r>
        <w:rPr>
          <w:rFonts w:hint="eastAsia" w:ascii="方正仿宋_GBK" w:hAnsi="方正仿宋_GBK" w:eastAsia="方正仿宋_GBK" w:cs="方正仿宋_GBK"/>
          <w:sz w:val="28"/>
          <w:szCs w:val="28"/>
          <w:highlight w:val="none"/>
          <w:lang w:eastAsia="zh-CN"/>
        </w:rPr>
        <w:t>质保期</w:t>
      </w:r>
      <w:r>
        <w:rPr>
          <w:rFonts w:hint="eastAsia" w:ascii="方正仿宋_GBK" w:hAnsi="方正仿宋_GBK" w:eastAsia="方正仿宋_GBK" w:cs="方正仿宋_GBK"/>
          <w:sz w:val="28"/>
          <w:szCs w:val="28"/>
          <w:highlight w:val="none"/>
          <w:lang w:val="en-US" w:eastAsia="zh-CN"/>
        </w:rPr>
        <w:t>两</w:t>
      </w:r>
      <w:r>
        <w:rPr>
          <w:rFonts w:hint="eastAsia" w:ascii="方正仿宋_GBK" w:hAnsi="方正仿宋_GBK" w:eastAsia="方正仿宋_GBK" w:cs="方正仿宋_GBK"/>
          <w:sz w:val="28"/>
          <w:szCs w:val="28"/>
          <w:highlight w:val="none"/>
          <w:lang w:eastAsia="zh-CN"/>
        </w:rPr>
        <w:t>年，</w:t>
      </w:r>
      <w:r>
        <w:rPr>
          <w:rFonts w:hint="eastAsia" w:ascii="方正仿宋_GBK" w:hAnsi="方正仿宋_GBK" w:eastAsia="方正仿宋_GBK" w:cs="方正仿宋_GBK"/>
          <w:sz w:val="28"/>
          <w:szCs w:val="28"/>
          <w:highlight w:val="none"/>
          <w:lang w:val="en-US" w:eastAsia="zh-CN"/>
        </w:rPr>
        <w:t>自项目验收合格之日起计算</w:t>
      </w:r>
      <w:r>
        <w:rPr>
          <w:rFonts w:hint="eastAsia" w:ascii="方正仿宋_GBK" w:hAnsi="方正仿宋_GBK" w:eastAsia="方正仿宋_GBK" w:cs="方正仿宋_GBK"/>
          <w:sz w:val="28"/>
          <w:szCs w:val="28"/>
          <w:highlight w:val="none"/>
          <w:lang w:eastAsia="zh-CN"/>
        </w:rPr>
        <w:t>。乙方保证其供应的本合同标的是全新的，技术水平先进、成熟、质量优良、安全可靠、经济</w:t>
      </w:r>
      <w:r>
        <w:rPr>
          <w:rFonts w:hint="eastAsia" w:ascii="方正仿宋_GBK" w:hAnsi="方正仿宋_GBK" w:eastAsia="方正仿宋_GBK" w:cs="方正仿宋_GBK"/>
          <w:sz w:val="28"/>
          <w:szCs w:val="28"/>
          <w:lang w:eastAsia="zh-CN"/>
        </w:rPr>
        <w:t>运行和易于维护。本合同下质量标准为国家标准及相关行业标准（不同标准之间如有冲突，比较严格者为准）。</w:t>
      </w:r>
      <w:r>
        <w:rPr>
          <w:rFonts w:ascii="Times New Roman" w:hAnsi="Times New Roman" w:eastAsia="方正仿宋_GBK"/>
          <w:sz w:val="28"/>
          <w:szCs w:val="28"/>
        </w:rPr>
        <w:t>在正常使用过程中，如有产品质量问题，</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需依据国家法律法规进行维修或更换</w:t>
      </w:r>
      <w:r>
        <w:rPr>
          <w:rFonts w:hint="eastAsia" w:ascii="Times New Roman" w:hAnsi="Times New Roman" w:eastAsia="方正仿宋_GBK"/>
          <w:sz w:val="28"/>
          <w:szCs w:val="28"/>
        </w:rPr>
        <w:t>，所产生的费用由乙方承担，乙方逾期提供质保服务或提供的质保服务不合格的，甲方可自行委托第三方进行维修，所产生的费用甲方可在质保金中直接扣除，不足部分甲方可继续向乙方追偿</w:t>
      </w:r>
      <w:r>
        <w:rPr>
          <w:rFonts w:hint="eastAsia" w:ascii="Times New Roman" w:hAnsi="Times New Roman" w:eastAsia="方正仿宋_GBK"/>
          <w:sz w:val="28"/>
          <w:szCs w:val="28"/>
          <w:lang w:eastAsia="zh-CN"/>
        </w:rPr>
        <w:t>。</w:t>
      </w:r>
      <w:r>
        <w:rPr>
          <w:rFonts w:ascii="Times New Roman" w:hAnsi="Times New Roman"/>
        </w:rPr>
        <w:t xml:space="preserve">                                                                                                                                                                                                                                                                                                                                               </w:t>
      </w:r>
    </w:p>
    <w:p w14:paraId="7D06FED0">
      <w:pPr>
        <w:pStyle w:val="35"/>
        <w:spacing w:after="0" w:line="579" w:lineRule="exact"/>
        <w:contextualSpacing/>
        <w:jc w:val="both"/>
        <w:outlineLvl w:val="0"/>
        <w:rPr>
          <w:rFonts w:ascii="Times New Roman" w:hAnsi="Times New Roman" w:eastAsia="黑体"/>
          <w:sz w:val="28"/>
          <w:szCs w:val="28"/>
          <w:highlight w:val="none"/>
        </w:rPr>
      </w:pPr>
      <w:bookmarkStart w:id="17" w:name="_Toc5859"/>
      <w:r>
        <w:rPr>
          <w:rFonts w:ascii="Times New Roman" w:hAnsi="Times New Roman" w:eastAsia="黑体"/>
          <w:sz w:val="28"/>
          <w:szCs w:val="28"/>
        </w:rPr>
        <w:t>第</w:t>
      </w:r>
      <w:r>
        <w:rPr>
          <w:rFonts w:hint="eastAsia" w:ascii="Times New Roman" w:hAnsi="Times New Roman" w:eastAsia="黑体"/>
          <w:sz w:val="28"/>
          <w:szCs w:val="28"/>
          <w:lang w:val="en-US" w:eastAsia="zh-CN"/>
        </w:rPr>
        <w:t>八</w:t>
      </w:r>
      <w:r>
        <w:rPr>
          <w:rFonts w:ascii="Times New Roman" w:hAnsi="Times New Roman" w:eastAsia="黑体"/>
          <w:sz w:val="28"/>
          <w:szCs w:val="28"/>
          <w:highlight w:val="none"/>
        </w:rPr>
        <w:t>条 违约责任</w:t>
      </w:r>
      <w:bookmarkEnd w:id="17"/>
    </w:p>
    <w:p w14:paraId="65A74FB8">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若乙方未按合同约定的时间完成项目内容，每逾期一日，应向甲方支付合同总金额千分之五的违约金，甲方有权直接从应付合同款或履约保证金中扣除。</w:t>
      </w:r>
    </w:p>
    <w:p w14:paraId="603FCC66">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若乙方逾期超过10日（含），视为乙方根本违约，甲方有权单方解除合同。在此情形下，甲方有权拒绝支付剩余合同款项，并不予退还乙方已缴纳的全部履约保证金。</w:t>
      </w:r>
    </w:p>
    <w:p w14:paraId="62877B4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ascii="Times New Roman" w:hAnsi="Times New Roman" w:eastAsia="方正仿宋_GBK"/>
          <w:sz w:val="28"/>
          <w:szCs w:val="28"/>
        </w:rPr>
        <w:t xml:space="preserve"> 因乙方服务</w:t>
      </w:r>
      <w:r>
        <w:rPr>
          <w:rFonts w:hint="eastAsia" w:ascii="Times New Roman" w:hAnsi="Times New Roman" w:eastAsia="方正仿宋_GBK"/>
          <w:sz w:val="28"/>
          <w:szCs w:val="28"/>
          <w:lang w:val="en-US" w:eastAsia="zh-CN"/>
        </w:rPr>
        <w:t>/产品</w:t>
      </w:r>
      <w:r>
        <w:rPr>
          <w:rFonts w:ascii="Times New Roman" w:hAnsi="Times New Roman" w:eastAsia="方正仿宋_GBK"/>
          <w:sz w:val="28"/>
          <w:szCs w:val="28"/>
        </w:rPr>
        <w:t>存在质量问题或不符合合同约定，致使甲方在项目审批、验收过程中受阻，或在使用过程中产生人身伤害、财产损失及行政处罚的，一切经济与法律责任均由乙方承担；若因此导致甲方先行赔付或被相关部门处罚的，甲方有权向乙方全额追偿，并要求乙方赔偿因此给甲方造成的损失。</w:t>
      </w:r>
    </w:p>
    <w:p w14:paraId="7DB3E674">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本合同项下乙方应支付的违约金、赔偿金等，甲方有权直接从应付货款或履约保证金中扣除，不足部分有权向乙方追偿。</w:t>
      </w:r>
    </w:p>
    <w:p w14:paraId="0907CE5C">
      <w:pPr>
        <w:pStyle w:val="35"/>
        <w:numPr>
          <w:ilvl w:val="0"/>
          <w:numId w:val="0"/>
        </w:numPr>
        <w:spacing w:after="0" w:line="579" w:lineRule="exact"/>
        <w:ind w:firstLine="560" w:firstLineChars="200"/>
        <w:contextualSpacing/>
        <w:jc w:val="both"/>
        <w:outlineLvl w:val="0"/>
        <w:rPr>
          <w:rFonts w:hint="eastAsia" w:ascii="Times New Roman" w:hAnsi="Times New Roman" w:eastAsia="方正仿宋_GBK"/>
          <w:sz w:val="28"/>
          <w:szCs w:val="28"/>
          <w:highlight w:val="none"/>
          <w:lang w:eastAsia="zh-CN"/>
        </w:rPr>
      </w:pPr>
      <w:bookmarkStart w:id="18" w:name="_Toc30997"/>
      <w:r>
        <w:rPr>
          <w:rFonts w:hint="eastAsia" w:ascii="Times New Roman" w:hAnsi="Times New Roman" w:eastAsia="方正仿宋_GBK"/>
          <w:sz w:val="28"/>
          <w:szCs w:val="28"/>
        </w:rPr>
        <w:t>违约方因违约行为造成守约方损失的，违约方应赔偿守约方的直接经济损失，包括但不限于鉴定费、律师费、诉讼费、保全费、差旅费、赔偿</w:t>
      </w:r>
      <w:r>
        <w:rPr>
          <w:rFonts w:hint="eastAsia" w:ascii="Times New Roman" w:hAnsi="Times New Roman" w:eastAsia="方正仿宋_GBK"/>
          <w:sz w:val="28"/>
          <w:szCs w:val="28"/>
          <w:highlight w:val="none"/>
        </w:rPr>
        <w:t>金等</w:t>
      </w:r>
      <w:r>
        <w:rPr>
          <w:rFonts w:hint="eastAsia" w:ascii="Times New Roman" w:hAnsi="Times New Roman" w:eastAsia="方正仿宋_GBK"/>
          <w:sz w:val="28"/>
          <w:szCs w:val="28"/>
          <w:highlight w:val="none"/>
          <w:lang w:eastAsia="zh-CN"/>
        </w:rPr>
        <w:t>。</w:t>
      </w:r>
      <w:bookmarkEnd w:id="18"/>
    </w:p>
    <w:p w14:paraId="21FD59D4">
      <w:pPr>
        <w:pStyle w:val="35"/>
        <w:numPr>
          <w:ilvl w:val="0"/>
          <w:numId w:val="0"/>
        </w:numPr>
        <w:spacing w:after="0" w:line="579" w:lineRule="exact"/>
        <w:contextualSpacing/>
        <w:jc w:val="both"/>
        <w:outlineLvl w:val="0"/>
        <w:rPr>
          <w:rFonts w:ascii="Times New Roman" w:hAnsi="Times New Roman" w:eastAsia="黑体"/>
          <w:sz w:val="28"/>
          <w:szCs w:val="28"/>
          <w:highlight w:val="none"/>
        </w:rPr>
      </w:pPr>
      <w:bookmarkStart w:id="19" w:name="_Toc8481"/>
      <w:r>
        <w:rPr>
          <w:rFonts w:hint="eastAsia" w:ascii="Times New Roman" w:hAnsi="Times New Roman" w:eastAsia="黑体"/>
          <w:sz w:val="28"/>
          <w:szCs w:val="28"/>
          <w:highlight w:val="none"/>
          <w:lang w:val="en-US" w:eastAsia="zh-CN"/>
        </w:rPr>
        <w:t xml:space="preserve">第九条 </w:t>
      </w:r>
      <w:r>
        <w:rPr>
          <w:rFonts w:ascii="Times New Roman" w:hAnsi="Times New Roman" w:eastAsia="黑体"/>
          <w:sz w:val="28"/>
          <w:szCs w:val="28"/>
          <w:highlight w:val="none"/>
        </w:rPr>
        <w:t>本合同解除的条件</w:t>
      </w:r>
      <w:bookmarkEnd w:id="19"/>
    </w:p>
    <w:p w14:paraId="50CED801">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1. 甲乙双方的任何一方由于不可抗力的原因不能履行合同时，应及时向对方通报不能履行或不能完全履行的理由。在取得有关证明后，允许延期履行、部分履行或协商一致解除合同。</w:t>
      </w:r>
    </w:p>
    <w:p w14:paraId="60372484">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eastAsia="zh-CN"/>
        </w:rPr>
        <w:t>2. 乙方出现下列情形之一的，甲方有权单方解除本合同，且乙方已支付的履约保证金不予退还，同时对甲方造成损失的，甲方有权另行向乙方追偿：</w:t>
      </w:r>
    </w:p>
    <w:p w14:paraId="276E356B">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2.1</w:t>
      </w:r>
      <w:r>
        <w:rPr>
          <w:rFonts w:hint="eastAsia" w:ascii="Times New Roman" w:hAnsi="Times New Roman" w:eastAsia="方正仿宋_GBK"/>
          <w:sz w:val="28"/>
          <w:szCs w:val="28"/>
          <w:highlight w:val="none"/>
          <w:lang w:eastAsia="zh-CN"/>
        </w:rPr>
        <w:t>乙方以书面形式明确表示或以行为表明将不履行本合同主要义务的；</w:t>
      </w:r>
    </w:p>
    <w:p w14:paraId="7E7BB7FA">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2.2</w:t>
      </w:r>
      <w:r>
        <w:rPr>
          <w:rFonts w:hint="eastAsia" w:ascii="Times New Roman" w:hAnsi="Times New Roman" w:eastAsia="方正仿宋_GBK"/>
          <w:sz w:val="28"/>
          <w:szCs w:val="28"/>
          <w:highlight w:val="none"/>
          <w:lang w:eastAsia="zh-CN"/>
        </w:rPr>
        <w:t>在合同履约过程中，乙方提供的服务/交付的</w:t>
      </w:r>
      <w:r>
        <w:rPr>
          <w:rFonts w:hint="eastAsia" w:ascii="Times New Roman" w:hAnsi="Times New Roman" w:eastAsia="方正仿宋_GBK"/>
          <w:sz w:val="28"/>
          <w:szCs w:val="28"/>
          <w:highlight w:val="none"/>
          <w:lang w:val="en-US" w:eastAsia="zh-CN"/>
        </w:rPr>
        <w:t>产品</w:t>
      </w:r>
      <w:r>
        <w:rPr>
          <w:rFonts w:hint="eastAsia" w:ascii="Times New Roman" w:hAnsi="Times New Roman" w:eastAsia="方正仿宋_GBK"/>
          <w:sz w:val="28"/>
          <w:szCs w:val="28"/>
          <w:highlight w:val="none"/>
          <w:lang w:eastAsia="zh-CN"/>
        </w:rPr>
        <w:t>存在严重质量问题或重大缺陷，经甲方书面要求限期改进后，乙方仍未完成改进或改进后仍无法达到合同约定标准，导致合同目的无法实现的；</w:t>
      </w:r>
    </w:p>
    <w:p w14:paraId="2B978855">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2.3</w:t>
      </w:r>
      <w:r>
        <w:rPr>
          <w:rFonts w:hint="eastAsia" w:ascii="Times New Roman" w:hAnsi="Times New Roman" w:eastAsia="方正仿宋_GBK"/>
          <w:sz w:val="28"/>
          <w:szCs w:val="28"/>
          <w:highlight w:val="none"/>
          <w:lang w:eastAsia="zh-CN"/>
        </w:rPr>
        <w:t>乙方实施违反法律、行政法规强制性规定的行为，且该行为与本合同履行直接相关，经查证属实的；</w:t>
      </w:r>
    </w:p>
    <w:p w14:paraId="43579203">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2.4</w:t>
      </w:r>
      <w:r>
        <w:rPr>
          <w:rFonts w:hint="eastAsia" w:ascii="Times New Roman" w:hAnsi="Times New Roman" w:eastAsia="方正仿宋_GBK"/>
          <w:sz w:val="28"/>
          <w:szCs w:val="28"/>
          <w:highlight w:val="none"/>
          <w:lang w:eastAsia="zh-CN"/>
        </w:rPr>
        <w:t>乙方的履约行为严重损害国家利益、社会公共利益或甲方合法权益的；</w:t>
      </w:r>
    </w:p>
    <w:p w14:paraId="10E3CE0E">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eastAsia="zh-CN"/>
        </w:rPr>
      </w:pPr>
      <w:r>
        <w:rPr>
          <w:rFonts w:hint="eastAsia" w:ascii="Times New Roman" w:hAnsi="Times New Roman" w:eastAsia="方正仿宋_GBK"/>
          <w:sz w:val="28"/>
          <w:szCs w:val="28"/>
          <w:highlight w:val="none"/>
          <w:lang w:val="en-US" w:eastAsia="zh-CN"/>
        </w:rPr>
        <w:t>2.5</w:t>
      </w:r>
      <w:r>
        <w:rPr>
          <w:rFonts w:hint="eastAsia" w:ascii="Times New Roman" w:hAnsi="Times New Roman" w:eastAsia="方正仿宋_GBK"/>
          <w:sz w:val="28"/>
          <w:szCs w:val="28"/>
          <w:highlight w:val="none"/>
          <w:lang w:eastAsia="zh-CN"/>
        </w:rPr>
        <w:t>乙方未按合同约定的期限、要求履行主要义务（含质保期未提供质保服务或提供的质保服务不合格等），经甲方催告后</w:t>
      </w:r>
      <w:r>
        <w:rPr>
          <w:rFonts w:hint="eastAsia" w:ascii="Times New Roman" w:hAnsi="Times New Roman" w:eastAsia="方正仿宋_GBK"/>
          <w:sz w:val="28"/>
          <w:szCs w:val="28"/>
          <w:highlight w:val="none"/>
          <w:lang w:val="en-US" w:eastAsia="zh-CN"/>
        </w:rPr>
        <w:t>5日</w:t>
      </w:r>
      <w:r>
        <w:rPr>
          <w:rFonts w:hint="eastAsia" w:ascii="Times New Roman" w:hAnsi="Times New Roman" w:eastAsia="方正仿宋_GBK"/>
          <w:sz w:val="28"/>
          <w:szCs w:val="28"/>
          <w:highlight w:val="none"/>
          <w:lang w:eastAsia="zh-CN"/>
        </w:rPr>
        <w:t>仍未纠正或累计发生3次（含）以上的；</w:t>
      </w:r>
    </w:p>
    <w:p w14:paraId="2E46ABFC">
      <w:pPr>
        <w:pStyle w:val="35"/>
        <w:spacing w:after="0" w:line="579" w:lineRule="exact"/>
        <w:ind w:firstLine="560" w:firstLineChars="200"/>
        <w:contextualSpacing/>
        <w:jc w:val="both"/>
        <w:rPr>
          <w:rFonts w:hint="eastAsia" w:ascii="Times New Roman" w:hAnsi="Times New Roman" w:eastAsia="方正仿宋_GBK"/>
          <w:sz w:val="28"/>
          <w:szCs w:val="28"/>
          <w:highlight w:val="none"/>
          <w:lang w:val="en-US" w:eastAsia="zh-CN"/>
        </w:rPr>
      </w:pPr>
      <w:r>
        <w:rPr>
          <w:rFonts w:hint="eastAsia" w:ascii="Times New Roman" w:hAnsi="Times New Roman" w:eastAsia="方正仿宋_GBK"/>
          <w:sz w:val="28"/>
          <w:szCs w:val="28"/>
          <w:highlight w:val="none"/>
          <w:lang w:val="en-US" w:eastAsia="zh-CN"/>
        </w:rPr>
        <w:t>2.6其他本合同规定的相应条款；</w:t>
      </w:r>
    </w:p>
    <w:p w14:paraId="4A751DC0">
      <w:pPr>
        <w:pStyle w:val="35"/>
        <w:spacing w:after="0" w:line="579" w:lineRule="exact"/>
        <w:ind w:firstLine="560" w:firstLineChars="200"/>
        <w:contextualSpacing/>
        <w:jc w:val="both"/>
        <w:rPr>
          <w:rFonts w:ascii="Times New Roman" w:hAnsi="Times New Roman"/>
        </w:rPr>
      </w:pPr>
      <w:r>
        <w:rPr>
          <w:rFonts w:hint="eastAsia" w:ascii="Times New Roman" w:hAnsi="Times New Roman" w:eastAsia="方正仿宋_GBK"/>
          <w:sz w:val="28"/>
          <w:szCs w:val="28"/>
          <w:highlight w:val="none"/>
          <w:lang w:eastAsia="zh-CN"/>
        </w:rPr>
        <w:t>本合同在双方责任、义务履行完毕后终止。</w:t>
      </w:r>
      <w:r>
        <w:rPr>
          <w:rFonts w:ascii="Times New Roman" w:hAnsi="Times New Roman"/>
          <w:highlight w:val="none"/>
        </w:rPr>
        <w:t xml:space="preserve">       </w:t>
      </w:r>
      <w:r>
        <w:rPr>
          <w:rFonts w:ascii="Times New Roman" w:hAnsi="Times New Roman"/>
        </w:rPr>
        <w:t xml:space="preserve">                                                                                                                                     </w:t>
      </w:r>
      <w:r>
        <w:rPr>
          <w:rFonts w:ascii="Times New Roman" w:hAnsi="Times New Roman" w:eastAsia="方正仿宋_GBK"/>
          <w:sz w:val="28"/>
          <w:szCs w:val="28"/>
        </w:rPr>
        <w:t xml:space="preserve"> </w:t>
      </w:r>
      <w:r>
        <w:rPr>
          <w:rFonts w:ascii="Times New Roman" w:hAnsi="Times New Roman"/>
        </w:rPr>
        <w:t xml:space="preserve">                                   </w:t>
      </w:r>
    </w:p>
    <w:p w14:paraId="53986A3E">
      <w:pPr>
        <w:pStyle w:val="35"/>
        <w:spacing w:after="0" w:line="579" w:lineRule="exact"/>
        <w:contextualSpacing/>
        <w:jc w:val="both"/>
        <w:outlineLvl w:val="0"/>
        <w:rPr>
          <w:rFonts w:hint="default" w:ascii="Times New Roman" w:hAnsi="Times New Roman" w:eastAsia="黑体"/>
          <w:sz w:val="28"/>
          <w:szCs w:val="28"/>
          <w:lang w:val="en-US" w:eastAsia="zh-CN"/>
        </w:rPr>
      </w:pPr>
      <w:bookmarkStart w:id="20" w:name="_Toc19716"/>
      <w:r>
        <w:rPr>
          <w:rFonts w:ascii="Times New Roman" w:hAnsi="Times New Roman" w:eastAsia="黑体"/>
          <w:sz w:val="28"/>
          <w:szCs w:val="28"/>
        </w:rPr>
        <w:t xml:space="preserve">第十条 </w:t>
      </w:r>
      <w:r>
        <w:rPr>
          <w:rFonts w:hint="eastAsia" w:ascii="Times New Roman" w:hAnsi="Times New Roman" w:eastAsia="黑体"/>
          <w:sz w:val="28"/>
          <w:szCs w:val="28"/>
          <w:lang w:val="en-US" w:eastAsia="zh-CN"/>
        </w:rPr>
        <w:t>本合同未尽事宜</w:t>
      </w:r>
      <w:bookmarkEnd w:id="20"/>
    </w:p>
    <w:p w14:paraId="53434468">
      <w:pPr>
        <w:pStyle w:val="35"/>
        <w:numPr>
          <w:ilvl w:val="0"/>
          <w:numId w:val="0"/>
        </w:numPr>
        <w:spacing w:after="0" w:line="579" w:lineRule="exact"/>
        <w:contextualSpacing/>
        <w:jc w:val="both"/>
        <w:outlineLvl w:val="0"/>
        <w:rPr>
          <w:rFonts w:hint="eastAsia" w:ascii="Times New Roman" w:hAnsi="Times New Roman" w:eastAsia="方正仿宋_GBK"/>
          <w:sz w:val="28"/>
          <w:szCs w:val="28"/>
          <w:lang w:eastAsia="zh-CN"/>
        </w:rPr>
      </w:pPr>
      <w:bookmarkStart w:id="21" w:name="_Toc28024"/>
      <w:r>
        <w:rPr>
          <w:rFonts w:hint="eastAsia" w:ascii="Times New Roman" w:hAnsi="Times New Roman" w:eastAsia="方正仿宋_GBK"/>
          <w:sz w:val="28"/>
          <w:szCs w:val="28"/>
          <w:lang w:eastAsia="zh-CN"/>
        </w:rPr>
        <w:t>按照《中华人民共和国民法典》相关条款 。</w:t>
      </w:r>
      <w:bookmarkEnd w:id="21"/>
    </w:p>
    <w:p w14:paraId="05C4950F">
      <w:pPr>
        <w:pStyle w:val="35"/>
        <w:numPr>
          <w:ilvl w:val="0"/>
          <w:numId w:val="0"/>
        </w:numPr>
        <w:spacing w:after="0" w:line="579" w:lineRule="exact"/>
        <w:contextualSpacing/>
        <w:jc w:val="both"/>
        <w:outlineLvl w:val="0"/>
        <w:rPr>
          <w:rFonts w:ascii="Times New Roman" w:hAnsi="Times New Roman" w:eastAsia="黑体"/>
          <w:sz w:val="28"/>
          <w:szCs w:val="28"/>
        </w:rPr>
      </w:pPr>
      <w:bookmarkStart w:id="22" w:name="_Toc12083"/>
      <w:r>
        <w:rPr>
          <w:rFonts w:hint="eastAsia" w:ascii="Times New Roman" w:hAnsi="Times New Roman" w:eastAsia="黑体"/>
          <w:sz w:val="28"/>
          <w:szCs w:val="28"/>
          <w:lang w:val="en-US" w:eastAsia="zh-CN"/>
        </w:rPr>
        <w:t xml:space="preserve">第十一条 </w:t>
      </w:r>
      <w:r>
        <w:rPr>
          <w:rFonts w:ascii="Times New Roman" w:hAnsi="Times New Roman" w:eastAsia="黑体"/>
          <w:sz w:val="28"/>
          <w:szCs w:val="28"/>
        </w:rPr>
        <w:t>合同争议的解决方式</w:t>
      </w:r>
      <w:bookmarkEnd w:id="22"/>
    </w:p>
    <w:p w14:paraId="792E7736">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本合同在履行过程中发生的争议，由双方当事人协商解决；也可由当地工商行政管理部门调解；协商或调解不成的，依法向</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 xml:space="preserve">所在地人民法院起诉。   </w:t>
      </w:r>
    </w:p>
    <w:p w14:paraId="040CC6CB">
      <w:pPr>
        <w:pStyle w:val="35"/>
        <w:numPr>
          <w:ilvl w:val="0"/>
          <w:numId w:val="0"/>
        </w:numPr>
        <w:spacing w:after="0" w:line="579" w:lineRule="exact"/>
        <w:contextualSpacing/>
        <w:jc w:val="both"/>
        <w:outlineLvl w:val="0"/>
        <w:rPr>
          <w:rFonts w:ascii="Times New Roman" w:hAnsi="Times New Roman" w:eastAsia="黑体"/>
          <w:sz w:val="28"/>
          <w:szCs w:val="28"/>
        </w:rPr>
      </w:pPr>
      <w:bookmarkStart w:id="23" w:name="_Toc4713"/>
      <w:r>
        <w:rPr>
          <w:rFonts w:hint="eastAsia" w:ascii="Times New Roman" w:hAnsi="Times New Roman" w:eastAsia="黑体"/>
          <w:sz w:val="28"/>
          <w:szCs w:val="28"/>
          <w:lang w:val="en-US" w:eastAsia="zh-CN"/>
        </w:rPr>
        <w:t xml:space="preserve">第十二条 </w:t>
      </w:r>
      <w:r>
        <w:rPr>
          <w:rFonts w:ascii="Times New Roman" w:hAnsi="Times New Roman" w:eastAsia="黑体"/>
          <w:sz w:val="28"/>
          <w:szCs w:val="28"/>
        </w:rPr>
        <w:t>售后要求</w:t>
      </w:r>
      <w:bookmarkEnd w:id="23"/>
    </w:p>
    <w:p w14:paraId="1BEF0F0D">
      <w:pPr>
        <w:pStyle w:val="35"/>
        <w:spacing w:after="0" w:line="579" w:lineRule="exac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必须满足</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售后服务要求。如</w:t>
      </w:r>
      <w:r>
        <w:rPr>
          <w:rFonts w:hint="eastAsia" w:ascii="Times New Roman" w:hAnsi="Times New Roman" w:eastAsia="方正仿宋_GBK"/>
          <w:sz w:val="28"/>
          <w:szCs w:val="28"/>
          <w:lang w:val="en-US" w:eastAsia="zh-CN"/>
        </w:rPr>
        <w:t>服务</w:t>
      </w:r>
      <w:r>
        <w:rPr>
          <w:rFonts w:hint="eastAsia" w:ascii="Times New Roman" w:hAnsi="Times New Roman" w:eastAsia="方正仿宋_GBK"/>
          <w:sz w:val="28"/>
          <w:szCs w:val="28"/>
        </w:rPr>
        <w:t>过程发生问题，</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须在接到</w:t>
      </w:r>
      <w:r>
        <w:rPr>
          <w:rFonts w:hint="eastAsia" w:ascii="Times New Roman" w:hAnsi="Times New Roman" w:eastAsia="方正仿宋_GBK"/>
          <w:sz w:val="28"/>
          <w:szCs w:val="28"/>
          <w:lang w:val="en-US" w:eastAsia="zh-CN"/>
        </w:rPr>
        <w:t>甲方</w:t>
      </w:r>
      <w:r>
        <w:rPr>
          <w:rFonts w:hint="eastAsia" w:ascii="Times New Roman" w:hAnsi="Times New Roman" w:eastAsia="方正仿宋_GBK"/>
          <w:sz w:val="28"/>
          <w:szCs w:val="28"/>
        </w:rPr>
        <w:t>通知后24小时内做出书面答复并提供解决方案。若需要派遣技术人员，则应在接到</w:t>
      </w: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通知后48小时内派人员到达现场进行免费指导解决问题。</w:t>
      </w:r>
    </w:p>
    <w:p w14:paraId="4C056D4E">
      <w:pPr>
        <w:pStyle w:val="35"/>
        <w:spacing w:after="0" w:line="579" w:lineRule="exact"/>
        <w:ind w:firstLine="560" w:firstLineChars="200"/>
        <w:contextualSpacing/>
        <w:jc w:val="both"/>
        <w:rPr>
          <w:rFonts w:ascii="Times New Roman" w:hAnsi="Times New Roman" w:eastAsia="方正仿宋_GBK"/>
          <w:sz w:val="28"/>
          <w:szCs w:val="28"/>
        </w:rPr>
      </w:pPr>
      <w:r>
        <w:rPr>
          <w:rFonts w:hint="eastAsia" w:ascii="Times New Roman" w:hAnsi="Times New Roman" w:eastAsia="方正仿宋_GBK"/>
          <w:sz w:val="28"/>
          <w:szCs w:val="28"/>
          <w:lang w:eastAsia="zh-CN"/>
        </w:rPr>
        <w:t>甲方</w:t>
      </w:r>
      <w:r>
        <w:rPr>
          <w:rFonts w:hint="eastAsia" w:ascii="Times New Roman" w:hAnsi="Times New Roman" w:eastAsia="方正仿宋_GBK"/>
          <w:sz w:val="28"/>
          <w:szCs w:val="28"/>
        </w:rPr>
        <w:t>不再对任何售后服务进行付费。</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的派遣人员产生的一切费用由</w:t>
      </w:r>
      <w:r>
        <w:rPr>
          <w:rFonts w:hint="eastAsia" w:ascii="Times New Roman" w:hAnsi="Times New Roman" w:eastAsia="方正仿宋_GBK"/>
          <w:sz w:val="28"/>
          <w:szCs w:val="28"/>
          <w:lang w:eastAsia="zh-CN"/>
        </w:rPr>
        <w:t>乙方</w:t>
      </w:r>
      <w:r>
        <w:rPr>
          <w:rFonts w:hint="eastAsia" w:ascii="Times New Roman" w:hAnsi="Times New Roman" w:eastAsia="方正仿宋_GBK"/>
          <w:sz w:val="28"/>
          <w:szCs w:val="28"/>
        </w:rPr>
        <w:t>承担。</w:t>
      </w:r>
    </w:p>
    <w:p w14:paraId="7AB4544A">
      <w:pPr>
        <w:pStyle w:val="35"/>
        <w:numPr>
          <w:ilvl w:val="0"/>
          <w:numId w:val="0"/>
        </w:numPr>
        <w:spacing w:after="0" w:line="579" w:lineRule="exact"/>
        <w:ind w:left="560" w:leftChars="0" w:hanging="560" w:hangingChars="200"/>
        <w:contextualSpacing/>
        <w:jc w:val="both"/>
        <w:outlineLvl w:val="0"/>
        <w:rPr>
          <w:rFonts w:ascii="Times New Roman" w:hAnsi="Times New Roman" w:eastAsia="黑体"/>
          <w:sz w:val="28"/>
          <w:szCs w:val="28"/>
        </w:rPr>
      </w:pPr>
      <w:bookmarkStart w:id="24" w:name="_Toc31364"/>
      <w:r>
        <w:rPr>
          <w:rFonts w:hint="eastAsia" w:ascii="Times New Roman" w:hAnsi="Times New Roman" w:eastAsia="黑体" w:cs="Times New Roman"/>
          <w:sz w:val="28"/>
          <w:szCs w:val="28"/>
          <w:lang w:val="en-US" w:eastAsia="zh-CN" w:bidi="ar-SA"/>
        </w:rPr>
        <w:t xml:space="preserve">第十三条 </w:t>
      </w:r>
      <w:r>
        <w:rPr>
          <w:rFonts w:ascii="Times New Roman" w:hAnsi="Times New Roman" w:eastAsia="黑体"/>
          <w:sz w:val="28"/>
          <w:szCs w:val="28"/>
        </w:rPr>
        <w:t>其他要求</w:t>
      </w:r>
      <w:bookmarkEnd w:id="24"/>
    </w:p>
    <w:p w14:paraId="7D944763">
      <w:pPr>
        <w:pStyle w:val="35"/>
        <w:spacing w:after="0" w:line="579" w:lineRule="exact"/>
        <w:ind w:firstLine="560" w:firstLineChars="200"/>
        <w:contextualSpacing/>
        <w:jc w:val="both"/>
        <w:rPr>
          <w:rFonts w:ascii="Times New Roman" w:hAnsi="Times New Roman" w:eastAsia="方正仿宋_GBK"/>
          <w:sz w:val="28"/>
          <w:szCs w:val="28"/>
        </w:rPr>
      </w:pPr>
      <w:r>
        <w:rPr>
          <w:rFonts w:ascii="Times New Roman" w:hAnsi="Times New Roman" w:eastAsia="方正仿宋_GBK"/>
          <w:sz w:val="28"/>
          <w:szCs w:val="28"/>
        </w:rPr>
        <w:t>本合同一式六份，</w:t>
      </w:r>
      <w:r>
        <w:rPr>
          <w:rFonts w:hint="eastAsia" w:ascii="Times New Roman" w:hAnsi="Times New Roman" w:eastAsia="方正仿宋_GBK"/>
          <w:sz w:val="28"/>
          <w:szCs w:val="28"/>
          <w:lang w:eastAsia="zh-CN"/>
        </w:rPr>
        <w:t>甲方</w:t>
      </w:r>
      <w:r>
        <w:rPr>
          <w:rFonts w:ascii="Times New Roman" w:hAnsi="Times New Roman" w:eastAsia="方正仿宋_GBK"/>
          <w:sz w:val="28"/>
          <w:szCs w:val="28"/>
        </w:rPr>
        <w:t>五份；</w:t>
      </w:r>
      <w:r>
        <w:rPr>
          <w:rFonts w:hint="eastAsia" w:ascii="Times New Roman" w:hAnsi="Times New Roman" w:eastAsia="方正仿宋_GBK"/>
          <w:sz w:val="28"/>
          <w:szCs w:val="28"/>
          <w:lang w:eastAsia="zh-CN"/>
        </w:rPr>
        <w:t>乙方</w:t>
      </w:r>
      <w:r>
        <w:rPr>
          <w:rFonts w:ascii="Times New Roman" w:hAnsi="Times New Roman" w:eastAsia="方正仿宋_GBK"/>
          <w:sz w:val="28"/>
          <w:szCs w:val="28"/>
        </w:rPr>
        <w:t>一份，签章后生效。</w:t>
      </w:r>
    </w:p>
    <w:p w14:paraId="2DD23625">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3544CA32">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E2EF21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1CCC98F">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E3F81AE">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7DA44C0">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5420F27A">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72AED5A7">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49971803">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6FE84E58">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0AEF1752">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335177DD">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152709B3">
      <w:pPr>
        <w:pStyle w:val="35"/>
        <w:keepNext w:val="0"/>
        <w:keepLines w:val="0"/>
        <w:pageBreakBefore w:val="0"/>
        <w:widowControl/>
        <w:numPr>
          <w:ilvl w:val="0"/>
          <w:numId w:val="0"/>
        </w:numPr>
        <w:kinsoku/>
        <w:wordWrap/>
        <w:overflowPunct/>
        <w:topLinePunct w:val="0"/>
        <w:autoSpaceDE/>
        <w:autoSpaceDN/>
        <w:bidi w:val="0"/>
        <w:adjustRightInd w:val="0"/>
        <w:snapToGrid w:val="0"/>
        <w:spacing w:after="0" w:line="579" w:lineRule="exact"/>
        <w:contextualSpacing/>
        <w:jc w:val="both"/>
        <w:textAlignment w:val="auto"/>
        <w:rPr>
          <w:rFonts w:hint="eastAsia" w:ascii="方正仿宋_GBK" w:hAnsi="方正仿宋_GBK" w:eastAsia="方正仿宋_GBK" w:cs="方正仿宋_GBK"/>
          <w:sz w:val="28"/>
          <w:szCs w:val="28"/>
          <w:lang w:eastAsia="zh-CN"/>
        </w:rPr>
      </w:pPr>
    </w:p>
    <w:p w14:paraId="74A70551">
      <w:pPr>
        <w:pStyle w:val="35"/>
        <w:spacing w:after="0" w:line="579" w:lineRule="atLeast"/>
        <w:contextualSpacing/>
        <w:jc w:val="both"/>
        <w:outlineLvl w:val="0"/>
        <w:rPr>
          <w:rFonts w:hint="eastAsia" w:ascii="Times New Roman" w:hAnsi="Times New Roman" w:eastAsia="方正仿宋_GBK"/>
          <w:sz w:val="28"/>
          <w:szCs w:val="28"/>
        </w:rPr>
      </w:pPr>
      <w:bookmarkStart w:id="25" w:name="_Toc30647"/>
      <w:bookmarkStart w:id="26" w:name="_Toc11305"/>
      <w:bookmarkStart w:id="27" w:name="_Toc2257"/>
      <w:r>
        <w:rPr>
          <w:rFonts w:hint="eastAsia" w:ascii="Times New Roman" w:hAnsi="Times New Roman" w:eastAsia="方正仿宋_GBK" w:cs="Times New Roman"/>
          <w:b/>
          <w:bCs/>
          <w:sz w:val="28"/>
          <w:szCs w:val="28"/>
          <w:highlight w:val="none"/>
          <w:lang w:val="en-US" w:eastAsia="zh-CN"/>
        </w:rPr>
        <w:t>附件：</w:t>
      </w:r>
      <w:bookmarkEnd w:id="25"/>
      <w:bookmarkEnd w:id="26"/>
      <w:bookmarkEnd w:id="27"/>
    </w:p>
    <w:p w14:paraId="072DF412">
      <w:pPr>
        <w:spacing w:after="0" w:line="579" w:lineRule="atLeast"/>
        <w:jc w:val="center"/>
        <w:outlineLvl w:val="1"/>
        <w:rPr>
          <w:rFonts w:hint="eastAsia" w:ascii="宋体" w:hAnsi="宋体" w:cs="宋体"/>
          <w:b/>
          <w:sz w:val="24"/>
          <w:highlight w:val="none"/>
        </w:rPr>
      </w:pPr>
      <w:r>
        <w:rPr>
          <w:rFonts w:hint="eastAsia" w:ascii="Times New Roman" w:hAnsi="Times New Roman" w:eastAsia="方正小标宋_GBK"/>
          <w:b/>
          <w:sz w:val="36"/>
          <w:szCs w:val="36"/>
        </w:rPr>
        <w:t>廉政责任书</w:t>
      </w:r>
    </w:p>
    <w:p w14:paraId="7CDB0066">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项目名称：绍兴市再生能源发展有限公司</w:t>
      </w:r>
      <w:r>
        <w:rPr>
          <w:rFonts w:hint="eastAsia" w:ascii="方正仿宋_GBK" w:hAnsi="方正仿宋_GBK" w:eastAsia="方正仿宋_GBK" w:cs="方正仿宋_GBK"/>
          <w:b/>
          <w:bCs/>
          <w:sz w:val="24"/>
          <w:szCs w:val="24"/>
          <w:highlight w:val="none"/>
          <w:lang w:val="en-US" w:eastAsia="zh-CN"/>
        </w:rPr>
        <w:t>食堂更换电磁双头大炒灶、电磁小炒炉、电磁低汤炉项目</w:t>
      </w:r>
    </w:p>
    <w:p w14:paraId="33A352CA">
      <w:pPr>
        <w:spacing w:after="0" w:line="579" w:lineRule="atLeast"/>
        <w:rPr>
          <w:rFonts w:hint="eastAsia" w:ascii="方正仿宋_GBK" w:hAnsi="方正仿宋_GBK" w:eastAsia="方正仿宋_GBK" w:cs="方正仿宋_GBK"/>
          <w:b/>
          <w:bCs/>
          <w:sz w:val="24"/>
          <w:szCs w:val="24"/>
          <w:highlight w:val="none"/>
        </w:rPr>
      </w:pPr>
      <w:r>
        <w:rPr>
          <w:rFonts w:hint="eastAsia" w:ascii="方正仿宋_GBK" w:hAnsi="方正仿宋_GBK" w:eastAsia="方正仿宋_GBK" w:cs="方正仿宋_GBK"/>
          <w:b/>
          <w:bCs/>
          <w:sz w:val="24"/>
          <w:szCs w:val="24"/>
          <w:highlight w:val="none"/>
        </w:rPr>
        <w:t>甲方</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全称</w:t>
      </w:r>
      <w:r>
        <w:rPr>
          <w:rFonts w:hint="eastAsia" w:ascii="方正仿宋_GBK" w:hAnsi="方正仿宋_GBK" w:eastAsia="方正仿宋_GBK" w:cs="方正仿宋_GBK"/>
          <w:b/>
          <w:bCs/>
          <w:sz w:val="24"/>
          <w:szCs w:val="24"/>
          <w:highlight w:val="none"/>
          <w:lang w:eastAsia="zh-CN"/>
        </w:rPr>
        <w:t>）</w:t>
      </w:r>
      <w:r>
        <w:rPr>
          <w:rFonts w:hint="eastAsia" w:ascii="方正仿宋_GBK" w:hAnsi="方正仿宋_GBK" w:eastAsia="方正仿宋_GBK" w:cs="方正仿宋_GBK"/>
          <w:b/>
          <w:bCs/>
          <w:sz w:val="24"/>
          <w:szCs w:val="24"/>
          <w:highlight w:val="none"/>
        </w:rPr>
        <w:t>：绍兴市再生能源发展有限公司            （以下简称甲方）</w:t>
      </w:r>
    </w:p>
    <w:p w14:paraId="48486C83">
      <w:pPr>
        <w:spacing w:after="0" w:line="579" w:lineRule="atLeast"/>
        <w:rPr>
          <w:rFonts w:hint="eastAsia" w:ascii="方正仿宋_GBK" w:hAnsi="方正仿宋_GBK" w:eastAsia="方正仿宋_GBK" w:cs="方正仿宋_GBK"/>
          <w:b/>
          <w:bCs/>
          <w:sz w:val="24"/>
          <w:szCs w:val="24"/>
        </w:rPr>
      </w:pPr>
      <w:r>
        <w:rPr>
          <w:rFonts w:hint="eastAsia" w:ascii="方正仿宋_GBK" w:hAnsi="方正仿宋_GBK" w:eastAsia="方正仿宋_GBK" w:cs="方正仿宋_GBK"/>
          <w:b/>
          <w:bCs/>
          <w:sz w:val="24"/>
          <w:szCs w:val="24"/>
        </w:rPr>
        <w:t>乙方</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全称</w:t>
      </w:r>
      <w:r>
        <w:rPr>
          <w:rFonts w:hint="eastAsia" w:ascii="方正仿宋_GBK" w:hAnsi="方正仿宋_GBK" w:eastAsia="方正仿宋_GBK" w:cs="方正仿宋_GBK"/>
          <w:b/>
          <w:bCs/>
          <w:sz w:val="24"/>
          <w:szCs w:val="24"/>
          <w:lang w:eastAsia="zh-CN"/>
        </w:rPr>
        <w:t>）</w:t>
      </w:r>
      <w:r>
        <w:rPr>
          <w:rFonts w:hint="eastAsia" w:ascii="方正仿宋_GBK" w:hAnsi="方正仿宋_GBK" w:eastAsia="方正仿宋_GBK" w:cs="方正仿宋_GBK"/>
          <w:b/>
          <w:bCs/>
          <w:sz w:val="24"/>
          <w:szCs w:val="24"/>
        </w:rPr>
        <w:t>：</w:t>
      </w:r>
      <w:r>
        <w:rPr>
          <w:rFonts w:hint="eastAsia" w:ascii="方正仿宋_GBK" w:hAnsi="方正仿宋_GBK" w:eastAsia="方正仿宋_GBK" w:cs="方正仿宋_GBK"/>
          <w:b/>
          <w:bCs/>
          <w:sz w:val="24"/>
          <w:szCs w:val="24"/>
          <w:lang w:val="en-US" w:eastAsia="zh-CN"/>
        </w:rPr>
        <w:t xml:space="preserve">                               </w:t>
      </w:r>
      <w:r>
        <w:rPr>
          <w:rFonts w:hint="eastAsia" w:ascii="方正仿宋_GBK" w:hAnsi="方正仿宋_GBK" w:eastAsia="方正仿宋_GBK" w:cs="方正仿宋_GBK"/>
          <w:b/>
          <w:bCs/>
          <w:sz w:val="24"/>
          <w:szCs w:val="24"/>
        </w:rPr>
        <w:t xml:space="preserve">       （以下简称乙方）</w:t>
      </w:r>
    </w:p>
    <w:p w14:paraId="6D9789D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为加强项目实施过程中的廉政建设，规范项目承发包双方的各项活动，防止发生各种谋取不正当利益的违法违纪行为，保护国家、集体和当事人的合法权益，根据国家有关的法律法规和廉政建设责任制规定，特订立本廉政责任书。</w:t>
      </w:r>
    </w:p>
    <w:p w14:paraId="7043EDC9">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第一条 甲、乙双方的责任</w:t>
      </w:r>
    </w:p>
    <w:p w14:paraId="4B2D157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应严格遵守国家关于市场准入、项目招标投和市场活动等有关法律、法规，相关政策，以及廉政建设的各项规定。</w:t>
      </w:r>
    </w:p>
    <w:p w14:paraId="16AE1DDE">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严格执行项目承发包合同文件，自觉按合同办事。</w:t>
      </w:r>
    </w:p>
    <w:p w14:paraId="139C66D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业务活动必须坚持公开、公平、公正、诚信、透明的原则（除法律法规另有规定者外），不得为获取不正当的利益，损害国家、集体和对方利益，不得违反项目管理、施工安装的规章制度。</w:t>
      </w:r>
    </w:p>
    <w:p w14:paraId="3E9451A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发现对方在业务活动中有违规、违纪、违法行为的，应及时提醒对方，情节严重的，应向其上级主管部门或纪检监察、司法等有关机关举报。</w:t>
      </w:r>
    </w:p>
    <w:p w14:paraId="326CBA87">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第二条 甲方的责任</w:t>
      </w:r>
    </w:p>
    <w:p w14:paraId="72372DB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甲方的领导和从事该项目管理的工作人员，在项目服务的事前、事中、事后应遵守以下规定：</w:t>
      </w:r>
    </w:p>
    <w:p w14:paraId="6C536E0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不准向乙方和相关单位索要或接受回扣、礼金、有价证券、贵重物品和好处费、感谢费等。</w:t>
      </w:r>
    </w:p>
    <w:p w14:paraId="19E856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不准在乙方和相关单位报销任何应由甲方或个人支付的费用。</w:t>
      </w:r>
    </w:p>
    <w:p w14:paraId="4648777B">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不准要求、暗示和接受乙方和相关单位为个人装修住房、婚丧嫁娶、配偶子女的工作安排以及出国（境）、旅游等提供方便。</w:t>
      </w:r>
    </w:p>
    <w:p w14:paraId="6A3C7223">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不准参加有可能影响公正执行公务的乙方和相关单位的宴请和健身、娱乐等活动。</w:t>
      </w:r>
    </w:p>
    <w:p w14:paraId="44475148">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（五）</w:t>
      </w:r>
      <w:r>
        <w:rPr>
          <w:rFonts w:hint="eastAsia" w:ascii="Times New Roman" w:hAnsi="Times New Roman" w:eastAsia="方正仿宋_GBK"/>
          <w:sz w:val="28"/>
          <w:szCs w:val="28"/>
        </w:rPr>
        <w:t>不准向乙方介绍或为配偶、子女、亲属参与同甲方项目合同有关的设备、材料、工程分包、劳务等经济活动。不得以任何理由向乙方和相关单位推荐分包单位和要求乙方购买项目合同规定以外的材料、设备等。</w:t>
      </w:r>
    </w:p>
    <w:p w14:paraId="094F8490">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第三条 乙方的责任</w:t>
      </w:r>
    </w:p>
    <w:p w14:paraId="2F871DEC">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Times New Roman" w:hAnsi="Times New Roman" w:eastAsia="方正仿宋_GBK"/>
          <w:sz w:val="28"/>
          <w:szCs w:val="28"/>
        </w:rPr>
        <w:t>应与甲方保持正常的业务交往，按照有关法律法规和程序开展业务工作，严格执行项目的有关方针、政策，并遵守以下规定：</w:t>
      </w:r>
    </w:p>
    <w:p w14:paraId="368E5650">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不准以任何理由向甲方、相关单位及其工作人员索要、接受或赠送礼金、有价证券、贵重物品和回扣、好处费、感谢费等。</w:t>
      </w:r>
    </w:p>
    <w:p w14:paraId="66C9A142">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不准以任何理由为甲方和相关单位报销应由对方或个人支付的费用。</w:t>
      </w:r>
    </w:p>
    <w:p w14:paraId="3F58C484">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（三）</w:t>
      </w:r>
      <w:r>
        <w:rPr>
          <w:rFonts w:hint="eastAsia" w:ascii="Times New Roman" w:hAnsi="Times New Roman" w:eastAsia="方正仿宋_GBK"/>
          <w:sz w:val="28"/>
          <w:szCs w:val="28"/>
        </w:rPr>
        <w:t>不准接受或暗示为甲方、相关单位或个人装修住房、婚丧嫁娶、配偶子女的工作安排以及出国（境）、旅游等提供方便。</w:t>
      </w:r>
    </w:p>
    <w:p w14:paraId="1455FD1F">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（四）</w:t>
      </w:r>
      <w:r>
        <w:rPr>
          <w:rFonts w:hint="eastAsia" w:ascii="Times New Roman" w:hAnsi="Times New Roman" w:eastAsia="方正仿宋_GBK"/>
          <w:sz w:val="28"/>
          <w:szCs w:val="28"/>
        </w:rPr>
        <w:t>不准以任何理由为甲方、相关单位或个人组织有可能影响公正执行公务的宴请、健身、娱乐等活动。</w:t>
      </w:r>
    </w:p>
    <w:p w14:paraId="62C2BEF1">
      <w:pPr>
        <w:pStyle w:val="35"/>
        <w:spacing w:after="0" w:line="579" w:lineRule="atLeast"/>
        <w:ind w:firstLine="560" w:firstLineChars="200"/>
        <w:contextualSpacing/>
        <w:jc w:val="both"/>
        <w:rPr>
          <w:rFonts w:hint="eastAsia" w:ascii="方正黑体_GBK" w:hAnsi="方正黑体_GBK" w:eastAsia="方正黑体_GBK" w:cs="方正黑体_GBK"/>
          <w:sz w:val="28"/>
          <w:szCs w:val="28"/>
        </w:rPr>
      </w:pPr>
      <w:r>
        <w:rPr>
          <w:rFonts w:hint="eastAsia" w:ascii="方正黑体_GBK" w:hAnsi="方正黑体_GBK" w:eastAsia="方正黑体_GBK" w:cs="方正黑体_GBK"/>
          <w:sz w:val="28"/>
          <w:szCs w:val="28"/>
        </w:rPr>
        <w:t>第四条 违约责任</w:t>
      </w:r>
    </w:p>
    <w:p w14:paraId="754174D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（一）</w:t>
      </w:r>
      <w:r>
        <w:rPr>
          <w:rFonts w:hint="eastAsia" w:ascii="Times New Roman" w:hAnsi="Times New Roman" w:eastAsia="方正仿宋_GBK"/>
          <w:sz w:val="28"/>
          <w:szCs w:val="28"/>
        </w:rPr>
        <w:t>甲方工作人员有违反本责任书第一、二条责任行为的，按照管理权限，依据有关法律法规和规定给予党纪、政纪处分或组织处理；涉嫌犯罪的，移交司法机关追究刑事责任。</w:t>
      </w:r>
    </w:p>
    <w:p w14:paraId="3FF27947">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（二）</w:t>
      </w:r>
      <w:r>
        <w:rPr>
          <w:rFonts w:hint="eastAsia" w:ascii="Times New Roman" w:hAnsi="Times New Roman" w:eastAsia="方正仿宋_GBK"/>
          <w:sz w:val="28"/>
          <w:szCs w:val="28"/>
        </w:rPr>
        <w:t>乙方工作人员有违反本责任书第一、三条责任行为的，按照管理权限，依据有关法律法规和规定给予党纪、政纪处分或组织处理；涉嫌犯罪的，移交司法机关追究刑事责任；给甲方单位造成经济损失的，应予以赔偿；廉政建设风险抵押金不予返还。</w:t>
      </w:r>
    </w:p>
    <w:p w14:paraId="46FA36E5">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第五条 </w:t>
      </w:r>
      <w:r>
        <w:rPr>
          <w:rFonts w:hint="eastAsia" w:ascii="Times New Roman" w:hAnsi="Times New Roman" w:eastAsia="方正仿宋_GBK"/>
          <w:sz w:val="28"/>
          <w:szCs w:val="28"/>
        </w:rPr>
        <w:t xml:space="preserve"> 本责任书作为合同的附件，与合同具有同等法律效力。经双方签署后立即生效。</w:t>
      </w:r>
    </w:p>
    <w:p w14:paraId="1F557F8D">
      <w:pPr>
        <w:pStyle w:val="35"/>
        <w:spacing w:after="0" w:line="579" w:lineRule="atLeast"/>
        <w:ind w:firstLine="560" w:firstLineChars="200"/>
        <w:contextualSpacing/>
        <w:jc w:val="both"/>
        <w:rPr>
          <w:rFonts w:hint="eastAsia" w:ascii="Times New Roman" w:hAnsi="Times New Roman" w:eastAsia="方正仿宋_GBK"/>
          <w:sz w:val="28"/>
          <w:szCs w:val="28"/>
        </w:rPr>
      </w:pPr>
      <w:r>
        <w:rPr>
          <w:rFonts w:hint="eastAsia" w:ascii="方正黑体_GBK" w:hAnsi="方正黑体_GBK" w:eastAsia="方正黑体_GBK" w:cs="方正黑体_GBK"/>
          <w:sz w:val="28"/>
          <w:szCs w:val="28"/>
        </w:rPr>
        <w:t xml:space="preserve">第六条  </w:t>
      </w:r>
      <w:r>
        <w:rPr>
          <w:rFonts w:hint="eastAsia" w:ascii="Times New Roman" w:hAnsi="Times New Roman" w:eastAsia="方正仿宋_GBK"/>
          <w:sz w:val="28"/>
          <w:szCs w:val="28"/>
        </w:rPr>
        <w:t>本责任书的有效期为双方签署之日起至该项目结束时止。</w:t>
      </w:r>
    </w:p>
    <w:p w14:paraId="5A4E2C07">
      <w:pPr>
        <w:pStyle w:val="35"/>
        <w:spacing w:line="579" w:lineRule="atLeast"/>
        <w:ind w:firstLine="480" w:firstLineChars="200"/>
        <w:contextualSpacing/>
        <w:jc w:val="both"/>
        <w:rPr>
          <w:rFonts w:ascii="Times New Roman" w:eastAsia="方正仿宋_GBK" w:cs="Times New Roman"/>
        </w:rPr>
      </w:pPr>
    </w:p>
    <w:p w14:paraId="2E644D2D">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甲方（盖章）                            </w:t>
      </w:r>
      <w:r>
        <w:rPr>
          <w:rFonts w:hint="eastAsia" w:ascii="Times New Roman" w:hAnsi="Times New Roman" w:eastAsia="方正仿宋_GBK"/>
          <w:b/>
          <w:bCs/>
          <w:sz w:val="24"/>
        </w:rPr>
        <w:t xml:space="preserve">       </w:t>
      </w:r>
      <w:r>
        <w:rPr>
          <w:rFonts w:ascii="Times New Roman" w:hAnsi="Times New Roman" w:eastAsia="方正仿宋_GBK"/>
          <w:b/>
          <w:bCs/>
          <w:sz w:val="24"/>
        </w:rPr>
        <w:t>乙方（盖章）</w:t>
      </w:r>
    </w:p>
    <w:p w14:paraId="5E2D4A42">
      <w:pPr>
        <w:spacing w:after="0" w:line="579" w:lineRule="atLeast"/>
        <w:jc w:val="both"/>
        <w:rPr>
          <w:rFonts w:ascii="Times New Roman" w:hAnsi="Times New Roman" w:eastAsia="方正仿宋_GBK"/>
          <w:b/>
          <w:bCs/>
          <w:sz w:val="24"/>
        </w:rPr>
      </w:pPr>
      <w:r>
        <w:rPr>
          <w:rFonts w:ascii="Times New Roman" w:hAnsi="Times New Roman" w:eastAsia="方正仿宋_GBK"/>
          <w:b/>
          <w:bCs/>
          <w:sz w:val="24"/>
        </w:rPr>
        <w:t xml:space="preserve">法定代表人（签名或盖章）                </w:t>
      </w:r>
      <w:r>
        <w:rPr>
          <w:rFonts w:hint="eastAsia" w:ascii="Times New Roman" w:hAnsi="Times New Roman" w:eastAsia="方正仿宋_GBK"/>
          <w:b/>
          <w:bCs/>
          <w:sz w:val="24"/>
        </w:rPr>
        <w:t xml:space="preserve">       </w:t>
      </w:r>
      <w:r>
        <w:rPr>
          <w:rFonts w:ascii="Times New Roman" w:hAnsi="Times New Roman" w:eastAsia="方正仿宋_GBK"/>
          <w:b/>
          <w:bCs/>
          <w:sz w:val="24"/>
        </w:rPr>
        <w:t>法定代表人（签名或盖章）</w:t>
      </w:r>
    </w:p>
    <w:p w14:paraId="08D29535">
      <w:pPr>
        <w:spacing w:after="0" w:line="579" w:lineRule="atLeast"/>
        <w:jc w:val="both"/>
        <w:rPr>
          <w:rFonts w:hint="eastAsia" w:ascii="Times New Roman" w:hAnsi="Times New Roman" w:eastAsia="方正仿宋_GBK"/>
          <w:b/>
          <w:bCs/>
          <w:sz w:val="24"/>
        </w:rPr>
      </w:pPr>
      <w:r>
        <w:rPr>
          <w:rFonts w:ascii="Times New Roman" w:hAnsi="Times New Roman" w:eastAsia="方正仿宋_GBK"/>
          <w:b/>
          <w:bCs/>
          <w:sz w:val="24"/>
        </w:rPr>
        <w:t xml:space="preserve">或委托代理人（签名）                   </w:t>
      </w:r>
      <w:r>
        <w:rPr>
          <w:rFonts w:hint="eastAsia" w:ascii="Times New Roman" w:hAnsi="Times New Roman" w:eastAsia="方正仿宋_GBK"/>
          <w:b/>
          <w:bCs/>
          <w:sz w:val="24"/>
        </w:rPr>
        <w:t xml:space="preserve">        </w:t>
      </w:r>
      <w:r>
        <w:rPr>
          <w:rFonts w:ascii="Times New Roman" w:hAnsi="Times New Roman" w:eastAsia="方正仿宋_GBK"/>
          <w:b/>
          <w:bCs/>
          <w:sz w:val="24"/>
        </w:rPr>
        <w:t>或委托代理人（签名）</w:t>
      </w:r>
    </w:p>
    <w:p w14:paraId="2706D55B">
      <w:pPr>
        <w:spacing w:after="0" w:line="579" w:lineRule="atLeast"/>
        <w:jc w:val="center"/>
        <w:rPr>
          <w:rFonts w:hint="eastAsia" w:ascii="Times New Roman" w:hAnsi="Times New Roman" w:eastAsia="方正仿宋_GBK"/>
          <w:b/>
          <w:bCs/>
          <w:sz w:val="24"/>
          <w:lang w:val="en-US" w:eastAsia="zh-CN"/>
        </w:rPr>
      </w:pPr>
      <w:r>
        <w:rPr>
          <w:rFonts w:hint="eastAsia" w:ascii="Times New Roman" w:hAnsi="Times New Roman" w:eastAsia="方正仿宋_GBK"/>
          <w:b/>
          <w:bCs/>
          <w:sz w:val="24"/>
          <w:lang w:val="en-US" w:eastAsia="zh-CN"/>
        </w:rPr>
        <w:t xml:space="preserve">                                               </w:t>
      </w:r>
    </w:p>
    <w:p w14:paraId="20252DFD">
      <w:pPr>
        <w:spacing w:after="0" w:line="579" w:lineRule="atLeast"/>
        <w:jc w:val="center"/>
        <w:rPr>
          <w:rFonts w:ascii="Times New Roman" w:hAnsi="Times New Roman" w:eastAsia="方正仿宋_GBK"/>
          <w:b/>
          <w:bCs/>
          <w:sz w:val="32"/>
          <w:szCs w:val="32"/>
        </w:rPr>
      </w:pPr>
      <w:r>
        <w:rPr>
          <w:rFonts w:hint="eastAsia" w:ascii="Times New Roman" w:hAnsi="Times New Roman" w:eastAsia="方正仿宋_GBK"/>
          <w:b/>
          <w:bCs/>
          <w:sz w:val="24"/>
          <w:lang w:val="en-US" w:eastAsia="zh-CN"/>
        </w:rPr>
        <w:t xml:space="preserve">      </w:t>
      </w:r>
      <w:r>
        <w:rPr>
          <w:rFonts w:hint="eastAsia" w:ascii="Times New Roman" w:hAnsi="Times New Roman" w:eastAsia="方正仿宋_GBK"/>
          <w:b/>
          <w:bCs/>
          <w:sz w:val="24"/>
        </w:rPr>
        <w:t xml:space="preserve"> </w:t>
      </w:r>
      <w:r>
        <w:rPr>
          <w:rFonts w:ascii="Times New Roman" w:hAnsi="Times New Roman" w:eastAsia="方正仿宋_GBK"/>
          <w:b/>
          <w:bCs/>
          <w:sz w:val="24"/>
        </w:rPr>
        <w:t>年</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月</w:t>
      </w:r>
      <w:r>
        <w:rPr>
          <w:rFonts w:hint="eastAsia" w:ascii="Times New Roman" w:hAnsi="Times New Roman" w:eastAsia="方正仿宋_GBK"/>
          <w:b/>
          <w:bCs/>
          <w:sz w:val="24"/>
          <w:lang w:val="en-US" w:eastAsia="zh-CN"/>
        </w:rPr>
        <w:t xml:space="preserve">    </w:t>
      </w:r>
      <w:r>
        <w:rPr>
          <w:rFonts w:ascii="Times New Roman" w:hAnsi="Times New Roman" w:eastAsia="方正仿宋_GBK"/>
          <w:b/>
          <w:bCs/>
          <w:sz w:val="24"/>
        </w:rPr>
        <w:t>日</w:t>
      </w:r>
    </w:p>
    <w:p w14:paraId="337ECAF6">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default" w:ascii="Times New Roman" w:hAnsi="Times New Roman" w:eastAsia="方正仿宋_GBK" w:cs="Times New Roman"/>
          <w:b/>
          <w:bCs/>
          <w:color w:val="auto"/>
          <w:kern w:val="0"/>
          <w:sz w:val="24"/>
          <w:highlight w:val="none"/>
        </w:rPr>
      </w:pPr>
    </w:p>
    <w:p w14:paraId="6CCE3741">
      <w:pPr>
        <w:keepNext w:val="0"/>
        <w:keepLines w:val="0"/>
        <w:pageBreakBefore w:val="0"/>
        <w:widowControl/>
        <w:kinsoku/>
        <w:wordWrap/>
        <w:overflowPunct/>
        <w:topLinePunct w:val="0"/>
        <w:bidi w:val="0"/>
        <w:adjustRightInd w:val="0"/>
        <w:snapToGrid w:val="0"/>
        <w:spacing w:after="0" w:line="579" w:lineRule="atLeast"/>
        <w:jc w:val="center"/>
        <w:textAlignment w:val="auto"/>
        <w:rPr>
          <w:rFonts w:hint="eastAsia" w:ascii="Times New Roman" w:hAnsi="Times New Roman" w:eastAsia="方正仿宋_GBK" w:cs="Times New Roman"/>
          <w:b/>
          <w:bCs/>
          <w:color w:val="auto"/>
          <w:kern w:val="0"/>
          <w:sz w:val="24"/>
          <w:highlight w:val="none"/>
        </w:rPr>
      </w:pPr>
    </w:p>
    <w:p w14:paraId="2F846394">
      <w:pPr>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br w:type="page"/>
      </w:r>
    </w:p>
    <w:p w14:paraId="57866C79">
      <w:pPr>
        <w:pStyle w:val="2"/>
        <w:numPr>
          <w:ilvl w:val="0"/>
          <w:numId w:val="0"/>
        </w:numPr>
        <w:jc w:val="center"/>
        <w:rPr>
          <w:rFonts w:hint="eastAsia" w:ascii="仿宋" w:hAnsi="仿宋" w:eastAsia="仿宋" w:cs="仿宋"/>
          <w:snapToGrid w:val="0"/>
          <w:sz w:val="44"/>
          <w:szCs w:val="44"/>
        </w:rPr>
      </w:pPr>
      <w:bookmarkStart w:id="28" w:name="_Toc15305"/>
      <w:r>
        <w:rPr>
          <w:rFonts w:hint="eastAsia" w:ascii="仿宋" w:hAnsi="仿宋" w:eastAsia="仿宋" w:cs="仿宋"/>
          <w:snapToGrid w:val="0"/>
          <w:sz w:val="44"/>
          <w:szCs w:val="44"/>
        </w:rPr>
        <w:t>第</w:t>
      </w:r>
      <w:r>
        <w:rPr>
          <w:rFonts w:hint="eastAsia" w:ascii="仿宋" w:hAnsi="仿宋" w:eastAsia="仿宋" w:cs="仿宋"/>
          <w:snapToGrid w:val="0"/>
          <w:sz w:val="44"/>
          <w:szCs w:val="44"/>
          <w:lang w:eastAsia="zh-CN"/>
        </w:rPr>
        <w:t>五</w:t>
      </w:r>
      <w:r>
        <w:rPr>
          <w:rFonts w:hint="eastAsia" w:ascii="仿宋" w:hAnsi="仿宋" w:eastAsia="仿宋" w:cs="仿宋"/>
          <w:snapToGrid w:val="0"/>
          <w:sz w:val="44"/>
          <w:szCs w:val="44"/>
        </w:rPr>
        <w:t>部分    报价文件格式</w:t>
      </w:r>
      <w:bookmarkEnd w:id="13"/>
      <w:bookmarkEnd w:id="28"/>
    </w:p>
    <w:p w14:paraId="412D71F2">
      <w:pPr>
        <w:jc w:val="left"/>
        <w:outlineLvl w:val="0"/>
        <w:rPr>
          <w:rStyle w:val="21"/>
          <w:rFonts w:hint="eastAsia" w:ascii="仿宋" w:hAnsi="仿宋" w:eastAsia="仿宋" w:cs="仿宋"/>
          <w:sz w:val="30"/>
        </w:rPr>
      </w:pPr>
    </w:p>
    <w:p w14:paraId="5E2D734D">
      <w:pPr>
        <w:spacing w:line="480" w:lineRule="auto"/>
        <w:jc w:val="right"/>
        <w:rPr>
          <w:rFonts w:hint="eastAsia" w:ascii="仿宋" w:hAnsi="仿宋" w:eastAsia="仿宋" w:cs="仿宋"/>
          <w:sz w:val="32"/>
        </w:rPr>
      </w:pPr>
    </w:p>
    <w:p w14:paraId="43F07FC2">
      <w:pPr>
        <w:rPr>
          <w:rFonts w:hint="eastAsia" w:ascii="仿宋" w:hAnsi="仿宋" w:eastAsia="仿宋" w:cs="仿宋"/>
          <w:sz w:val="44"/>
          <w:highlight w:val="none"/>
        </w:rPr>
      </w:pPr>
    </w:p>
    <w:p w14:paraId="55DDC77E">
      <w:pPr>
        <w:spacing w:line="360" w:lineRule="auto"/>
        <w:jc w:val="center"/>
        <w:rPr>
          <w:rFonts w:hint="eastAsia" w:ascii="仿宋" w:hAnsi="仿宋" w:eastAsia="仿宋" w:cs="仿宋"/>
          <w:sz w:val="52"/>
          <w:highlight w:val="none"/>
        </w:rPr>
      </w:pPr>
      <w:r>
        <w:rPr>
          <w:rFonts w:hint="eastAsia" w:ascii="仿宋_GB2312" w:hAnsi="宋体" w:eastAsia="仿宋_GB2312"/>
          <w:b w:val="0"/>
          <w:bCs/>
          <w:sz w:val="52"/>
          <w:szCs w:val="52"/>
          <w:highlight w:val="none"/>
          <w:lang w:val="en-US" w:eastAsia="zh-CN"/>
        </w:rPr>
        <w:t>食堂更换电磁双头大炒灶、电磁小炒炉、电磁低汤炉项目</w:t>
      </w:r>
    </w:p>
    <w:p w14:paraId="46880012">
      <w:pPr>
        <w:spacing w:line="360" w:lineRule="auto"/>
        <w:jc w:val="center"/>
        <w:rPr>
          <w:rFonts w:hint="default" w:ascii="仿宋" w:hAnsi="仿宋" w:eastAsia="仿宋" w:cs="仿宋"/>
          <w:sz w:val="36"/>
          <w:lang w:val="en-US" w:eastAsia="zh-CN"/>
        </w:rPr>
      </w:pPr>
      <w:r>
        <w:rPr>
          <w:rFonts w:hint="eastAsia" w:ascii="仿宋" w:hAnsi="仿宋" w:eastAsia="仿宋" w:cs="仿宋"/>
          <w:sz w:val="36"/>
        </w:rPr>
        <w:t>采购编号：</w:t>
      </w:r>
      <w:r>
        <w:rPr>
          <w:rFonts w:hint="eastAsia" w:ascii="仿宋" w:hAnsi="仿宋" w:eastAsia="仿宋" w:cs="仿宋"/>
          <w:sz w:val="36"/>
          <w:lang w:val="en-US" w:eastAsia="zh-CN"/>
        </w:rPr>
        <w:t>SX-ZH-ST-2609017</w:t>
      </w:r>
    </w:p>
    <w:p w14:paraId="22E0BDC5">
      <w:pPr>
        <w:rPr>
          <w:rFonts w:hint="eastAsia" w:ascii="仿宋" w:hAnsi="仿宋" w:eastAsia="仿宋" w:cs="仿宋"/>
          <w:sz w:val="44"/>
        </w:rPr>
      </w:pPr>
    </w:p>
    <w:p w14:paraId="3BC466AB">
      <w:pPr>
        <w:rPr>
          <w:rFonts w:hint="eastAsia" w:ascii="仿宋" w:hAnsi="仿宋" w:eastAsia="仿宋" w:cs="仿宋"/>
          <w:sz w:val="44"/>
        </w:rPr>
      </w:pPr>
    </w:p>
    <w:p w14:paraId="71BC879E">
      <w:pPr>
        <w:rPr>
          <w:rFonts w:hint="eastAsia" w:ascii="仿宋" w:hAnsi="仿宋" w:eastAsia="仿宋" w:cs="仿宋"/>
          <w:sz w:val="84"/>
        </w:rPr>
      </w:pPr>
    </w:p>
    <w:p w14:paraId="47B34A86">
      <w:pPr>
        <w:jc w:val="center"/>
        <w:rPr>
          <w:rFonts w:hint="eastAsia" w:ascii="仿宋" w:hAnsi="仿宋" w:eastAsia="仿宋" w:cs="仿宋"/>
          <w:sz w:val="84"/>
        </w:rPr>
      </w:pPr>
      <w:r>
        <w:rPr>
          <w:rFonts w:hint="eastAsia" w:ascii="仿宋" w:hAnsi="仿宋" w:eastAsia="仿宋" w:cs="仿宋"/>
          <w:sz w:val="84"/>
        </w:rPr>
        <w:t>报价文件</w:t>
      </w:r>
    </w:p>
    <w:p w14:paraId="5A6860E6">
      <w:pPr>
        <w:jc w:val="center"/>
        <w:rPr>
          <w:rFonts w:hint="eastAsia" w:ascii="仿宋" w:hAnsi="仿宋" w:eastAsia="仿宋" w:cs="仿宋"/>
          <w:sz w:val="24"/>
        </w:rPr>
      </w:pPr>
    </w:p>
    <w:p w14:paraId="77679791">
      <w:pPr>
        <w:jc w:val="center"/>
        <w:rPr>
          <w:rFonts w:hint="eastAsia" w:ascii="仿宋" w:hAnsi="仿宋" w:eastAsia="仿宋" w:cs="仿宋"/>
          <w:sz w:val="24"/>
        </w:rPr>
      </w:pPr>
    </w:p>
    <w:p w14:paraId="7FDFC42B">
      <w:pPr>
        <w:spacing w:line="480" w:lineRule="auto"/>
        <w:jc w:val="center"/>
        <w:rPr>
          <w:rFonts w:hint="eastAsia" w:ascii="仿宋" w:hAnsi="仿宋" w:eastAsia="仿宋" w:cs="仿宋"/>
          <w:sz w:val="24"/>
        </w:rPr>
      </w:pPr>
    </w:p>
    <w:p w14:paraId="43B983ED">
      <w:pPr>
        <w:spacing w:line="480" w:lineRule="auto"/>
        <w:jc w:val="center"/>
        <w:rPr>
          <w:rFonts w:hint="eastAsia" w:ascii="仿宋" w:hAnsi="仿宋" w:eastAsia="仿宋" w:cs="仿宋"/>
          <w:sz w:val="24"/>
        </w:rPr>
      </w:pPr>
    </w:p>
    <w:p w14:paraId="5F0EC008">
      <w:pPr>
        <w:spacing w:line="480" w:lineRule="auto"/>
        <w:jc w:val="center"/>
        <w:rPr>
          <w:rFonts w:hint="default" w:ascii="仿宋" w:hAnsi="仿宋" w:eastAsia="仿宋" w:cs="仿宋"/>
          <w:sz w:val="36"/>
          <w:lang w:val="en-US" w:eastAsia="zh-CN"/>
        </w:rPr>
      </w:pPr>
      <w:r>
        <w:rPr>
          <w:rFonts w:hint="eastAsia" w:ascii="仿宋" w:hAnsi="仿宋" w:eastAsia="仿宋" w:cs="仿宋"/>
          <w:sz w:val="36"/>
        </w:rPr>
        <w:t>报价单位全称</w:t>
      </w:r>
      <w:r>
        <w:rPr>
          <w:rFonts w:hint="eastAsia" w:ascii="仿宋" w:hAnsi="仿宋" w:eastAsia="仿宋" w:cs="仿宋"/>
          <w:sz w:val="36"/>
          <w:lang w:eastAsia="zh-CN"/>
        </w:rPr>
        <w:t>：</w:t>
      </w:r>
      <w:r>
        <w:rPr>
          <w:rFonts w:hint="eastAsia" w:ascii="仿宋" w:hAnsi="仿宋" w:eastAsia="仿宋" w:cs="仿宋"/>
          <w:sz w:val="36"/>
          <w:lang w:val="en-US" w:eastAsia="zh-CN"/>
        </w:rPr>
        <w:t>**</w:t>
      </w:r>
    </w:p>
    <w:p w14:paraId="4F86F4E7">
      <w:pPr>
        <w:spacing w:line="480" w:lineRule="auto"/>
        <w:ind w:firstLine="3240" w:firstLineChars="900"/>
        <w:rPr>
          <w:rFonts w:hint="eastAsia" w:ascii="仿宋" w:hAnsi="仿宋" w:eastAsia="仿宋" w:cs="仿宋"/>
          <w:sz w:val="36"/>
        </w:rPr>
      </w:pPr>
      <w:r>
        <w:rPr>
          <w:rFonts w:hint="default" w:ascii="仿宋" w:hAnsi="仿宋" w:eastAsia="仿宋" w:cs="仿宋"/>
          <w:sz w:val="36"/>
          <w:lang w:val="en-US"/>
        </w:rPr>
        <w:t>202</w:t>
      </w:r>
      <w:r>
        <w:rPr>
          <w:rFonts w:hint="eastAsia" w:ascii="仿宋" w:hAnsi="仿宋" w:eastAsia="仿宋" w:cs="仿宋"/>
          <w:sz w:val="36"/>
          <w:lang w:val="en-US" w:eastAsia="zh-CN"/>
        </w:rPr>
        <w:t>6</w:t>
      </w:r>
      <w:r>
        <w:rPr>
          <w:rFonts w:hint="default" w:ascii="仿宋" w:hAnsi="仿宋" w:eastAsia="仿宋" w:cs="仿宋"/>
          <w:sz w:val="36"/>
          <w:lang w:val="en-US"/>
        </w:rPr>
        <w:t>年</w:t>
      </w:r>
      <w:r>
        <w:rPr>
          <w:rFonts w:hint="eastAsia" w:ascii="仿宋" w:hAnsi="仿宋" w:eastAsia="仿宋" w:cs="仿宋"/>
          <w:sz w:val="36"/>
          <w:lang w:val="en-US" w:eastAsia="zh-CN"/>
        </w:rPr>
        <w:t xml:space="preserve">   </w:t>
      </w:r>
      <w:r>
        <w:rPr>
          <w:rFonts w:hint="eastAsia" w:ascii="仿宋" w:hAnsi="仿宋" w:eastAsia="仿宋" w:cs="仿宋"/>
          <w:sz w:val="36"/>
        </w:rPr>
        <w:t>月</w:t>
      </w:r>
      <w:r>
        <w:rPr>
          <w:rFonts w:hint="eastAsia" w:ascii="仿宋" w:hAnsi="仿宋" w:eastAsia="仿宋" w:cs="仿宋"/>
          <w:sz w:val="36"/>
          <w:lang w:val="en-US" w:eastAsia="zh-CN"/>
        </w:rPr>
        <w:t xml:space="preserve">  </w:t>
      </w:r>
      <w:r>
        <w:rPr>
          <w:rFonts w:hint="eastAsia" w:ascii="仿宋" w:hAnsi="仿宋" w:eastAsia="仿宋" w:cs="仿宋"/>
          <w:sz w:val="36"/>
        </w:rPr>
        <w:t>日</w:t>
      </w:r>
    </w:p>
    <w:p w14:paraId="47FAE966">
      <w:pPr>
        <w:adjustRightInd w:val="0"/>
        <w:snapToGrid w:val="0"/>
        <w:spacing w:line="360" w:lineRule="auto"/>
        <w:ind w:right="480"/>
        <w:jc w:val="left"/>
        <w:rPr>
          <w:rFonts w:hint="eastAsia" w:ascii="仿宋" w:hAnsi="仿宋" w:eastAsia="仿宋" w:cs="仿宋"/>
          <w:sz w:val="30"/>
        </w:rPr>
      </w:pPr>
      <w:r>
        <w:rPr>
          <w:rStyle w:val="21"/>
          <w:rFonts w:hint="eastAsia" w:ascii="仿宋" w:hAnsi="仿宋" w:eastAsia="仿宋" w:cs="仿宋"/>
          <w:sz w:val="30"/>
        </w:rPr>
        <w:br w:type="page"/>
      </w:r>
    </w:p>
    <w:p w14:paraId="7A379737">
      <w:pPr>
        <w:jc w:val="left"/>
        <w:outlineLvl w:val="0"/>
        <w:rPr>
          <w:rStyle w:val="21"/>
          <w:rFonts w:hint="eastAsia" w:ascii="仿宋" w:hAnsi="仿宋" w:eastAsia="仿宋" w:cs="仿宋"/>
          <w:sz w:val="30"/>
        </w:rPr>
        <w:sectPr>
          <w:footerReference r:id="rId3" w:type="default"/>
          <w:pgSz w:w="11906" w:h="16838"/>
          <w:pgMar w:top="1701" w:right="1417" w:bottom="1134" w:left="1417" w:header="851" w:footer="992" w:gutter="0"/>
          <w:cols w:space="0" w:num="1"/>
          <w:rtlGutter w:val="0"/>
          <w:docGrid w:linePitch="312" w:charSpace="0"/>
        </w:sectPr>
      </w:pPr>
    </w:p>
    <w:p w14:paraId="23E69E62">
      <w:pPr>
        <w:jc w:val="left"/>
        <w:outlineLvl w:val="0"/>
        <w:rPr>
          <w:rStyle w:val="21"/>
          <w:rFonts w:hint="eastAsia" w:ascii="仿宋" w:hAnsi="仿宋" w:eastAsia="仿宋" w:cs="仿宋"/>
          <w:sz w:val="30"/>
        </w:rPr>
      </w:pPr>
      <w:bookmarkStart w:id="29" w:name="_Toc14320"/>
      <w:r>
        <w:rPr>
          <w:rStyle w:val="21"/>
          <w:rFonts w:hint="eastAsia" w:ascii="仿宋" w:hAnsi="仿宋" w:eastAsia="仿宋" w:cs="仿宋"/>
          <w:sz w:val="30"/>
        </w:rPr>
        <w:t>附件一：</w:t>
      </w:r>
      <w:bookmarkEnd w:id="29"/>
    </w:p>
    <w:p w14:paraId="7B642CA0">
      <w:pPr>
        <w:jc w:val="left"/>
        <w:outlineLvl w:val="0"/>
        <w:rPr>
          <w:rStyle w:val="21"/>
          <w:rFonts w:hint="eastAsia" w:ascii="仿宋" w:hAnsi="仿宋" w:eastAsia="仿宋" w:cs="仿宋"/>
          <w:sz w:val="30"/>
        </w:rPr>
      </w:pPr>
    </w:p>
    <w:p w14:paraId="651C434B">
      <w:pPr>
        <w:spacing w:line="360" w:lineRule="auto"/>
        <w:jc w:val="center"/>
        <w:rPr>
          <w:rFonts w:hint="eastAsia" w:ascii="仿宋" w:hAnsi="仿宋" w:eastAsia="仿宋" w:cs="仿宋"/>
          <w:b/>
          <w:sz w:val="44"/>
        </w:rPr>
      </w:pPr>
      <w:r>
        <w:rPr>
          <w:rFonts w:hint="eastAsia" w:ascii="仿宋" w:hAnsi="仿宋" w:eastAsia="仿宋" w:cs="仿宋"/>
          <w:b/>
          <w:sz w:val="44"/>
          <w:lang w:val="en-US" w:eastAsia="zh-CN"/>
        </w:rPr>
        <w:t>报 价 资 格</w:t>
      </w:r>
      <w:r>
        <w:rPr>
          <w:rFonts w:hint="eastAsia" w:ascii="仿宋" w:hAnsi="仿宋" w:eastAsia="仿宋" w:cs="仿宋"/>
          <w:b/>
          <w:sz w:val="44"/>
        </w:rPr>
        <w:t xml:space="preserve"> 一 览 表</w:t>
      </w:r>
    </w:p>
    <w:p w14:paraId="5A6FD88B">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0CDC75A8">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绍兴市再生能源发展有限公司食堂更换电磁双头大炒灶、电磁小炒炉、电磁低汤炉 </w:t>
      </w:r>
      <w:r>
        <w:rPr>
          <w:rFonts w:hint="eastAsia" w:ascii="仿宋" w:hAnsi="仿宋" w:eastAsia="仿宋" w:cs="仿宋"/>
          <w:sz w:val="30"/>
          <w:szCs w:val="30"/>
          <w:u w:val="none"/>
          <w:lang w:val="en-US" w:eastAsia="zh-CN"/>
        </w:rPr>
        <w:t>项目。</w:t>
      </w:r>
    </w:p>
    <w:tbl>
      <w:tblPr>
        <w:tblStyle w:val="13"/>
        <w:tblW w:w="10326" w:type="dxa"/>
        <w:jc w:val="center"/>
        <w:tblLayout w:type="fixed"/>
        <w:tblCellMar>
          <w:top w:w="0" w:type="dxa"/>
          <w:left w:w="108" w:type="dxa"/>
          <w:bottom w:w="0" w:type="dxa"/>
          <w:right w:w="108" w:type="dxa"/>
        </w:tblCellMar>
      </w:tblPr>
      <w:tblGrid>
        <w:gridCol w:w="578"/>
        <w:gridCol w:w="1327"/>
        <w:gridCol w:w="4740"/>
        <w:gridCol w:w="1922"/>
        <w:gridCol w:w="1759"/>
      </w:tblGrid>
      <w:tr w14:paraId="47F5FD2C">
        <w:tblPrEx>
          <w:tblCellMar>
            <w:top w:w="0" w:type="dxa"/>
            <w:left w:w="108" w:type="dxa"/>
            <w:bottom w:w="0" w:type="dxa"/>
            <w:right w:w="108" w:type="dxa"/>
          </w:tblCellMar>
        </w:tblPrEx>
        <w:trPr>
          <w:trHeight w:val="1177"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172C2BF4">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序号</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B70D0AF">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评审项目</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7474ABFC">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资格要求详情</w:t>
            </w:r>
          </w:p>
        </w:tc>
        <w:tc>
          <w:tcPr>
            <w:tcW w:w="1922" w:type="dxa"/>
            <w:tcBorders>
              <w:top w:val="single" w:color="auto" w:sz="6" w:space="0"/>
              <w:left w:val="single" w:color="auto" w:sz="6" w:space="0"/>
              <w:bottom w:val="single" w:color="auto" w:sz="6" w:space="0"/>
              <w:right w:val="single" w:color="auto" w:sz="6" w:space="0"/>
            </w:tcBorders>
            <w:noWrap w:val="0"/>
            <w:vAlign w:val="center"/>
          </w:tcPr>
          <w:p w14:paraId="71F1A212">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投标人响应情况</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(请填写：满足/不满足)</w:t>
            </w:r>
          </w:p>
        </w:tc>
        <w:tc>
          <w:tcPr>
            <w:tcW w:w="1759" w:type="dxa"/>
            <w:tcBorders>
              <w:top w:val="single" w:color="auto" w:sz="6" w:space="0"/>
              <w:left w:val="single" w:color="auto" w:sz="6" w:space="0"/>
              <w:bottom w:val="single" w:color="auto" w:sz="6" w:space="0"/>
              <w:right w:val="single" w:color="auto" w:sz="6" w:space="0"/>
            </w:tcBorders>
            <w:noWrap w:val="0"/>
            <w:vAlign w:val="center"/>
          </w:tcPr>
          <w:p w14:paraId="4969EE37">
            <w:pPr>
              <w:keepNext w:val="0"/>
              <w:keepLines w:val="0"/>
              <w:widowControl/>
              <w:suppressLineNumbers w:val="0"/>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kern w:val="0"/>
                <w:sz w:val="24"/>
                <w:szCs w:val="24"/>
                <w:lang w:val="en-US" w:eastAsia="zh-CN" w:bidi="ar"/>
              </w:rPr>
              <w:t>证明材料索引</w:t>
            </w:r>
            <w:r>
              <w:rPr>
                <w:rFonts w:hint="eastAsia" w:ascii="仿宋" w:hAnsi="仿宋" w:eastAsia="仿宋" w:cs="仿宋"/>
                <w:b w:val="0"/>
                <w:bCs w:val="0"/>
                <w:kern w:val="0"/>
                <w:sz w:val="24"/>
                <w:szCs w:val="24"/>
                <w:lang w:val="en-US" w:eastAsia="zh-CN" w:bidi="ar"/>
              </w:rPr>
              <w:br w:type="textWrapping"/>
            </w:r>
            <w:r>
              <w:rPr>
                <w:rFonts w:hint="eastAsia" w:ascii="仿宋" w:hAnsi="仿宋" w:eastAsia="仿宋" w:cs="仿宋"/>
                <w:b w:val="0"/>
                <w:bCs w:val="0"/>
                <w:kern w:val="0"/>
                <w:sz w:val="24"/>
                <w:szCs w:val="24"/>
                <w:lang w:val="en-US" w:eastAsia="zh-CN" w:bidi="ar"/>
              </w:rPr>
              <w:t>(请填写证明文件所在的页码)</w:t>
            </w:r>
          </w:p>
        </w:tc>
      </w:tr>
      <w:tr w14:paraId="0E9667DD">
        <w:tblPrEx>
          <w:tblCellMar>
            <w:top w:w="0" w:type="dxa"/>
            <w:left w:w="108" w:type="dxa"/>
            <w:bottom w:w="0" w:type="dxa"/>
            <w:right w:w="108" w:type="dxa"/>
          </w:tblCellMar>
        </w:tblPrEx>
        <w:trPr>
          <w:trHeight w:val="659" w:hRule="atLeast"/>
          <w:jc w:val="center"/>
        </w:trPr>
        <w:tc>
          <w:tcPr>
            <w:tcW w:w="10326" w:type="dxa"/>
            <w:gridSpan w:val="5"/>
            <w:tcBorders>
              <w:top w:val="single" w:color="auto" w:sz="6" w:space="0"/>
              <w:left w:val="single" w:color="auto" w:sz="6" w:space="0"/>
              <w:bottom w:val="single" w:color="auto" w:sz="6" w:space="0"/>
              <w:right w:val="single" w:color="auto" w:sz="6" w:space="0"/>
            </w:tcBorders>
            <w:noWrap w:val="0"/>
            <w:vAlign w:val="center"/>
          </w:tcPr>
          <w:p w14:paraId="55B9DD8F">
            <w:pPr>
              <w:autoSpaceDE w:val="0"/>
              <w:autoSpaceDN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b w:val="0"/>
                <w:bCs w:val="0"/>
                <w:i w:val="0"/>
                <w:iCs w:val="0"/>
                <w:color w:val="auto"/>
                <w:sz w:val="24"/>
                <w:szCs w:val="24"/>
                <w:highlight w:val="none"/>
              </w:rPr>
              <w:t>一、电磁双头大炒灶</w:t>
            </w:r>
          </w:p>
        </w:tc>
      </w:tr>
      <w:tr w14:paraId="3048EC2A">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4C7663F1">
            <w:pPr>
              <w:keepNext w:val="0"/>
              <w:keepLines w:val="0"/>
              <w:widowControl/>
              <w:suppressLineNumbers w:val="0"/>
              <w:jc w:val="center"/>
              <w:textAlignment w:val="center"/>
              <w:rPr>
                <w:rFonts w:hint="eastAsia" w:ascii="仿宋" w:hAnsi="仿宋" w:eastAsia="仿宋" w:cs="仿宋"/>
                <w:b w:val="0"/>
                <w:bCs w:val="0"/>
                <w:i w:val="0"/>
                <w:iCs w:val="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B4D4E8B">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bCs/>
                <w:i w:val="0"/>
                <w:iCs w:val="0"/>
                <w:color w:val="000000"/>
                <w:kern w:val="0"/>
                <w:sz w:val="24"/>
                <w:szCs w:val="24"/>
                <w:u w:val="none"/>
                <w:lang w:val="en-US" w:eastAsia="zh-CN" w:bidi="ar"/>
              </w:rPr>
              <w:t>★1</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453F2AC0">
            <w:pPr>
              <w:keepNext w:val="0"/>
              <w:keepLines w:val="0"/>
              <w:widowControl/>
              <w:suppressLineNumbers w:val="0"/>
              <w:jc w:val="left"/>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i w:val="0"/>
                <w:iCs w:val="0"/>
                <w:color w:val="000000"/>
                <w:kern w:val="0"/>
                <w:sz w:val="24"/>
                <w:szCs w:val="24"/>
                <w:u w:val="none"/>
                <w:lang w:val="en-US" w:eastAsia="zh-CN" w:bidi="ar"/>
              </w:rPr>
              <w:t>所投产品依据GB 40876-2021《商用电磁灶能效限定值及能效等级》标准要求进行热效率检测，热效率实测值≥94%，产品能效等级为1级。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（评审依据：须提供具有相应检测资质的检测机构出具的带有CMA标识的报告扫描件加盖制造商公章佐证）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77BCB0BC">
            <w:pPr>
              <w:autoSpaceDE w:val="0"/>
              <w:autoSpaceDN w:val="0"/>
              <w:spacing w:line="360" w:lineRule="auto"/>
              <w:jc w:val="center"/>
              <w:rPr>
                <w:rFonts w:hint="eastAsia" w:ascii="仿宋" w:hAnsi="仿宋" w:eastAsia="仿宋" w:cs="仿宋"/>
                <w:color w:val="auto"/>
                <w:sz w:val="24"/>
                <w:szCs w:val="24"/>
                <w:highlight w:val="none"/>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37CD6A12">
            <w:pPr>
              <w:autoSpaceDE w:val="0"/>
              <w:autoSpaceDN w:val="0"/>
              <w:spacing w:line="360" w:lineRule="auto"/>
              <w:jc w:val="center"/>
              <w:rPr>
                <w:rFonts w:hint="eastAsia" w:ascii="仿宋" w:hAnsi="仿宋" w:eastAsia="仿宋" w:cs="仿宋"/>
                <w:color w:val="auto"/>
                <w:sz w:val="24"/>
                <w:szCs w:val="24"/>
                <w:highlight w:val="none"/>
              </w:rPr>
            </w:pPr>
          </w:p>
        </w:tc>
      </w:tr>
      <w:tr w14:paraId="787C808C">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77BDD6DA">
            <w:pPr>
              <w:keepNext w:val="0"/>
              <w:keepLines w:val="0"/>
              <w:widowControl/>
              <w:suppressLineNumbers w:val="0"/>
              <w:jc w:val="center"/>
              <w:textAlignment w:val="center"/>
              <w:rPr>
                <w:rFonts w:hint="eastAsia" w:ascii="仿宋" w:hAnsi="仿宋" w:eastAsia="仿宋" w:cs="仿宋"/>
                <w:b w:val="0"/>
                <w:bCs w:val="0"/>
                <w:i w:val="0"/>
                <w:iCs w:val="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93943F4">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bCs/>
                <w:i w:val="0"/>
                <w:iCs w:val="0"/>
                <w:color w:val="000000"/>
                <w:kern w:val="0"/>
                <w:sz w:val="24"/>
                <w:szCs w:val="24"/>
                <w:u w:val="none"/>
                <w:lang w:val="en-US" w:eastAsia="zh-CN" w:bidi="ar"/>
              </w:rPr>
              <w:t>★2</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0AD5BB17">
            <w:pPr>
              <w:keepNext w:val="0"/>
              <w:keepLines w:val="0"/>
              <w:widowControl/>
              <w:suppressLineNumbers w:val="0"/>
              <w:jc w:val="left"/>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i w:val="0"/>
                <w:iCs w:val="0"/>
                <w:color w:val="000000"/>
                <w:kern w:val="0"/>
                <w:sz w:val="24"/>
                <w:szCs w:val="24"/>
                <w:u w:val="none"/>
                <w:lang w:val="en-US" w:eastAsia="zh-CN" w:bidi="ar"/>
              </w:rPr>
              <w:t>所投产品依据GB 4806.9-2023产品标准和技术要求进行试验，具备食品接触产品安全认证证书；产品依据GB/T 10125-2021、GB/T6461-2002产品标准和技术要求进行试验，具备防腐蚀等级10级认证证书。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（评审依据：须提供具有相应资质机构颁发的有效证书扫描件和全国认证认可信息公共服务平台证书查询截图并加盖制造商公章佐证）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779D48F0">
            <w:pPr>
              <w:autoSpaceDE w:val="0"/>
              <w:autoSpaceDN w:val="0"/>
              <w:spacing w:line="360" w:lineRule="auto"/>
              <w:jc w:val="center"/>
              <w:rPr>
                <w:rFonts w:hint="eastAsia" w:ascii="仿宋" w:hAnsi="仿宋" w:eastAsia="仿宋" w:cs="仿宋"/>
                <w:color w:val="auto"/>
                <w:sz w:val="24"/>
                <w:szCs w:val="24"/>
                <w:highlight w:val="none"/>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57C64F78">
            <w:pPr>
              <w:autoSpaceDE w:val="0"/>
              <w:autoSpaceDN w:val="0"/>
              <w:spacing w:line="360" w:lineRule="auto"/>
              <w:jc w:val="center"/>
              <w:rPr>
                <w:rFonts w:hint="eastAsia" w:ascii="仿宋" w:hAnsi="仿宋" w:eastAsia="仿宋" w:cs="仿宋"/>
                <w:color w:val="auto"/>
                <w:sz w:val="24"/>
                <w:szCs w:val="24"/>
                <w:highlight w:val="none"/>
              </w:rPr>
            </w:pPr>
          </w:p>
        </w:tc>
      </w:tr>
      <w:tr w14:paraId="263E9F17">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37BC9F6D">
            <w:pPr>
              <w:keepNext w:val="0"/>
              <w:keepLines w:val="0"/>
              <w:widowControl/>
              <w:suppressLineNumbers w:val="0"/>
              <w:jc w:val="center"/>
              <w:textAlignment w:val="center"/>
              <w:rPr>
                <w:rFonts w:hint="eastAsia" w:ascii="仿宋" w:hAnsi="仿宋" w:eastAsia="仿宋" w:cs="仿宋"/>
                <w:b w:val="0"/>
                <w:bCs w:val="0"/>
                <w:i w:val="0"/>
                <w:iCs w:val="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FD69E57">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bCs/>
                <w:i w:val="0"/>
                <w:iCs w:val="0"/>
                <w:color w:val="000000"/>
                <w:kern w:val="0"/>
                <w:sz w:val="24"/>
                <w:szCs w:val="24"/>
                <w:u w:val="none"/>
                <w:lang w:val="en-US" w:eastAsia="zh-CN" w:bidi="ar"/>
              </w:rPr>
              <w:t>★3</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0D5E1C0E">
            <w:pPr>
              <w:keepNext w:val="0"/>
              <w:keepLines w:val="0"/>
              <w:widowControl/>
              <w:suppressLineNumbers w:val="0"/>
              <w:jc w:val="left"/>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i w:val="0"/>
                <w:iCs w:val="0"/>
                <w:color w:val="000000"/>
                <w:kern w:val="0"/>
                <w:sz w:val="24"/>
                <w:szCs w:val="24"/>
                <w:u w:val="none"/>
                <w:lang w:val="en-US" w:eastAsia="zh-CN" w:bidi="ar"/>
              </w:rPr>
              <w:t>所投产品依据QB/T4499-2023《商用电磁灶》标准进行试验且试验结果均符合要求：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①连续工作时间≥14h后，电磁灶能正常工作。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②产品高低压试验后，在标准测试状态下，电磁灶应能正常工作，其功率偏差不应超过额定功率的±5%。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③平灶锅具的偏置不应影响其性能，不应出现故障。试验后，在标准测试状态下,其功率偏差不应超过额定功率的±10%。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④自动待机性能：在标准测试状态下进行试验，电磁灶从工作状态转换成待机状态的时间应&lt;2min。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⑤待机功率：电磁灶的待机功率应＜10W。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⑥输入功率的偏差不应超过额定输入功率的±10%。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⑦经湿热试验后，电磁灶应能正常工作，其功率偏差不应超过额定功率的±10%。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⑧经高温试验后，电磁灶应能正常工作，其试验后样机能正常工作。功率偏差不应超过额定功率的±5%。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⑨电磁辐射所有测量点的W值不应超过20%。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（评审依据：须提供具有相应检测资质的检测机构出具的带有CMA标识的报告扫描件加盖制造商公章佐证）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177F51DD">
            <w:pPr>
              <w:autoSpaceDE w:val="0"/>
              <w:autoSpaceDN w:val="0"/>
              <w:spacing w:line="360" w:lineRule="auto"/>
              <w:jc w:val="center"/>
              <w:rPr>
                <w:rFonts w:hint="eastAsia" w:ascii="仿宋" w:hAnsi="仿宋" w:eastAsia="仿宋" w:cs="仿宋"/>
                <w:color w:val="auto"/>
                <w:sz w:val="24"/>
                <w:szCs w:val="24"/>
                <w:highlight w:val="none"/>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2BF47D23">
            <w:pPr>
              <w:autoSpaceDE w:val="0"/>
              <w:autoSpaceDN w:val="0"/>
              <w:spacing w:line="360" w:lineRule="auto"/>
              <w:jc w:val="center"/>
              <w:rPr>
                <w:rFonts w:hint="eastAsia" w:ascii="仿宋" w:hAnsi="仿宋" w:eastAsia="仿宋" w:cs="仿宋"/>
                <w:color w:val="auto"/>
                <w:sz w:val="24"/>
                <w:szCs w:val="24"/>
                <w:highlight w:val="none"/>
              </w:rPr>
            </w:pPr>
          </w:p>
        </w:tc>
      </w:tr>
      <w:tr w14:paraId="4BB00B0D">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3F22456A">
            <w:pPr>
              <w:keepNext w:val="0"/>
              <w:keepLines w:val="0"/>
              <w:widowControl/>
              <w:suppressLineNumbers w:val="0"/>
              <w:jc w:val="center"/>
              <w:textAlignment w:val="center"/>
              <w:rPr>
                <w:rFonts w:hint="eastAsia" w:ascii="仿宋" w:hAnsi="仿宋" w:eastAsia="仿宋" w:cs="仿宋"/>
                <w:b w:val="0"/>
                <w:bCs w:val="0"/>
                <w:i w:val="0"/>
                <w:iCs w:val="0"/>
                <w:kern w:val="0"/>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07D2D25">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b/>
                <w:bCs/>
                <w:i w:val="0"/>
                <w:iCs w:val="0"/>
                <w:color w:val="000000"/>
                <w:kern w:val="0"/>
                <w:sz w:val="24"/>
                <w:szCs w:val="24"/>
                <w:u w:val="none"/>
                <w:lang w:val="en-US" w:eastAsia="zh-CN" w:bidi="ar"/>
              </w:rPr>
              <w:t>★4</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469BB820">
            <w:pPr>
              <w:keepNext w:val="0"/>
              <w:keepLines w:val="0"/>
              <w:widowControl/>
              <w:suppressLineNumbers w:val="0"/>
              <w:jc w:val="left"/>
              <w:textAlignment w:val="center"/>
              <w:rPr>
                <w:rFonts w:hint="eastAsia" w:ascii="仿宋" w:hAnsi="仿宋" w:eastAsia="仿宋" w:cs="仿宋"/>
                <w:b w:val="0"/>
                <w:bCs w:val="0"/>
                <w:i w:val="0"/>
                <w:iCs w:val="0"/>
                <w:color w:val="auto"/>
                <w:sz w:val="24"/>
                <w:szCs w:val="24"/>
                <w:highlight w:val="none"/>
              </w:rPr>
            </w:pPr>
            <w:r>
              <w:rPr>
                <w:rFonts w:hint="eastAsia" w:ascii="仿宋" w:hAnsi="仿宋" w:eastAsia="仿宋" w:cs="仿宋"/>
                <w:i w:val="0"/>
                <w:iCs w:val="0"/>
                <w:color w:val="000000"/>
                <w:kern w:val="0"/>
                <w:sz w:val="24"/>
                <w:szCs w:val="24"/>
                <w:u w:val="none"/>
                <w:lang w:val="en-US" w:eastAsia="zh-CN" w:bidi="ar"/>
              </w:rPr>
              <w:t>所投产品生产企业有电磁灶生产许可，提供生产企业全国工业生产许可证。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6E90644C">
            <w:pPr>
              <w:autoSpaceDE w:val="0"/>
              <w:autoSpaceDN w:val="0"/>
              <w:spacing w:line="360" w:lineRule="auto"/>
              <w:jc w:val="center"/>
              <w:rPr>
                <w:rFonts w:hint="eastAsia" w:ascii="仿宋" w:hAnsi="仿宋" w:eastAsia="仿宋" w:cs="仿宋"/>
                <w:color w:val="auto"/>
                <w:sz w:val="24"/>
                <w:szCs w:val="24"/>
                <w:highlight w:val="none"/>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73442F8D">
            <w:pPr>
              <w:autoSpaceDE w:val="0"/>
              <w:autoSpaceDN w:val="0"/>
              <w:spacing w:line="360" w:lineRule="auto"/>
              <w:jc w:val="center"/>
              <w:rPr>
                <w:rFonts w:hint="eastAsia" w:ascii="仿宋" w:hAnsi="仿宋" w:eastAsia="仿宋" w:cs="仿宋"/>
                <w:color w:val="auto"/>
                <w:sz w:val="24"/>
                <w:szCs w:val="24"/>
                <w:highlight w:val="none"/>
              </w:rPr>
            </w:pPr>
          </w:p>
        </w:tc>
      </w:tr>
      <w:tr w14:paraId="165D0703">
        <w:tblPrEx>
          <w:tblCellMar>
            <w:top w:w="0" w:type="dxa"/>
            <w:left w:w="108" w:type="dxa"/>
            <w:bottom w:w="0" w:type="dxa"/>
            <w:right w:w="108" w:type="dxa"/>
          </w:tblCellMar>
        </w:tblPrEx>
        <w:trPr>
          <w:trHeight w:val="659" w:hRule="atLeast"/>
          <w:jc w:val="center"/>
        </w:trPr>
        <w:tc>
          <w:tcPr>
            <w:tcW w:w="10326" w:type="dxa"/>
            <w:gridSpan w:val="5"/>
            <w:tcBorders>
              <w:top w:val="single" w:color="auto" w:sz="6" w:space="0"/>
              <w:left w:val="single" w:color="auto" w:sz="6" w:space="0"/>
              <w:bottom w:val="single" w:color="auto" w:sz="6" w:space="0"/>
              <w:right w:val="single" w:color="auto" w:sz="6" w:space="0"/>
            </w:tcBorders>
            <w:noWrap w:val="0"/>
            <w:vAlign w:val="center"/>
          </w:tcPr>
          <w:p w14:paraId="57F4EC41">
            <w:pPr>
              <w:tabs>
                <w:tab w:val="left" w:pos="4278"/>
              </w:tabs>
              <w:autoSpaceDE w:val="0"/>
              <w:autoSpaceDN w:val="0"/>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ab/>
            </w:r>
            <w:r>
              <w:rPr>
                <w:rFonts w:hint="eastAsia" w:ascii="仿宋" w:hAnsi="仿宋" w:eastAsia="仿宋" w:cs="仿宋"/>
                <w:color w:val="auto"/>
                <w:sz w:val="24"/>
                <w:szCs w:val="24"/>
                <w:highlight w:val="none"/>
                <w:lang w:eastAsia="zh-CN"/>
              </w:rPr>
              <w:t>二、电磁小炒炉</w:t>
            </w:r>
          </w:p>
        </w:tc>
      </w:tr>
      <w:tr w14:paraId="0ADB601B">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75A3DBEE">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1E77E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01B37FEA">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所投产品依据GB 40876-2021《商用电磁灶能效限定值及能效等级》标准要求进行热效率检测，热效率实测值≥92%，产品能效等级为1级。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（评审依据：须提供具有相应检测资质的检测机构出具的带有CMA标识的报告扫描件加盖制造商公章佐证）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7D06DE7C">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6EBB83B9">
            <w:pPr>
              <w:autoSpaceDE w:val="0"/>
              <w:autoSpaceDN w:val="0"/>
              <w:spacing w:line="360" w:lineRule="auto"/>
              <w:jc w:val="center"/>
              <w:rPr>
                <w:rFonts w:hint="eastAsia" w:ascii="仿宋" w:hAnsi="仿宋" w:eastAsia="仿宋" w:cs="仿宋"/>
                <w:color w:val="auto"/>
                <w:sz w:val="24"/>
                <w:szCs w:val="24"/>
                <w:highlight w:val="none"/>
              </w:rPr>
            </w:pPr>
          </w:p>
        </w:tc>
      </w:tr>
      <w:tr w14:paraId="2D5AA40E">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7460C54E">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9C1DC4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60B6C975">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所投产品依据GB 4806.9-2023产品标准和技术要求进行试验，具备食品接触产品安全认证证书；产品依据GB/T 10125-2021、GB/T6461-2002产品标准和技术要求进行试验，具备防腐蚀等级10级认证证书。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（评审依据：须提供具有相应资质机构颁发的有效证书扫描件和全国认证认可信息公共服务平台证书查询截图并加盖制造商公章佐证）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12FF9019">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3CF8C411">
            <w:pPr>
              <w:autoSpaceDE w:val="0"/>
              <w:autoSpaceDN w:val="0"/>
              <w:spacing w:line="360" w:lineRule="auto"/>
              <w:jc w:val="center"/>
              <w:rPr>
                <w:rFonts w:hint="eastAsia" w:ascii="仿宋" w:hAnsi="仿宋" w:eastAsia="仿宋" w:cs="仿宋"/>
                <w:color w:val="auto"/>
                <w:sz w:val="24"/>
                <w:szCs w:val="24"/>
                <w:highlight w:val="none"/>
              </w:rPr>
            </w:pPr>
          </w:p>
        </w:tc>
      </w:tr>
      <w:tr w14:paraId="1E28FC82">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4ACC6C65">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F5AC1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5211B30C">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所投产品依据QB/T4499-2023《商用电磁灶》标准进行试验且试验结果均符合要求：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①连续工作时间≥14h后，电磁灶能正常工作。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②产品高低压试验后，在标准测试状态下，电磁灶应能正常工作，其功率偏差不应超过额定功率的±10%。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③抛锅过程中的电磁灶平均功率不应低于额定功率的50%。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④自动待机性能：在标准测试状态下进行试验，电磁灶从工作状态转换成待机状态的时间应&lt;2min。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⑤待机功率：电磁灶的待机功率应＜10W。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⑥输入功率的偏差不应超过额定输入功率的±10%。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⑦经湿热试验后，电磁灶应能正常工作，其功率偏差不应超过额定功率的±10%。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⑧经高温试验后，电磁灶应能正常工作，其试验后样机能正常工作。功率偏差不应超过额定功率的±10%。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⑨电磁辐射所有测量点的W值不应超过20%。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（评审依据：须提供具有相应检测资质的检测机构出具的带有CMA标识的报告扫描件加盖制造商公章佐证）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6756A729">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7915B06C">
            <w:pPr>
              <w:autoSpaceDE w:val="0"/>
              <w:autoSpaceDN w:val="0"/>
              <w:spacing w:line="360" w:lineRule="auto"/>
              <w:jc w:val="center"/>
              <w:rPr>
                <w:rFonts w:hint="eastAsia" w:ascii="仿宋" w:hAnsi="仿宋" w:eastAsia="仿宋" w:cs="仿宋"/>
                <w:color w:val="auto"/>
                <w:sz w:val="24"/>
                <w:szCs w:val="24"/>
                <w:highlight w:val="none"/>
              </w:rPr>
            </w:pPr>
          </w:p>
        </w:tc>
      </w:tr>
      <w:tr w14:paraId="390B184C">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2B775E39">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DD3752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4218112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所投产品生产企业有电磁灶生产许可，提供生产企业全国工业生产许可证。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6ED8DD23">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49F44058">
            <w:pPr>
              <w:autoSpaceDE w:val="0"/>
              <w:autoSpaceDN w:val="0"/>
              <w:spacing w:line="360" w:lineRule="auto"/>
              <w:jc w:val="center"/>
              <w:rPr>
                <w:rFonts w:hint="eastAsia" w:ascii="仿宋" w:hAnsi="仿宋" w:eastAsia="仿宋" w:cs="仿宋"/>
                <w:color w:val="auto"/>
                <w:sz w:val="24"/>
                <w:szCs w:val="24"/>
                <w:highlight w:val="none"/>
              </w:rPr>
            </w:pPr>
          </w:p>
        </w:tc>
      </w:tr>
      <w:tr w14:paraId="683ABB4D">
        <w:tblPrEx>
          <w:tblCellMar>
            <w:top w:w="0" w:type="dxa"/>
            <w:left w:w="108" w:type="dxa"/>
            <w:bottom w:w="0" w:type="dxa"/>
            <w:right w:w="108" w:type="dxa"/>
          </w:tblCellMar>
        </w:tblPrEx>
        <w:trPr>
          <w:trHeight w:val="659" w:hRule="atLeast"/>
          <w:jc w:val="center"/>
        </w:trPr>
        <w:tc>
          <w:tcPr>
            <w:tcW w:w="10326" w:type="dxa"/>
            <w:gridSpan w:val="5"/>
            <w:tcBorders>
              <w:top w:val="single" w:color="auto" w:sz="6" w:space="0"/>
              <w:left w:val="single" w:color="auto" w:sz="6" w:space="0"/>
              <w:bottom w:val="single" w:color="auto" w:sz="6" w:space="0"/>
              <w:right w:val="single" w:color="auto" w:sz="6" w:space="0"/>
            </w:tcBorders>
            <w:noWrap w:val="0"/>
            <w:vAlign w:val="center"/>
          </w:tcPr>
          <w:p w14:paraId="35515C2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三、电磁低汤炉</w:t>
            </w:r>
          </w:p>
        </w:tc>
      </w:tr>
      <w:tr w14:paraId="48352FB9">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3CC4CE67">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7130F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35FA1C25">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所投产品依据GB 40876-2021《商用电磁灶能效限定值及能效等级》标准要求进行热效率检测，热效率实测值≥92%，产品能效等级为1级。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（评审依据：须提供具有相应检测资质的检测机构出具的带有CMA标识的报告扫描件加盖制造商公章佐证）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0CA7321F">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58A4AA79">
            <w:pPr>
              <w:autoSpaceDE w:val="0"/>
              <w:autoSpaceDN w:val="0"/>
              <w:spacing w:line="360" w:lineRule="auto"/>
              <w:jc w:val="center"/>
              <w:rPr>
                <w:rFonts w:hint="eastAsia" w:ascii="仿宋" w:hAnsi="仿宋" w:eastAsia="仿宋" w:cs="仿宋"/>
                <w:color w:val="auto"/>
                <w:sz w:val="24"/>
                <w:szCs w:val="24"/>
                <w:highlight w:val="none"/>
              </w:rPr>
            </w:pPr>
          </w:p>
        </w:tc>
      </w:tr>
      <w:tr w14:paraId="58421126">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35D5D0F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62C06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05797608">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所投产品依据GB 4806.9-2023产品标准和技术要求进行试验，具备食品接触产品安全认证证书；产品依据GB/T 10125-2021、GB/T6461-2002产品标准和技术要求进行试验，具备防腐蚀等级10级认证证书。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（评审依据：须提供具有相应资质机构颁发的有效证书扫描件和全国认证认可信息公共服务平台证书查询截图并加盖制造商公章佐证）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6767262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57DC69B6">
            <w:pPr>
              <w:autoSpaceDE w:val="0"/>
              <w:autoSpaceDN w:val="0"/>
              <w:spacing w:line="360" w:lineRule="auto"/>
              <w:jc w:val="center"/>
              <w:rPr>
                <w:rFonts w:hint="eastAsia" w:ascii="仿宋" w:hAnsi="仿宋" w:eastAsia="仿宋" w:cs="仿宋"/>
                <w:color w:val="auto"/>
                <w:sz w:val="24"/>
                <w:szCs w:val="24"/>
                <w:highlight w:val="none"/>
              </w:rPr>
            </w:pPr>
          </w:p>
        </w:tc>
      </w:tr>
      <w:tr w14:paraId="044F0250">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01017ACB">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5D8C2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0C43CC7A">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所投产品依据QB/T4499-2023《商用电磁灶》标准进行试验且试验结果均符合要求：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①连续工作时间≥14h后，电磁灶能正常工作。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②产品高低压试验后，在标准测试状态下，电磁灶应能正常工作，其功率偏差不应超过额定功率的±5%。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③平灶锅具的偏置不应影响其性能，不应出现故障。试验后，在标准测试状态下,其功率偏差不应超过额定功率的±10%。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④自动待机性能：在标准测试状态下进行试验，电磁灶从工作状态转换成待机状态的时间应&lt;2min。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⑤待机功率：电磁灶的待机功率应＜10W。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⑥输入功率的偏差不应超过额定输入功率的±10%。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⑦经湿热试验后，电磁灶应能正常工作，其功率偏差不应超过额定功率的±10%。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⑧经高温试验后，电磁灶应能正常工作，其试验后样机能正常工作。功率偏差不应超过额定功率的±5%。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⑨电磁辐射所有测量点的W值不应超过20%。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（评审依据：须提供具有相应检测资质的检测机构出具的带有CMA标识的报告扫描件加盖制造商公章佐证）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0BD9423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3ED589DD">
            <w:pPr>
              <w:autoSpaceDE w:val="0"/>
              <w:autoSpaceDN w:val="0"/>
              <w:spacing w:line="360" w:lineRule="auto"/>
              <w:jc w:val="center"/>
              <w:rPr>
                <w:rFonts w:hint="eastAsia" w:ascii="仿宋" w:hAnsi="仿宋" w:eastAsia="仿宋" w:cs="仿宋"/>
                <w:color w:val="auto"/>
                <w:sz w:val="24"/>
                <w:szCs w:val="24"/>
                <w:highlight w:val="none"/>
              </w:rPr>
            </w:pPr>
          </w:p>
        </w:tc>
      </w:tr>
      <w:tr w14:paraId="75552247">
        <w:tblPrEx>
          <w:tblCellMar>
            <w:top w:w="0" w:type="dxa"/>
            <w:left w:w="108" w:type="dxa"/>
            <w:bottom w:w="0" w:type="dxa"/>
            <w:right w:w="108" w:type="dxa"/>
          </w:tblCellMar>
        </w:tblPrEx>
        <w:trPr>
          <w:trHeight w:val="659" w:hRule="atLeast"/>
          <w:jc w:val="center"/>
        </w:trPr>
        <w:tc>
          <w:tcPr>
            <w:tcW w:w="578" w:type="dxa"/>
            <w:tcBorders>
              <w:top w:val="single" w:color="auto" w:sz="6" w:space="0"/>
              <w:left w:val="single" w:color="auto" w:sz="6" w:space="0"/>
              <w:bottom w:val="single" w:color="auto" w:sz="6" w:space="0"/>
              <w:right w:val="single" w:color="auto" w:sz="6" w:space="0"/>
            </w:tcBorders>
            <w:noWrap w:val="0"/>
            <w:vAlign w:val="center"/>
          </w:tcPr>
          <w:p w14:paraId="73493FD5">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D4AECA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4740" w:type="dxa"/>
            <w:tcBorders>
              <w:top w:val="single" w:color="auto" w:sz="6" w:space="0"/>
              <w:left w:val="single" w:color="auto" w:sz="6" w:space="0"/>
              <w:bottom w:val="single" w:color="auto" w:sz="6" w:space="0"/>
              <w:right w:val="single" w:color="auto" w:sz="6" w:space="0"/>
            </w:tcBorders>
            <w:noWrap w:val="0"/>
            <w:vAlign w:val="center"/>
          </w:tcPr>
          <w:p w14:paraId="7B6045D8">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所投产品生产企业有电磁灶生产许可，提供生产企业全国工业生产许可证。</w:t>
            </w:r>
          </w:p>
        </w:tc>
        <w:tc>
          <w:tcPr>
            <w:tcW w:w="1922" w:type="dxa"/>
            <w:tcBorders>
              <w:top w:val="single" w:color="auto" w:sz="6" w:space="0"/>
              <w:left w:val="single" w:color="auto" w:sz="6" w:space="0"/>
              <w:bottom w:val="single" w:color="auto" w:sz="6" w:space="0"/>
              <w:right w:val="single" w:color="auto" w:sz="6" w:space="0"/>
            </w:tcBorders>
            <w:noWrap w:val="0"/>
            <w:vAlign w:val="top"/>
          </w:tcPr>
          <w:p w14:paraId="0A38CF3D">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c>
          <w:tcPr>
            <w:tcW w:w="1759" w:type="dxa"/>
            <w:tcBorders>
              <w:top w:val="single" w:color="auto" w:sz="6" w:space="0"/>
              <w:left w:val="single" w:color="auto" w:sz="6" w:space="0"/>
              <w:bottom w:val="single" w:color="auto" w:sz="6" w:space="0"/>
              <w:right w:val="single" w:color="auto" w:sz="6" w:space="0"/>
            </w:tcBorders>
            <w:noWrap w:val="0"/>
            <w:vAlign w:val="top"/>
          </w:tcPr>
          <w:p w14:paraId="51D6B2AA">
            <w:pPr>
              <w:autoSpaceDE w:val="0"/>
              <w:autoSpaceDN w:val="0"/>
              <w:spacing w:line="360" w:lineRule="auto"/>
              <w:jc w:val="center"/>
              <w:rPr>
                <w:rFonts w:hint="eastAsia" w:ascii="仿宋" w:hAnsi="仿宋" w:eastAsia="仿宋" w:cs="仿宋"/>
                <w:color w:val="auto"/>
                <w:sz w:val="24"/>
                <w:szCs w:val="24"/>
                <w:highlight w:val="none"/>
              </w:rPr>
            </w:pPr>
          </w:p>
        </w:tc>
      </w:tr>
    </w:tbl>
    <w:p w14:paraId="5885B597">
      <w:pPr>
        <w:pStyle w:val="20"/>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28"/>
          <w:szCs w:val="28"/>
          <w:lang w:val="en-US" w:eastAsia="zh-CN"/>
        </w:rPr>
      </w:pPr>
    </w:p>
    <w:p w14:paraId="03A23D98">
      <w:pPr>
        <w:pStyle w:val="20"/>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textAlignment w:val="baseline"/>
        <w:rPr>
          <w:rFonts w:hint="eastAsia" w:ascii="仿宋" w:hAnsi="仿宋" w:eastAsia="仿宋" w:cs="仿宋"/>
          <w:b/>
          <w:bCs w:val="0"/>
          <w:color w:val="FF0000"/>
          <w:sz w:val="28"/>
          <w:szCs w:val="28"/>
          <w:lang w:val="en-US" w:eastAsia="zh-CN"/>
        </w:rPr>
      </w:pPr>
    </w:p>
    <w:p w14:paraId="06F2C8A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18DA889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1.报价资格一览表内不得显示价格。</w:t>
      </w:r>
    </w:p>
    <w:p w14:paraId="2115B25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_GB2312" w:eastAsia="仿宋_GB2312"/>
          <w:color w:val="FF0000"/>
          <w:kern w:val="2"/>
          <w:sz w:val="30"/>
          <w:szCs w:val="30"/>
          <w:highlight w:val="none"/>
          <w:lang w:val="en-US" w:eastAsia="zh-CN"/>
        </w:rPr>
      </w:pPr>
      <w:r>
        <w:rPr>
          <w:rFonts w:hint="eastAsia" w:ascii="仿宋_GB2312" w:eastAsia="仿宋_GB2312"/>
          <w:color w:val="FF0000"/>
          <w:kern w:val="2"/>
          <w:sz w:val="30"/>
          <w:szCs w:val="30"/>
          <w:highlight w:val="none"/>
          <w:lang w:val="en-US" w:eastAsia="zh-CN"/>
        </w:rPr>
        <w:t>2.须随表提交相应的证明材料及加盖单位公章的、在有效期限内的营业执照复印件，装订成册。</w:t>
      </w:r>
    </w:p>
    <w:p w14:paraId="4A5B8B1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default" w:ascii="仿宋" w:hAnsi="仿宋" w:eastAsia="仿宋" w:cs="仿宋"/>
          <w:b/>
          <w:bCs/>
          <w:color w:val="FF0000"/>
          <w:sz w:val="30"/>
          <w:szCs w:val="30"/>
          <w:highlight w:val="none"/>
          <w:lang w:val="en-US" w:eastAsia="zh-CN"/>
        </w:rPr>
      </w:pPr>
      <w:r>
        <w:rPr>
          <w:rFonts w:hint="eastAsia" w:ascii="仿宋_GB2312" w:eastAsia="仿宋_GB2312"/>
          <w:color w:val="FF0000"/>
          <w:kern w:val="2"/>
          <w:sz w:val="30"/>
          <w:szCs w:val="30"/>
          <w:highlight w:val="none"/>
          <w:lang w:val="en-US" w:eastAsia="zh-CN"/>
        </w:rPr>
        <w:t>3.此附表需与报价文件分开包装，封装方式与报价文件相同（正本1份，副本4份），共同递交至绍兴市再生能源发展有限公司综合楼一楼投标箱。</w:t>
      </w:r>
    </w:p>
    <w:p w14:paraId="70CF1B39">
      <w:pPr>
        <w:keepNext w:val="0"/>
        <w:keepLines w:val="0"/>
        <w:pageBreakBefore w:val="0"/>
        <w:widowControl w:val="0"/>
        <w:kinsoku/>
        <w:wordWrap/>
        <w:overflowPunct/>
        <w:topLinePunct w:val="0"/>
        <w:autoSpaceDE/>
        <w:autoSpaceDN/>
        <w:bidi w:val="0"/>
        <w:adjustRightInd/>
        <w:snapToGrid w:val="0"/>
        <w:spacing w:line="360" w:lineRule="auto"/>
        <w:ind w:firstLine="602" w:firstLineChars="200"/>
        <w:jc w:val="both"/>
        <w:textAlignment w:val="auto"/>
        <w:rPr>
          <w:rFonts w:hint="eastAsia" w:ascii="仿宋" w:hAnsi="仿宋" w:eastAsia="仿宋" w:cs="仿宋"/>
          <w:sz w:val="30"/>
          <w:szCs w:val="30"/>
          <w:lang w:val="en-US" w:eastAsia="zh-CN"/>
        </w:rPr>
      </w:pPr>
      <w:r>
        <w:rPr>
          <w:rFonts w:hint="eastAsia" w:ascii="仿宋_GB2312" w:eastAsia="仿宋_GB2312"/>
          <w:b/>
          <w:bCs/>
          <w:color w:val="FF0000"/>
          <w:kern w:val="2"/>
          <w:sz w:val="30"/>
          <w:szCs w:val="30"/>
          <w:highlight w:val="none"/>
          <w:lang w:eastAsia="zh-CN"/>
        </w:rPr>
        <w:t>【未满足</w:t>
      </w:r>
      <w:r>
        <w:rPr>
          <w:rFonts w:hint="eastAsia" w:ascii="仿宋_GB2312" w:eastAsia="仿宋_GB2312"/>
          <w:b/>
          <w:bCs/>
          <w:color w:val="FF0000"/>
          <w:kern w:val="2"/>
          <w:sz w:val="30"/>
          <w:szCs w:val="30"/>
          <w:highlight w:val="none"/>
          <w:lang w:val="en-US" w:eastAsia="zh-CN"/>
        </w:rPr>
        <w:t>以上</w:t>
      </w:r>
      <w:r>
        <w:rPr>
          <w:rFonts w:hint="eastAsia" w:ascii="仿宋_GB2312" w:eastAsia="仿宋_GB2312"/>
          <w:b/>
          <w:bCs/>
          <w:color w:val="FF0000"/>
          <w:kern w:val="2"/>
          <w:sz w:val="30"/>
          <w:szCs w:val="30"/>
          <w:highlight w:val="none"/>
          <w:lang w:eastAsia="zh-CN"/>
        </w:rPr>
        <w:t>条件则视为无效投标，</w:t>
      </w:r>
      <w:r>
        <w:rPr>
          <w:rFonts w:hint="eastAsia" w:ascii="仿宋_GB2312" w:eastAsia="仿宋_GB2312"/>
          <w:b/>
          <w:bCs/>
          <w:color w:val="FF0000"/>
          <w:kern w:val="2"/>
          <w:sz w:val="30"/>
          <w:szCs w:val="30"/>
          <w:highlight w:val="none"/>
          <w:lang w:val="en-US" w:eastAsia="zh-CN"/>
        </w:rPr>
        <w:t>且报价文件一同作废，不再进入后续的评审与比较环节</w:t>
      </w:r>
      <w:r>
        <w:rPr>
          <w:rFonts w:hint="eastAsia" w:ascii="仿宋_GB2312" w:eastAsia="仿宋_GB2312"/>
          <w:b/>
          <w:bCs/>
          <w:color w:val="FF0000"/>
          <w:kern w:val="2"/>
          <w:sz w:val="30"/>
          <w:szCs w:val="30"/>
          <w:highlight w:val="none"/>
          <w:lang w:eastAsia="zh-CN"/>
        </w:rPr>
        <w:t>】</w:t>
      </w:r>
    </w:p>
    <w:p w14:paraId="47734B1F">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614024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sz w:val="24"/>
          <w:szCs w:val="24"/>
        </w:rPr>
      </w:pPr>
    </w:p>
    <w:p w14:paraId="5E4F92D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p>
    <w:p w14:paraId="68506379">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5D6791C7">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2ECE39BF">
      <w:pPr>
        <w:jc w:val="left"/>
        <w:outlineLvl w:val="0"/>
        <w:rPr>
          <w:rStyle w:val="21"/>
          <w:rFonts w:hint="eastAsia" w:ascii="仿宋" w:hAnsi="仿宋" w:eastAsia="仿宋" w:cs="仿宋"/>
          <w:sz w:val="30"/>
        </w:rPr>
      </w:pPr>
    </w:p>
    <w:p w14:paraId="4A931E0D">
      <w:pPr>
        <w:jc w:val="left"/>
        <w:outlineLvl w:val="0"/>
        <w:rPr>
          <w:rStyle w:val="21"/>
          <w:rFonts w:hint="eastAsia" w:ascii="仿宋" w:hAnsi="仿宋" w:eastAsia="仿宋" w:cs="仿宋"/>
          <w:sz w:val="30"/>
        </w:rPr>
      </w:pPr>
    </w:p>
    <w:p w14:paraId="289347F0">
      <w:pPr>
        <w:jc w:val="left"/>
        <w:outlineLvl w:val="0"/>
        <w:rPr>
          <w:rStyle w:val="21"/>
          <w:rFonts w:hint="eastAsia" w:ascii="仿宋" w:hAnsi="仿宋" w:eastAsia="仿宋" w:cs="仿宋"/>
          <w:sz w:val="30"/>
        </w:rPr>
      </w:pPr>
    </w:p>
    <w:p w14:paraId="714DA679">
      <w:pPr>
        <w:jc w:val="left"/>
        <w:outlineLvl w:val="0"/>
        <w:rPr>
          <w:rStyle w:val="21"/>
          <w:rFonts w:hint="eastAsia" w:ascii="仿宋" w:hAnsi="仿宋" w:eastAsia="仿宋" w:cs="仿宋"/>
          <w:sz w:val="30"/>
        </w:rPr>
      </w:pPr>
    </w:p>
    <w:p w14:paraId="5F2355C8">
      <w:pPr>
        <w:jc w:val="left"/>
        <w:outlineLvl w:val="0"/>
        <w:rPr>
          <w:rStyle w:val="21"/>
          <w:rFonts w:hint="eastAsia" w:ascii="仿宋" w:hAnsi="仿宋" w:eastAsia="仿宋" w:cs="仿宋"/>
          <w:sz w:val="30"/>
        </w:rPr>
      </w:pPr>
    </w:p>
    <w:p w14:paraId="41836E8B">
      <w:pPr>
        <w:jc w:val="left"/>
        <w:outlineLvl w:val="0"/>
        <w:rPr>
          <w:rStyle w:val="21"/>
          <w:rFonts w:hint="eastAsia" w:ascii="仿宋" w:hAnsi="仿宋" w:eastAsia="仿宋" w:cs="仿宋"/>
          <w:sz w:val="30"/>
        </w:rPr>
      </w:pPr>
    </w:p>
    <w:p w14:paraId="5E6F0AB0">
      <w:pPr>
        <w:jc w:val="left"/>
        <w:outlineLvl w:val="0"/>
        <w:rPr>
          <w:rStyle w:val="21"/>
          <w:rFonts w:hint="eastAsia" w:ascii="仿宋" w:hAnsi="仿宋" w:eastAsia="仿宋" w:cs="仿宋"/>
          <w:sz w:val="30"/>
        </w:rPr>
      </w:pPr>
    </w:p>
    <w:p w14:paraId="2A6C9D94">
      <w:pPr>
        <w:jc w:val="left"/>
        <w:outlineLvl w:val="0"/>
        <w:rPr>
          <w:rStyle w:val="21"/>
          <w:rFonts w:hint="eastAsia" w:ascii="仿宋" w:hAnsi="仿宋" w:eastAsia="仿宋" w:cs="仿宋"/>
          <w:sz w:val="30"/>
        </w:rPr>
      </w:pPr>
    </w:p>
    <w:p w14:paraId="49FC582B">
      <w:pPr>
        <w:jc w:val="left"/>
        <w:outlineLvl w:val="0"/>
        <w:rPr>
          <w:rStyle w:val="21"/>
          <w:rFonts w:hint="eastAsia" w:ascii="仿宋" w:hAnsi="仿宋" w:eastAsia="仿宋" w:cs="仿宋"/>
          <w:sz w:val="30"/>
        </w:rPr>
      </w:pPr>
    </w:p>
    <w:p w14:paraId="48887529">
      <w:pPr>
        <w:jc w:val="left"/>
        <w:outlineLvl w:val="0"/>
        <w:rPr>
          <w:rStyle w:val="21"/>
          <w:rFonts w:hint="eastAsia" w:ascii="仿宋" w:hAnsi="仿宋" w:eastAsia="仿宋" w:cs="仿宋"/>
          <w:sz w:val="30"/>
        </w:rPr>
      </w:pPr>
    </w:p>
    <w:p w14:paraId="764599F8">
      <w:pPr>
        <w:jc w:val="left"/>
        <w:outlineLvl w:val="0"/>
        <w:rPr>
          <w:rStyle w:val="21"/>
          <w:rFonts w:hint="eastAsia" w:ascii="仿宋" w:hAnsi="仿宋" w:eastAsia="仿宋" w:cs="仿宋"/>
          <w:sz w:val="30"/>
        </w:rPr>
      </w:pPr>
    </w:p>
    <w:p w14:paraId="60289D8E">
      <w:pPr>
        <w:jc w:val="left"/>
        <w:outlineLvl w:val="0"/>
        <w:rPr>
          <w:rStyle w:val="21"/>
          <w:rFonts w:hint="eastAsia" w:ascii="仿宋" w:hAnsi="仿宋" w:eastAsia="仿宋" w:cs="仿宋"/>
          <w:sz w:val="30"/>
        </w:rPr>
      </w:pPr>
    </w:p>
    <w:p w14:paraId="0FC3E4AF">
      <w:pPr>
        <w:jc w:val="left"/>
        <w:outlineLvl w:val="0"/>
        <w:rPr>
          <w:rStyle w:val="21"/>
          <w:rFonts w:hint="eastAsia" w:ascii="仿宋" w:hAnsi="仿宋" w:eastAsia="仿宋" w:cs="仿宋"/>
          <w:sz w:val="30"/>
        </w:rPr>
      </w:pPr>
    </w:p>
    <w:p w14:paraId="2C9A322D">
      <w:pPr>
        <w:jc w:val="left"/>
        <w:outlineLvl w:val="0"/>
        <w:rPr>
          <w:rStyle w:val="21"/>
          <w:rFonts w:hint="eastAsia" w:ascii="仿宋" w:hAnsi="仿宋" w:eastAsia="仿宋" w:cs="仿宋"/>
          <w:sz w:val="30"/>
        </w:rPr>
      </w:pPr>
    </w:p>
    <w:p w14:paraId="566F031E">
      <w:pPr>
        <w:jc w:val="left"/>
        <w:outlineLvl w:val="0"/>
        <w:rPr>
          <w:rStyle w:val="21"/>
          <w:rFonts w:hint="eastAsia" w:ascii="仿宋" w:hAnsi="仿宋" w:eastAsia="仿宋" w:cs="仿宋"/>
          <w:sz w:val="30"/>
        </w:rPr>
      </w:pPr>
    </w:p>
    <w:p w14:paraId="0272915C">
      <w:pPr>
        <w:jc w:val="left"/>
        <w:outlineLvl w:val="0"/>
        <w:rPr>
          <w:rStyle w:val="21"/>
          <w:rFonts w:hint="eastAsia" w:ascii="仿宋" w:hAnsi="仿宋" w:eastAsia="仿宋" w:cs="仿宋"/>
          <w:sz w:val="30"/>
        </w:rPr>
      </w:pPr>
    </w:p>
    <w:p w14:paraId="657D6C18">
      <w:pPr>
        <w:jc w:val="left"/>
        <w:outlineLvl w:val="0"/>
        <w:rPr>
          <w:rStyle w:val="21"/>
          <w:rFonts w:hint="eastAsia" w:ascii="仿宋" w:hAnsi="仿宋" w:eastAsia="仿宋" w:cs="仿宋"/>
          <w:sz w:val="30"/>
        </w:rPr>
      </w:pPr>
    </w:p>
    <w:p w14:paraId="2CAEA739">
      <w:pPr>
        <w:jc w:val="left"/>
        <w:outlineLvl w:val="0"/>
        <w:rPr>
          <w:rStyle w:val="21"/>
          <w:rFonts w:hint="eastAsia" w:ascii="仿宋" w:hAnsi="仿宋" w:eastAsia="仿宋" w:cs="仿宋"/>
          <w:sz w:val="30"/>
        </w:rPr>
      </w:pPr>
    </w:p>
    <w:p w14:paraId="60404F8D">
      <w:pPr>
        <w:jc w:val="left"/>
        <w:outlineLvl w:val="0"/>
        <w:rPr>
          <w:rStyle w:val="21"/>
          <w:rFonts w:hint="eastAsia" w:ascii="仿宋" w:hAnsi="仿宋" w:eastAsia="仿宋" w:cs="仿宋"/>
          <w:sz w:val="30"/>
        </w:rPr>
      </w:pPr>
    </w:p>
    <w:p w14:paraId="13073362">
      <w:pPr>
        <w:jc w:val="left"/>
        <w:outlineLvl w:val="0"/>
        <w:rPr>
          <w:rStyle w:val="21"/>
          <w:rFonts w:hint="eastAsia" w:ascii="仿宋" w:hAnsi="仿宋" w:eastAsia="仿宋" w:cs="仿宋"/>
          <w:sz w:val="30"/>
        </w:rPr>
      </w:pPr>
    </w:p>
    <w:p w14:paraId="72FD5087">
      <w:pPr>
        <w:jc w:val="left"/>
        <w:outlineLvl w:val="0"/>
        <w:rPr>
          <w:rStyle w:val="21"/>
          <w:rFonts w:hint="eastAsia" w:ascii="仿宋" w:hAnsi="仿宋" w:eastAsia="仿宋" w:cs="仿宋"/>
          <w:sz w:val="30"/>
        </w:rPr>
      </w:pPr>
    </w:p>
    <w:p w14:paraId="63FD02F6">
      <w:pPr>
        <w:jc w:val="left"/>
        <w:outlineLvl w:val="0"/>
        <w:rPr>
          <w:rStyle w:val="21"/>
          <w:rFonts w:hint="eastAsia" w:ascii="仿宋" w:hAnsi="仿宋" w:eastAsia="仿宋" w:cs="仿宋"/>
          <w:sz w:val="30"/>
        </w:rPr>
      </w:pPr>
    </w:p>
    <w:p w14:paraId="13E07AD6">
      <w:pPr>
        <w:jc w:val="left"/>
        <w:outlineLvl w:val="0"/>
        <w:rPr>
          <w:rStyle w:val="21"/>
          <w:rFonts w:hint="eastAsia" w:ascii="仿宋" w:hAnsi="仿宋" w:eastAsia="仿宋" w:cs="仿宋"/>
          <w:sz w:val="30"/>
        </w:rPr>
      </w:pPr>
    </w:p>
    <w:p w14:paraId="01D2512D">
      <w:pPr>
        <w:jc w:val="left"/>
        <w:outlineLvl w:val="0"/>
        <w:rPr>
          <w:rStyle w:val="21"/>
          <w:rFonts w:hint="eastAsia" w:ascii="仿宋" w:hAnsi="仿宋" w:eastAsia="仿宋" w:cs="仿宋"/>
          <w:sz w:val="30"/>
        </w:rPr>
      </w:pPr>
    </w:p>
    <w:p w14:paraId="20A0A602">
      <w:pPr>
        <w:jc w:val="left"/>
        <w:outlineLvl w:val="0"/>
        <w:rPr>
          <w:rStyle w:val="21"/>
          <w:rFonts w:hint="eastAsia" w:ascii="仿宋" w:hAnsi="仿宋" w:eastAsia="仿宋" w:cs="仿宋"/>
          <w:sz w:val="30"/>
        </w:rPr>
      </w:pPr>
    </w:p>
    <w:p w14:paraId="4AC77AC8">
      <w:pPr>
        <w:jc w:val="left"/>
        <w:outlineLvl w:val="0"/>
        <w:rPr>
          <w:rStyle w:val="21"/>
          <w:rFonts w:hint="eastAsia" w:ascii="仿宋" w:hAnsi="仿宋" w:eastAsia="仿宋" w:cs="仿宋"/>
          <w:sz w:val="30"/>
        </w:rPr>
      </w:pPr>
    </w:p>
    <w:p w14:paraId="044F01C3">
      <w:pPr>
        <w:jc w:val="left"/>
        <w:outlineLvl w:val="0"/>
        <w:rPr>
          <w:rStyle w:val="21"/>
          <w:rFonts w:hint="eastAsia" w:ascii="仿宋" w:hAnsi="仿宋" w:eastAsia="仿宋" w:cs="仿宋"/>
          <w:sz w:val="30"/>
        </w:rPr>
      </w:pPr>
    </w:p>
    <w:p w14:paraId="2A5B0C4A">
      <w:pPr>
        <w:jc w:val="left"/>
        <w:outlineLvl w:val="0"/>
        <w:rPr>
          <w:rStyle w:val="21"/>
          <w:rFonts w:hint="eastAsia" w:ascii="仿宋" w:hAnsi="仿宋" w:eastAsia="仿宋" w:cs="仿宋"/>
          <w:sz w:val="30"/>
        </w:rPr>
      </w:pPr>
    </w:p>
    <w:p w14:paraId="4B99AA3F">
      <w:pPr>
        <w:jc w:val="left"/>
        <w:outlineLvl w:val="0"/>
        <w:rPr>
          <w:rStyle w:val="21"/>
          <w:rFonts w:hint="eastAsia" w:ascii="仿宋" w:hAnsi="仿宋" w:eastAsia="仿宋" w:cs="仿宋"/>
          <w:sz w:val="30"/>
        </w:rPr>
      </w:pPr>
    </w:p>
    <w:p w14:paraId="76FD87B3">
      <w:pPr>
        <w:jc w:val="left"/>
        <w:outlineLvl w:val="0"/>
        <w:rPr>
          <w:rStyle w:val="21"/>
          <w:rFonts w:hint="eastAsia" w:ascii="仿宋" w:hAnsi="仿宋" w:eastAsia="仿宋" w:cs="仿宋"/>
          <w:sz w:val="30"/>
        </w:rPr>
      </w:pPr>
    </w:p>
    <w:p w14:paraId="4B91D774">
      <w:pPr>
        <w:jc w:val="left"/>
        <w:outlineLvl w:val="0"/>
        <w:rPr>
          <w:rStyle w:val="21"/>
          <w:rFonts w:hint="eastAsia" w:ascii="仿宋" w:hAnsi="仿宋" w:eastAsia="仿宋" w:cs="仿宋"/>
          <w:sz w:val="30"/>
        </w:rPr>
      </w:pPr>
    </w:p>
    <w:p w14:paraId="08CA967B">
      <w:pPr>
        <w:jc w:val="left"/>
        <w:outlineLvl w:val="0"/>
        <w:rPr>
          <w:rStyle w:val="21"/>
          <w:rFonts w:hint="eastAsia" w:ascii="仿宋" w:hAnsi="仿宋" w:eastAsia="仿宋" w:cs="仿宋"/>
          <w:sz w:val="30"/>
        </w:rPr>
      </w:pPr>
      <w:bookmarkStart w:id="30" w:name="_Toc14428"/>
      <w:r>
        <w:rPr>
          <w:rStyle w:val="21"/>
          <w:rFonts w:hint="eastAsia" w:ascii="仿宋" w:hAnsi="仿宋" w:eastAsia="仿宋" w:cs="仿宋"/>
          <w:sz w:val="30"/>
        </w:rPr>
        <w:t>附件</w:t>
      </w:r>
      <w:r>
        <w:rPr>
          <w:rStyle w:val="21"/>
          <w:rFonts w:hint="eastAsia" w:ascii="仿宋" w:hAnsi="仿宋" w:eastAsia="仿宋" w:cs="仿宋"/>
          <w:sz w:val="30"/>
          <w:lang w:val="en-US"/>
        </w:rPr>
        <w:t>二</w:t>
      </w:r>
      <w:r>
        <w:rPr>
          <w:rStyle w:val="21"/>
          <w:rFonts w:hint="eastAsia" w:ascii="仿宋" w:hAnsi="仿宋" w:eastAsia="仿宋" w:cs="仿宋"/>
          <w:sz w:val="30"/>
        </w:rPr>
        <w:t>：</w:t>
      </w:r>
      <w:bookmarkEnd w:id="30"/>
    </w:p>
    <w:p w14:paraId="2ECC617D">
      <w:pPr>
        <w:spacing w:line="360" w:lineRule="auto"/>
        <w:jc w:val="center"/>
        <w:rPr>
          <w:rFonts w:hint="eastAsia" w:ascii="仿宋" w:hAnsi="仿宋" w:eastAsia="仿宋" w:cs="仿宋"/>
          <w:b/>
          <w:sz w:val="44"/>
        </w:rPr>
      </w:pPr>
      <w:r>
        <w:rPr>
          <w:rFonts w:hint="eastAsia" w:ascii="仿宋" w:hAnsi="仿宋" w:eastAsia="仿宋" w:cs="仿宋"/>
          <w:b/>
          <w:sz w:val="44"/>
        </w:rPr>
        <w:t>报 价 一 览 表</w:t>
      </w:r>
    </w:p>
    <w:p w14:paraId="4210601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sz w:val="30"/>
          <w:szCs w:val="30"/>
        </w:rPr>
      </w:pPr>
      <w:r>
        <w:rPr>
          <w:rFonts w:hint="eastAsia" w:ascii="仿宋" w:hAnsi="仿宋" w:eastAsia="仿宋" w:cs="仿宋"/>
          <w:b w:val="0"/>
          <w:sz w:val="30"/>
          <w:szCs w:val="30"/>
          <w:lang w:eastAsia="zh-CN"/>
        </w:rPr>
        <w:t>绍兴市再生能源发展有限公司</w:t>
      </w:r>
      <w:r>
        <w:rPr>
          <w:rFonts w:hint="eastAsia" w:ascii="仿宋" w:hAnsi="仿宋" w:eastAsia="仿宋" w:cs="仿宋"/>
          <w:b w:val="0"/>
          <w:sz w:val="30"/>
          <w:szCs w:val="30"/>
        </w:rPr>
        <w:t>：</w:t>
      </w:r>
    </w:p>
    <w:p w14:paraId="64A5D01F">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sz w:val="30"/>
          <w:szCs w:val="30"/>
        </w:rPr>
      </w:pPr>
      <w:r>
        <w:rPr>
          <w:rFonts w:hint="eastAsia" w:ascii="仿宋_GB2312" w:eastAsia="仿宋_GB2312"/>
          <w:sz w:val="28"/>
          <w:szCs w:val="28"/>
        </w:rPr>
        <w:t>我公司</w:t>
      </w:r>
      <w:r>
        <w:rPr>
          <w:rFonts w:hint="eastAsia" w:ascii="仿宋_GB2312" w:eastAsia="仿宋_GB2312"/>
          <w:sz w:val="28"/>
          <w:szCs w:val="28"/>
          <w:u w:val="single"/>
        </w:rPr>
        <w:t xml:space="preserve">        （报价单位名称）         </w:t>
      </w:r>
      <w:r>
        <w:rPr>
          <w:rFonts w:hint="eastAsia" w:ascii="仿宋_GB2312" w:eastAsia="仿宋_GB2312"/>
          <w:sz w:val="28"/>
          <w:szCs w:val="28"/>
        </w:rPr>
        <w:t>根据贵单位询价文件要求，</w:t>
      </w:r>
      <w:r>
        <w:rPr>
          <w:rFonts w:hint="eastAsia" w:ascii="仿宋_GB2312" w:eastAsia="仿宋_GB2312"/>
          <w:sz w:val="28"/>
          <w:szCs w:val="28"/>
          <w:lang w:eastAsia="zh-CN"/>
        </w:rPr>
        <w:t>委派</w:t>
      </w:r>
      <w:r>
        <w:rPr>
          <w:rFonts w:hint="eastAsia" w:ascii="仿宋_GB2312" w:eastAsia="仿宋_GB2312"/>
          <w:sz w:val="28"/>
          <w:szCs w:val="28"/>
          <w:u w:val="single"/>
          <w:lang w:val="en-US" w:eastAsia="zh-CN"/>
        </w:rPr>
        <w:t xml:space="preserve"> （联系人）   </w:t>
      </w:r>
      <w:r>
        <w:rPr>
          <w:rFonts w:hint="eastAsia" w:ascii="仿宋_GB2312" w:eastAsia="仿宋_GB2312"/>
          <w:sz w:val="28"/>
          <w:szCs w:val="28"/>
          <w:u w:val="none"/>
          <w:lang w:val="en-US" w:eastAsia="zh-CN"/>
        </w:rPr>
        <w:t>，联系方式</w:t>
      </w:r>
      <w:r>
        <w:rPr>
          <w:rFonts w:hint="eastAsia" w:ascii="仿宋_GB2312" w:eastAsia="仿宋_GB2312"/>
          <w:sz w:val="28"/>
          <w:szCs w:val="28"/>
          <w:u w:val="single"/>
          <w:lang w:val="en-US" w:eastAsia="zh-CN"/>
        </w:rPr>
        <w:t xml:space="preserve">                 </w:t>
      </w:r>
      <w:r>
        <w:rPr>
          <w:rFonts w:hint="eastAsia" w:ascii="仿宋" w:hAnsi="仿宋" w:eastAsia="仿宋" w:cs="仿宋"/>
          <w:sz w:val="30"/>
          <w:szCs w:val="30"/>
        </w:rPr>
        <w:t>，参加</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绍兴市再生能源发展有限公司 食堂更换电磁双头大炒灶、电磁小炒炉、电磁低汤炉 </w:t>
      </w:r>
      <w:r>
        <w:rPr>
          <w:rFonts w:hint="eastAsia" w:ascii="仿宋" w:hAnsi="仿宋" w:eastAsia="仿宋" w:cs="仿宋"/>
          <w:sz w:val="30"/>
          <w:szCs w:val="30"/>
          <w:u w:val="none"/>
          <w:lang w:val="en-US" w:eastAsia="zh-CN"/>
        </w:rPr>
        <w:t>项目。</w:t>
      </w:r>
    </w:p>
    <w:tbl>
      <w:tblPr>
        <w:tblStyle w:val="13"/>
        <w:tblW w:w="5418" w:type="pct"/>
        <w:jc w:val="center"/>
        <w:tblLayout w:type="fixed"/>
        <w:tblCellMar>
          <w:top w:w="0" w:type="dxa"/>
          <w:left w:w="108" w:type="dxa"/>
          <w:bottom w:w="0" w:type="dxa"/>
          <w:right w:w="108" w:type="dxa"/>
        </w:tblCellMar>
      </w:tblPr>
      <w:tblGrid>
        <w:gridCol w:w="567"/>
        <w:gridCol w:w="2386"/>
        <w:gridCol w:w="3060"/>
        <w:gridCol w:w="1050"/>
        <w:gridCol w:w="990"/>
        <w:gridCol w:w="2011"/>
      </w:tblGrid>
      <w:tr w14:paraId="55742BE5">
        <w:tblPrEx>
          <w:tblCellMar>
            <w:top w:w="0" w:type="dxa"/>
            <w:left w:w="108" w:type="dxa"/>
            <w:bottom w:w="0" w:type="dxa"/>
            <w:right w:w="108" w:type="dxa"/>
          </w:tblCellMar>
        </w:tblPrEx>
        <w:trPr>
          <w:trHeight w:val="467"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1A62FF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386" w:type="dxa"/>
            <w:tcBorders>
              <w:top w:val="single" w:color="000000" w:sz="4" w:space="0"/>
              <w:left w:val="single" w:color="000000" w:sz="4" w:space="0"/>
              <w:bottom w:val="single" w:color="000000" w:sz="4" w:space="0"/>
              <w:right w:val="single" w:color="000000" w:sz="4" w:space="0"/>
            </w:tcBorders>
            <w:noWrap/>
            <w:vAlign w:val="center"/>
          </w:tcPr>
          <w:p w14:paraId="350316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货物名称</w:t>
            </w:r>
          </w:p>
        </w:tc>
        <w:tc>
          <w:tcPr>
            <w:tcW w:w="3060" w:type="dxa"/>
            <w:tcBorders>
              <w:top w:val="single" w:color="000000" w:sz="4" w:space="0"/>
              <w:left w:val="single" w:color="000000" w:sz="4" w:space="0"/>
              <w:bottom w:val="single" w:color="000000" w:sz="4" w:space="0"/>
              <w:right w:val="single" w:color="000000" w:sz="4" w:space="0"/>
            </w:tcBorders>
            <w:noWrap/>
            <w:vAlign w:val="center"/>
          </w:tcPr>
          <w:p w14:paraId="6665FD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 xml:space="preserve">规格尺寸 </w:t>
            </w:r>
          </w:p>
          <w:p w14:paraId="38318A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(mm)</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0B3B2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227EC9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6F6F2C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w:t>
            </w:r>
          </w:p>
          <w:p w14:paraId="4EAD80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r>
      <w:tr w14:paraId="0F01F2B8">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2C8E745A">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2253B1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电磁双头大炒灶</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7DB64A3">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≥2000*1100*800+400，功率:20KW*2/380V（具体参数见附件）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6D6356F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sz w:val="24"/>
                <w:szCs w:val="24"/>
                <w:highlight w:val="none"/>
                <w:u w:val="none"/>
                <w:lang w:val="en-US" w:eastAsia="zh-CN"/>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23874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C3B3B94">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2A40CA2">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700DCBCA">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02B6DC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电磁小炒炉</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4AED58D3">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≥1000*1100*800+400，功率:15kW/380V（具体参数见附件）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3EBE0E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2B54D2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48AD0B4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5062F13B">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4B0DA105">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16FD62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电磁低汤炉</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299BD3F8">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≥700*800*600+600，功率:15KW/380V（具体参数见附件）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DE4BB8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D8FFC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725A0BF2">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7D73134C">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704912BF">
            <w:pPr>
              <w:keepNext w:val="0"/>
              <w:keepLines w:val="0"/>
              <w:pageBreakBefore w:val="0"/>
              <w:widowControl/>
              <w:numPr>
                <w:ilvl w:val="0"/>
                <w:numId w:val="6"/>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258D8B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配电箱及电源进线</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70E18B6C">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304不锈钢材质，厚度≥1.2mm，防水等级IP55（具体参数见附件）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B5BE2F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31F7AC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1AAE98F8">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04193EA8">
        <w:tblPrEx>
          <w:tblCellMar>
            <w:top w:w="0" w:type="dxa"/>
            <w:left w:w="108" w:type="dxa"/>
            <w:bottom w:w="0" w:type="dxa"/>
            <w:right w:w="108" w:type="dxa"/>
          </w:tblCellMar>
        </w:tblPrEx>
        <w:trPr>
          <w:trHeight w:val="529" w:hRule="atLeast"/>
          <w:jc w:val="center"/>
        </w:trPr>
        <w:tc>
          <w:tcPr>
            <w:tcW w:w="9236" w:type="dxa"/>
            <w:gridSpan w:val="6"/>
            <w:tcBorders>
              <w:top w:val="single" w:color="000000" w:sz="4" w:space="0"/>
              <w:left w:val="single" w:color="000000" w:sz="4" w:space="0"/>
              <w:bottom w:val="single" w:color="000000" w:sz="4" w:space="0"/>
              <w:right w:val="single" w:color="000000" w:sz="4" w:space="0"/>
            </w:tcBorders>
            <w:noWrap/>
            <w:vAlign w:val="center"/>
          </w:tcPr>
          <w:p w14:paraId="0A540FCA">
            <w:pPr>
              <w:keepNext w:val="0"/>
              <w:keepLines w:val="0"/>
              <w:widowControl/>
              <w:suppressLineNumbers w:val="0"/>
              <w:jc w:val="left"/>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备注：本报价为固定总价，包含旧设备拆除清运、新设备安装调试。针对第4项配电系统，服务方须到现场测量电缆线路及长度，评估施工环境难度。所有因现场实际情况（如距离超预期、施工环境复杂）产生的材料费及人工费均包含在总价中，采购人不再另行支付任何费用。设备详细技术要求见附件五。</w:t>
            </w:r>
          </w:p>
        </w:tc>
      </w:tr>
    </w:tbl>
    <w:p w14:paraId="4D9CAB6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none"/>
        </w:rPr>
      </w:pPr>
    </w:p>
    <w:p w14:paraId="7FA506A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highlight w:val="none"/>
        </w:rPr>
        <w:t>报价如下：（</w:t>
      </w:r>
      <w:r>
        <w:rPr>
          <w:rFonts w:hint="eastAsia" w:ascii="仿宋" w:hAnsi="仿宋" w:eastAsia="仿宋" w:cs="仿宋"/>
          <w:sz w:val="30"/>
          <w:szCs w:val="30"/>
          <w:highlight w:val="none"/>
          <w:lang w:eastAsia="zh-CN"/>
        </w:rPr>
        <w:t>总金额</w:t>
      </w:r>
      <w:r>
        <w:rPr>
          <w:rFonts w:hint="eastAsia" w:ascii="仿宋" w:hAnsi="仿宋" w:eastAsia="仿宋" w:cs="仿宋"/>
          <w:sz w:val="30"/>
          <w:szCs w:val="30"/>
          <w:highlight w:val="none"/>
        </w:rPr>
        <w:t>：</w:t>
      </w:r>
      <w:r>
        <w:rPr>
          <w:rFonts w:hint="eastAsia" w:ascii="仿宋" w:hAnsi="仿宋" w:eastAsia="仿宋" w:cs="仿宋"/>
          <w:sz w:val="30"/>
          <w:szCs w:val="30"/>
          <w:highlight w:val="none"/>
          <w:lang w:val="en-US" w:eastAsia="zh-CN"/>
        </w:rPr>
        <w:t xml:space="preserve">         </w:t>
      </w:r>
      <w:r>
        <w:rPr>
          <w:rFonts w:hint="eastAsia" w:ascii="仿宋" w:hAnsi="仿宋" w:eastAsia="仿宋" w:cs="仿宋"/>
          <w:sz w:val="30"/>
          <w:szCs w:val="30"/>
          <w:highlight w:val="none"/>
        </w:rPr>
        <w:t>元</w:t>
      </w:r>
      <w:r>
        <w:rPr>
          <w:rFonts w:hint="eastAsia" w:ascii="仿宋" w:hAnsi="仿宋" w:eastAsia="仿宋" w:cs="仿宋"/>
          <w:sz w:val="30"/>
          <w:szCs w:val="30"/>
        </w:rPr>
        <w:t xml:space="preserve">，税率为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p>
    <w:p w14:paraId="1AF896A4">
      <w:pPr>
        <w:pStyle w:val="20"/>
        <w:keepNext w:val="0"/>
        <w:keepLines w:val="0"/>
        <w:pageBreakBefore w:val="0"/>
        <w:widowControl/>
        <w:kinsoku/>
        <w:wordWrap/>
        <w:overflowPunct/>
        <w:topLinePunct w:val="0"/>
        <w:autoSpaceDE/>
        <w:autoSpaceDN/>
        <w:bidi w:val="0"/>
        <w:adjustRightInd/>
        <w:snapToGrid w:val="0"/>
        <w:spacing w:line="360" w:lineRule="auto"/>
        <w:ind w:firstLine="601"/>
        <w:textAlignment w:val="baseline"/>
        <w:rPr>
          <w:rFonts w:hint="eastAsia" w:ascii="仿宋" w:hAnsi="仿宋" w:eastAsia="仿宋" w:cs="仿宋"/>
          <w:color w:val="auto"/>
          <w:sz w:val="30"/>
          <w:szCs w:val="30"/>
          <w:lang w:val="en-US" w:eastAsia="zh-CN"/>
        </w:rPr>
      </w:pPr>
      <w:r>
        <w:rPr>
          <w:rFonts w:hint="eastAsia" w:ascii="仿宋" w:hAnsi="仿宋" w:eastAsia="仿宋" w:cs="仿宋"/>
          <w:sz w:val="30"/>
          <w:szCs w:val="30"/>
          <w:lang w:eastAsia="zh-CN"/>
        </w:rPr>
        <w:t>付款方式：</w:t>
      </w:r>
      <w:r>
        <w:rPr>
          <w:rFonts w:hint="eastAsia" w:ascii="仿宋" w:hAnsi="仿宋" w:eastAsia="仿宋" w:cs="仿宋"/>
          <w:sz w:val="30"/>
          <w:szCs w:val="30"/>
          <w:lang w:val="en-US" w:eastAsia="zh-CN"/>
        </w:rPr>
        <w:t>项目完成且经由采购人验收合格后，供货方提供经双方确认的送货清单及等额、合法、有效的增值税专用发票，采购人自收到准确清单和发票且核对无误后，于次二月完成款项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两年质保，其履约保证金（合同价的5%）到时（验收合格后）自动转为质保金，质保期从验</w:t>
      </w:r>
      <w:r>
        <w:rPr>
          <w:rFonts w:hint="eastAsia" w:ascii="仿宋" w:hAnsi="仿宋" w:eastAsia="仿宋" w:cs="仿宋"/>
          <w:sz w:val="30"/>
          <w:szCs w:val="30"/>
          <w:highlight w:val="none"/>
          <w:lang w:val="en-US" w:eastAsia="zh-CN"/>
        </w:rPr>
        <w:t>收合格之日起计算，质保金于质保期满且无未决质量争议后无息退还</w:t>
      </w:r>
      <w:r>
        <w:rPr>
          <w:rFonts w:hint="eastAsia" w:ascii="仿宋" w:hAnsi="仿宋" w:eastAsia="仿宋" w:cs="仿宋"/>
          <w:color w:val="auto"/>
          <w:kern w:val="2"/>
          <w:sz w:val="30"/>
          <w:szCs w:val="30"/>
          <w:highlight w:val="none"/>
        </w:rPr>
        <w:t>。</w:t>
      </w:r>
    </w:p>
    <w:p w14:paraId="1DD44433">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_GB2312" w:eastAsia="仿宋_GB2312"/>
          <w:color w:val="auto"/>
          <w:kern w:val="2"/>
          <w:sz w:val="30"/>
          <w:szCs w:val="30"/>
          <w:highlight w:val="none"/>
          <w:lang w:eastAsia="zh-CN"/>
        </w:rPr>
        <w:t>【禁止擅自修改付款条件，未满足该条件则视为无效投标】</w:t>
      </w:r>
    </w:p>
    <w:p w14:paraId="02B1203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相关要求：</w:t>
      </w:r>
    </w:p>
    <w:p w14:paraId="2FF6291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00" w:firstLineChars="200"/>
        <w:jc w:val="left"/>
        <w:textAlignment w:val="auto"/>
        <w:rPr>
          <w:rFonts w:hint="eastAsia"/>
          <w:highlight w:val="none"/>
          <w:lang w:eastAsia="zh-CN"/>
        </w:rPr>
      </w:pPr>
      <w:r>
        <w:rPr>
          <w:rFonts w:hint="eastAsia" w:ascii="仿宋" w:hAnsi="仿宋" w:eastAsia="仿宋" w:cs="仿宋"/>
          <w:color w:val="auto"/>
          <w:sz w:val="30"/>
          <w:szCs w:val="30"/>
          <w:highlight w:val="none"/>
          <w:lang w:val="en-US" w:eastAsia="zh-CN"/>
        </w:rPr>
        <w:t>1、</w:t>
      </w:r>
      <w:r>
        <w:rPr>
          <w:rFonts w:hint="eastAsia" w:ascii="仿宋" w:hAnsi="仿宋" w:eastAsia="仿宋" w:cs="仿宋"/>
          <w:sz w:val="30"/>
          <w:szCs w:val="30"/>
          <w:highlight w:val="none"/>
        </w:rPr>
        <w:t>本项</w:t>
      </w:r>
      <w:r>
        <w:rPr>
          <w:rFonts w:hint="eastAsia" w:ascii="仿宋" w:hAnsi="仿宋" w:eastAsia="仿宋" w:cs="仿宋"/>
          <w:sz w:val="30"/>
          <w:szCs w:val="30"/>
          <w:highlight w:val="none"/>
          <w:lang w:eastAsia="zh-CN"/>
        </w:rPr>
        <w:t>目采购总金额限价人民币7.3</w:t>
      </w:r>
      <w:r>
        <w:rPr>
          <w:rFonts w:hint="eastAsia" w:ascii="仿宋" w:hAnsi="仿宋" w:eastAsia="仿宋" w:cs="仿宋"/>
          <w:sz w:val="30"/>
          <w:szCs w:val="30"/>
          <w:highlight w:val="none"/>
          <w:lang w:val="en-US" w:eastAsia="zh-CN"/>
        </w:rPr>
        <w:t>万</w:t>
      </w:r>
      <w:r>
        <w:rPr>
          <w:rFonts w:hint="eastAsia" w:ascii="仿宋" w:hAnsi="仿宋" w:eastAsia="仿宋" w:cs="仿宋"/>
          <w:sz w:val="30"/>
          <w:szCs w:val="30"/>
          <w:highlight w:val="none"/>
        </w:rPr>
        <w:t>元</w:t>
      </w:r>
      <w:r>
        <w:rPr>
          <w:rFonts w:hint="eastAsia" w:ascii="仿宋" w:hAnsi="仿宋" w:eastAsia="仿宋" w:cs="仿宋"/>
          <w:sz w:val="30"/>
          <w:szCs w:val="30"/>
          <w:highlight w:val="none"/>
          <w:lang w:eastAsia="zh-CN"/>
        </w:rPr>
        <w:t>。</w:t>
      </w:r>
    </w:p>
    <w:p w14:paraId="41BC282E">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highlight w:val="yellow"/>
          <w:lang w:eastAsia="zh-CN"/>
        </w:rPr>
      </w:pPr>
      <w:r>
        <w:rPr>
          <w:rFonts w:hint="eastAsia" w:ascii="仿宋" w:hAnsi="仿宋" w:eastAsia="仿宋" w:cs="仿宋"/>
          <w:color w:val="auto"/>
          <w:sz w:val="30"/>
          <w:szCs w:val="30"/>
          <w:highlight w:val="none"/>
          <w:lang w:val="en-US" w:eastAsia="zh-CN"/>
        </w:rPr>
        <w:t>2、该采购项目履约保证金为合同价的5%。服务方于合同签订前将履约保证金打入采购人指定账户。项目验收合格后，履约保证金转为质保金。质保期满后，采购人退还质保金（无息）。</w:t>
      </w:r>
    </w:p>
    <w:p w14:paraId="7597BA8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highlight w:val="none"/>
          <w:lang w:val="en-US" w:eastAsia="zh-CN"/>
        </w:rPr>
        <w:t>3、</w:t>
      </w:r>
      <w:r>
        <w:rPr>
          <w:rFonts w:hint="eastAsia" w:ascii="仿宋" w:hAnsi="仿宋" w:eastAsia="仿宋" w:cs="仿宋"/>
          <w:color w:val="auto"/>
          <w:sz w:val="30"/>
          <w:szCs w:val="30"/>
          <w:highlight w:val="none"/>
          <w:lang w:val="en-US" w:eastAsia="zh-CN"/>
        </w:rPr>
        <w:t>预成交公示结束后，服务方在收到采购人拟订合同（所中标项</w:t>
      </w:r>
      <w:r>
        <w:rPr>
          <w:rFonts w:hint="eastAsia" w:ascii="仿宋" w:hAnsi="仿宋" w:eastAsia="仿宋" w:cs="仿宋"/>
          <w:color w:val="auto"/>
          <w:sz w:val="30"/>
          <w:szCs w:val="30"/>
          <w:lang w:val="en-US" w:eastAsia="zh-CN"/>
        </w:rPr>
        <w:t>目）电子版本后，确认无误并签署盖章，2天内邮寄给采购人。合同上的签订时间与采购人实际收到合同时间原则上不超过5天。否则视为服务方自动放弃，采购人有权解除合同。</w:t>
      </w:r>
    </w:p>
    <w:p w14:paraId="5EB59C3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sz w:val="24"/>
          <w:szCs w:val="24"/>
        </w:rPr>
      </w:pPr>
      <w:r>
        <w:rPr>
          <w:rFonts w:hint="eastAsia" w:ascii="仿宋" w:hAnsi="仿宋" w:eastAsia="仿宋" w:cs="仿宋"/>
          <w:sz w:val="30"/>
          <w:szCs w:val="30"/>
          <w:lang w:val="en-US" w:eastAsia="zh-CN"/>
        </w:rPr>
        <w:t>4、以上总价应为含税全包价，包括运费、税费等一切费用，发票必须为增值税专用发票。</w:t>
      </w:r>
      <w:r>
        <w:rPr>
          <w:rFonts w:hint="eastAsia" w:ascii="仿宋" w:hAnsi="仿宋" w:eastAsia="仿宋" w:cs="仿宋"/>
          <w:sz w:val="30"/>
          <w:szCs w:val="30"/>
        </w:rPr>
        <w:tab/>
      </w:r>
      <w:r>
        <w:rPr>
          <w:rFonts w:hint="eastAsia" w:ascii="仿宋" w:hAnsi="仿宋" w:eastAsia="仿宋" w:cs="仿宋"/>
          <w:sz w:val="30"/>
          <w:szCs w:val="30"/>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14:paraId="30A224C0">
      <w:pPr>
        <w:snapToGrid w:val="0"/>
        <w:ind w:firstLine="480" w:firstLineChars="200"/>
        <w:jc w:val="right"/>
        <w:rPr>
          <w:rFonts w:hint="eastAsia" w:ascii="仿宋" w:hAnsi="仿宋" w:eastAsia="仿宋" w:cs="仿宋"/>
          <w:sz w:val="24"/>
          <w:szCs w:val="24"/>
        </w:rPr>
      </w:pPr>
    </w:p>
    <w:p w14:paraId="149D5B0F">
      <w:pPr>
        <w:snapToGrid w:val="0"/>
        <w:ind w:firstLine="480" w:firstLineChars="200"/>
        <w:jc w:val="right"/>
        <w:rPr>
          <w:rFonts w:hint="eastAsia" w:ascii="仿宋" w:hAnsi="仿宋" w:eastAsia="仿宋" w:cs="仿宋"/>
          <w:sz w:val="24"/>
          <w:szCs w:val="24"/>
        </w:rPr>
      </w:pPr>
      <w:r>
        <w:rPr>
          <w:rFonts w:hint="eastAsia" w:ascii="仿宋" w:hAnsi="仿宋" w:eastAsia="仿宋" w:cs="仿宋"/>
          <w:sz w:val="24"/>
          <w:szCs w:val="24"/>
        </w:rPr>
        <w:t>报价单位名称（公章）：</w:t>
      </w:r>
    </w:p>
    <w:p w14:paraId="4398B051">
      <w:pPr>
        <w:snapToGrid w:val="0"/>
        <w:ind w:firstLine="480" w:firstLineChars="200"/>
        <w:jc w:val="right"/>
        <w:rPr>
          <w:rFonts w:hint="eastAsia" w:ascii="仿宋" w:hAnsi="仿宋" w:eastAsia="仿宋" w:cs="仿宋"/>
          <w:sz w:val="24"/>
          <w:szCs w:val="24"/>
        </w:rPr>
        <w:sectPr>
          <w:pgSz w:w="11906" w:h="16838"/>
          <w:pgMar w:top="1701" w:right="1417" w:bottom="1134" w:left="1417" w:header="851" w:footer="992" w:gutter="0"/>
          <w:cols w:space="0" w:num="1"/>
          <w:rtlGutter w:val="0"/>
          <w:docGrid w:linePitch="312" w:charSpace="0"/>
        </w:sectPr>
      </w:pP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w:t>
      </w:r>
      <w:r>
        <w:rPr>
          <w:rFonts w:hint="default" w:ascii="仿宋" w:hAnsi="仿宋" w:eastAsia="仿宋" w:cs="仿宋"/>
          <w:sz w:val="24"/>
          <w:szCs w:val="24"/>
          <w:lang w:val="en-US"/>
        </w:rPr>
        <w:t>202</w:t>
      </w:r>
      <w:r>
        <w:rPr>
          <w:rFonts w:hint="eastAsia" w:ascii="仿宋" w:hAnsi="仿宋" w:eastAsia="仿宋" w:cs="仿宋"/>
          <w:sz w:val="24"/>
          <w:szCs w:val="24"/>
          <w:lang w:val="en-US" w:eastAsia="zh-CN"/>
        </w:rPr>
        <w:t>6</w:t>
      </w:r>
      <w:r>
        <w:rPr>
          <w:rFonts w:hint="default" w:ascii="仿宋" w:hAnsi="仿宋" w:eastAsia="仿宋" w:cs="仿宋"/>
          <w:sz w:val="24"/>
          <w:szCs w:val="24"/>
          <w:lang w:val="en-US"/>
        </w:rPr>
        <w:t>年</w:t>
      </w:r>
      <w:r>
        <w:rPr>
          <w:rFonts w:hint="eastAsia" w:ascii="仿宋" w:hAnsi="仿宋" w:eastAsia="仿宋" w:cs="仿宋"/>
          <w:sz w:val="24"/>
          <w:szCs w:val="24"/>
        </w:rPr>
        <w:t xml:space="preserve"> 月 日</w:t>
      </w:r>
    </w:p>
    <w:p w14:paraId="3E1333BF">
      <w:pPr>
        <w:jc w:val="left"/>
        <w:outlineLvl w:val="0"/>
        <w:rPr>
          <w:rStyle w:val="21"/>
          <w:rFonts w:hint="eastAsia" w:ascii="仿宋" w:hAnsi="仿宋" w:eastAsia="仿宋" w:cs="仿宋"/>
          <w:sz w:val="30"/>
        </w:rPr>
      </w:pPr>
      <w:bookmarkStart w:id="31" w:name="_Toc13987"/>
      <w:bookmarkStart w:id="32" w:name="_Toc103165678"/>
      <w:bookmarkStart w:id="33" w:name="_Toc108839328"/>
      <w:r>
        <w:rPr>
          <w:rStyle w:val="21"/>
          <w:rFonts w:hint="eastAsia" w:ascii="仿宋" w:hAnsi="仿宋" w:eastAsia="仿宋" w:cs="仿宋"/>
          <w:sz w:val="30"/>
        </w:rPr>
        <w:t>附件</w:t>
      </w:r>
      <w:r>
        <w:rPr>
          <w:rStyle w:val="21"/>
          <w:rFonts w:hint="eastAsia" w:ascii="仿宋" w:hAnsi="仿宋" w:eastAsia="仿宋" w:cs="仿宋"/>
          <w:sz w:val="30"/>
          <w:lang w:val="en-US"/>
        </w:rPr>
        <w:t>三</w:t>
      </w:r>
      <w:r>
        <w:rPr>
          <w:rStyle w:val="21"/>
          <w:rFonts w:hint="eastAsia" w:ascii="仿宋" w:hAnsi="仿宋" w:eastAsia="仿宋" w:cs="仿宋"/>
          <w:sz w:val="30"/>
        </w:rPr>
        <w:t>：</w:t>
      </w:r>
      <w:bookmarkEnd w:id="31"/>
    </w:p>
    <w:p w14:paraId="6CE07EB2">
      <w:pPr>
        <w:spacing w:line="360" w:lineRule="auto"/>
        <w:jc w:val="center"/>
        <w:rPr>
          <w:rFonts w:hint="eastAsia" w:ascii="仿宋" w:hAnsi="仿宋" w:eastAsia="仿宋" w:cs="仿宋"/>
          <w:b/>
          <w:color w:val="auto"/>
          <w:sz w:val="44"/>
        </w:rPr>
      </w:pPr>
      <w:r>
        <w:rPr>
          <w:rFonts w:hint="eastAsia" w:ascii="仿宋" w:hAnsi="仿宋" w:eastAsia="仿宋" w:cs="仿宋"/>
          <w:b/>
          <w:color w:val="auto"/>
          <w:sz w:val="44"/>
          <w:lang w:val="en-US" w:eastAsia="zh-CN"/>
        </w:rPr>
        <w:t>二 次 报 价</w:t>
      </w:r>
      <w:r>
        <w:rPr>
          <w:rFonts w:hint="eastAsia" w:ascii="仿宋" w:hAnsi="仿宋" w:eastAsia="仿宋" w:cs="仿宋"/>
          <w:b/>
          <w:color w:val="auto"/>
          <w:sz w:val="44"/>
        </w:rPr>
        <w:t xml:space="preserve"> 一 览 表</w:t>
      </w:r>
    </w:p>
    <w:p w14:paraId="7E16C454">
      <w:pPr>
        <w:pStyle w:val="22"/>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b w:val="0"/>
          <w:color w:val="auto"/>
          <w:sz w:val="30"/>
          <w:szCs w:val="30"/>
        </w:rPr>
      </w:pPr>
      <w:r>
        <w:rPr>
          <w:rFonts w:hint="eastAsia" w:ascii="仿宋" w:hAnsi="仿宋" w:eastAsia="仿宋" w:cs="仿宋"/>
          <w:b w:val="0"/>
          <w:color w:val="auto"/>
          <w:sz w:val="30"/>
          <w:szCs w:val="30"/>
          <w:lang w:eastAsia="zh-CN"/>
        </w:rPr>
        <w:t>绍兴市再生能源发展有限公司</w:t>
      </w:r>
      <w:r>
        <w:rPr>
          <w:rFonts w:hint="eastAsia" w:ascii="仿宋" w:hAnsi="仿宋" w:eastAsia="仿宋" w:cs="仿宋"/>
          <w:b w:val="0"/>
          <w:color w:val="auto"/>
          <w:sz w:val="30"/>
          <w:szCs w:val="30"/>
        </w:rPr>
        <w:t>：</w:t>
      </w:r>
    </w:p>
    <w:p w14:paraId="06333E9C">
      <w:pPr>
        <w:keepNext w:val="0"/>
        <w:keepLines w:val="0"/>
        <w:pageBreakBefore w:val="0"/>
        <w:widowControl w:val="0"/>
        <w:kinsoku/>
        <w:wordWrap/>
        <w:overflowPunct/>
        <w:topLinePunct w:val="0"/>
        <w:autoSpaceDE/>
        <w:autoSpaceDN/>
        <w:bidi w:val="0"/>
        <w:adjustRightInd/>
        <w:snapToGrid w:val="0"/>
        <w:spacing w:line="360" w:lineRule="auto"/>
        <w:ind w:firstLine="560" w:firstLineChars="200"/>
        <w:jc w:val="left"/>
        <w:textAlignment w:val="auto"/>
        <w:rPr>
          <w:rFonts w:hint="eastAsia" w:ascii="仿宋" w:hAnsi="仿宋" w:eastAsia="仿宋" w:cs="仿宋"/>
          <w:color w:val="auto"/>
          <w:sz w:val="30"/>
          <w:szCs w:val="30"/>
        </w:rPr>
      </w:pPr>
      <w:r>
        <w:rPr>
          <w:rFonts w:hint="eastAsia" w:ascii="仿宋_GB2312" w:eastAsia="仿宋_GB2312"/>
          <w:color w:val="auto"/>
          <w:sz w:val="28"/>
          <w:szCs w:val="28"/>
        </w:rPr>
        <w:t>我公司</w:t>
      </w:r>
      <w:r>
        <w:rPr>
          <w:rFonts w:hint="eastAsia" w:ascii="仿宋_GB2312" w:eastAsia="仿宋_GB2312"/>
          <w:color w:val="auto"/>
          <w:sz w:val="28"/>
          <w:szCs w:val="28"/>
          <w:u w:val="single"/>
        </w:rPr>
        <w:t xml:space="preserve">        （报价单位名称）         </w:t>
      </w:r>
      <w:r>
        <w:rPr>
          <w:rFonts w:hint="eastAsia" w:ascii="仿宋_GB2312" w:eastAsia="仿宋_GB2312"/>
          <w:color w:val="auto"/>
          <w:sz w:val="28"/>
          <w:szCs w:val="28"/>
        </w:rPr>
        <w:t>根据贵单位询价文件要求，</w:t>
      </w:r>
      <w:r>
        <w:rPr>
          <w:rFonts w:hint="eastAsia" w:ascii="仿宋_GB2312" w:eastAsia="仿宋_GB2312"/>
          <w:color w:val="auto"/>
          <w:sz w:val="28"/>
          <w:szCs w:val="28"/>
          <w:lang w:eastAsia="zh-CN"/>
        </w:rPr>
        <w:t>委派</w:t>
      </w:r>
      <w:r>
        <w:rPr>
          <w:rFonts w:hint="eastAsia" w:ascii="仿宋_GB2312" w:eastAsia="仿宋_GB2312"/>
          <w:color w:val="auto"/>
          <w:sz w:val="28"/>
          <w:szCs w:val="28"/>
          <w:u w:val="single"/>
          <w:lang w:val="en-US" w:eastAsia="zh-CN"/>
        </w:rPr>
        <w:t xml:space="preserve"> （联系人）   </w:t>
      </w:r>
      <w:r>
        <w:rPr>
          <w:rFonts w:hint="eastAsia" w:ascii="仿宋_GB2312" w:eastAsia="仿宋_GB2312"/>
          <w:color w:val="auto"/>
          <w:sz w:val="28"/>
          <w:szCs w:val="28"/>
          <w:u w:val="none"/>
          <w:lang w:val="en-US" w:eastAsia="zh-CN"/>
        </w:rPr>
        <w:t>，联系方式</w:t>
      </w:r>
      <w:r>
        <w:rPr>
          <w:rFonts w:hint="eastAsia" w:ascii="仿宋_GB2312" w:eastAsia="仿宋_GB2312"/>
          <w:color w:val="auto"/>
          <w:sz w:val="28"/>
          <w:szCs w:val="28"/>
          <w:u w:val="single"/>
          <w:lang w:val="en-US" w:eastAsia="zh-CN"/>
        </w:rPr>
        <w:t xml:space="preserve">                 </w:t>
      </w:r>
      <w:r>
        <w:rPr>
          <w:rFonts w:hint="eastAsia" w:ascii="仿宋" w:hAnsi="仿宋" w:eastAsia="仿宋" w:cs="仿宋"/>
          <w:color w:val="auto"/>
          <w:sz w:val="30"/>
          <w:szCs w:val="30"/>
        </w:rPr>
        <w:t>，参加</w:t>
      </w:r>
      <w:r>
        <w:rPr>
          <w:rFonts w:hint="eastAsia" w:ascii="仿宋" w:hAnsi="仿宋" w:eastAsia="仿宋" w:cs="仿宋"/>
          <w:color w:val="auto"/>
          <w:sz w:val="30"/>
          <w:szCs w:val="30"/>
          <w:u w:val="single"/>
        </w:rPr>
        <w:t xml:space="preserve">  </w:t>
      </w:r>
      <w:r>
        <w:rPr>
          <w:rFonts w:hint="eastAsia" w:ascii="仿宋" w:hAnsi="仿宋" w:eastAsia="仿宋" w:cs="仿宋"/>
          <w:color w:val="auto"/>
          <w:sz w:val="30"/>
          <w:szCs w:val="30"/>
          <w:u w:val="single"/>
          <w:lang w:val="en-US" w:eastAsia="zh-CN"/>
        </w:rPr>
        <w:t xml:space="preserve">绍兴市再生能源发展有限公司 食堂更换电磁双头大炒灶、电磁小炒炉、电磁低汤炉 </w:t>
      </w:r>
      <w:r>
        <w:rPr>
          <w:rFonts w:hint="eastAsia" w:ascii="仿宋" w:hAnsi="仿宋" w:eastAsia="仿宋" w:cs="仿宋"/>
          <w:color w:val="auto"/>
          <w:sz w:val="30"/>
          <w:szCs w:val="30"/>
          <w:u w:val="none"/>
          <w:lang w:val="en-US" w:eastAsia="zh-CN"/>
        </w:rPr>
        <w:t>项目。</w:t>
      </w:r>
    </w:p>
    <w:tbl>
      <w:tblPr>
        <w:tblStyle w:val="13"/>
        <w:tblW w:w="5418" w:type="pct"/>
        <w:jc w:val="center"/>
        <w:tblLayout w:type="fixed"/>
        <w:tblCellMar>
          <w:top w:w="0" w:type="dxa"/>
          <w:left w:w="108" w:type="dxa"/>
          <w:bottom w:w="0" w:type="dxa"/>
          <w:right w:w="108" w:type="dxa"/>
        </w:tblCellMar>
      </w:tblPr>
      <w:tblGrid>
        <w:gridCol w:w="567"/>
        <w:gridCol w:w="2386"/>
        <w:gridCol w:w="3059"/>
        <w:gridCol w:w="1050"/>
        <w:gridCol w:w="990"/>
        <w:gridCol w:w="2011"/>
      </w:tblGrid>
      <w:tr w14:paraId="4F62066D">
        <w:tblPrEx>
          <w:tblCellMar>
            <w:top w:w="0" w:type="dxa"/>
            <w:left w:w="108" w:type="dxa"/>
            <w:bottom w:w="0" w:type="dxa"/>
            <w:right w:w="108" w:type="dxa"/>
          </w:tblCellMar>
        </w:tblPrEx>
        <w:trPr>
          <w:trHeight w:val="467"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1CD062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序号</w:t>
            </w:r>
          </w:p>
        </w:tc>
        <w:tc>
          <w:tcPr>
            <w:tcW w:w="2386" w:type="dxa"/>
            <w:tcBorders>
              <w:top w:val="single" w:color="000000" w:sz="4" w:space="0"/>
              <w:left w:val="single" w:color="000000" w:sz="4" w:space="0"/>
              <w:bottom w:val="single" w:color="000000" w:sz="4" w:space="0"/>
              <w:right w:val="single" w:color="000000" w:sz="4" w:space="0"/>
            </w:tcBorders>
            <w:noWrap/>
            <w:vAlign w:val="center"/>
          </w:tcPr>
          <w:p w14:paraId="35A3C0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lang w:val="en-US"/>
              </w:rPr>
            </w:pPr>
            <w:r>
              <w:rPr>
                <w:rFonts w:hint="eastAsia" w:ascii="仿宋" w:hAnsi="仿宋" w:eastAsia="仿宋" w:cs="仿宋"/>
                <w:i w:val="0"/>
                <w:iCs w:val="0"/>
                <w:strike w:val="0"/>
                <w:dstrike w:val="0"/>
                <w:color w:val="000000"/>
                <w:kern w:val="0"/>
                <w:sz w:val="24"/>
                <w:szCs w:val="24"/>
                <w:highlight w:val="none"/>
                <w:u w:val="none"/>
                <w:lang w:val="en-US" w:eastAsia="zh-CN" w:bidi="ar"/>
              </w:rPr>
              <w:t>货物名称</w:t>
            </w:r>
          </w:p>
        </w:tc>
        <w:tc>
          <w:tcPr>
            <w:tcW w:w="3060" w:type="dxa"/>
            <w:tcBorders>
              <w:top w:val="single" w:color="000000" w:sz="4" w:space="0"/>
              <w:left w:val="single" w:color="000000" w:sz="4" w:space="0"/>
              <w:bottom w:val="single" w:color="000000" w:sz="4" w:space="0"/>
              <w:right w:val="single" w:color="000000" w:sz="4" w:space="0"/>
            </w:tcBorders>
            <w:noWrap/>
            <w:vAlign w:val="center"/>
          </w:tcPr>
          <w:p w14:paraId="639394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 xml:space="preserve">规格尺寸 </w:t>
            </w:r>
          </w:p>
          <w:p w14:paraId="66556C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(mm)</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72C66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sz w:val="24"/>
                <w:szCs w:val="24"/>
                <w:highlight w:val="none"/>
                <w:u w:val="none"/>
              </w:rPr>
            </w:pPr>
            <w:r>
              <w:rPr>
                <w:rFonts w:hint="eastAsia" w:ascii="仿宋" w:hAnsi="仿宋" w:eastAsia="仿宋" w:cs="仿宋"/>
                <w:i w:val="0"/>
                <w:iCs w:val="0"/>
                <w:strike w:val="0"/>
                <w:dstrike w:val="0"/>
                <w:color w:val="000000"/>
                <w:kern w:val="0"/>
                <w:sz w:val="24"/>
                <w:szCs w:val="24"/>
                <w:highlight w:val="none"/>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noWrap/>
            <w:vAlign w:val="center"/>
          </w:tcPr>
          <w:p w14:paraId="419114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单位</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78BF7F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金额</w:t>
            </w:r>
          </w:p>
          <w:p w14:paraId="3287EE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（元）</w:t>
            </w:r>
          </w:p>
        </w:tc>
      </w:tr>
      <w:tr w14:paraId="1E8267CB">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317E00F4">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53AFCF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电磁双头大炒灶</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4D59F3CB">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≥2000*1100*800+400，功率:20KW*2/380V（具体参数见附件）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309849F9">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sz w:val="24"/>
                <w:szCs w:val="24"/>
                <w:highlight w:val="none"/>
                <w:u w:val="none"/>
                <w:lang w:val="en-US" w:eastAsia="zh-CN"/>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030B7E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565C8769">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3F2F2CD1">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7AE30872">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1F9ACC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电磁小炒炉</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0D2FFAC1">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≥1000*1100*800+400，功率:15kW/380V（具体参数见附件）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46879D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525E21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26D4B03C">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1EABC86">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178A0DBE">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1A75AA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电磁低汤炉</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49DA6FF9">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≥700*800*600+600，功率:15KW/380V（具体参数见附件）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24D60BD">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74090E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台</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582768FE">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2C61BF9F">
        <w:tblPrEx>
          <w:tblCellMar>
            <w:top w:w="0" w:type="dxa"/>
            <w:left w:w="108" w:type="dxa"/>
            <w:bottom w:w="0" w:type="dxa"/>
            <w:right w:w="108" w:type="dxa"/>
          </w:tblCellMar>
        </w:tblPrEx>
        <w:trPr>
          <w:trHeight w:val="529" w:hRule="atLeast"/>
          <w:jc w:val="center"/>
        </w:trPr>
        <w:tc>
          <w:tcPr>
            <w:tcW w:w="567" w:type="dxa"/>
            <w:tcBorders>
              <w:top w:val="single" w:color="000000" w:sz="4" w:space="0"/>
              <w:left w:val="single" w:color="000000" w:sz="4" w:space="0"/>
              <w:bottom w:val="single" w:color="000000" w:sz="4" w:space="0"/>
              <w:right w:val="single" w:color="000000" w:sz="4" w:space="0"/>
            </w:tcBorders>
            <w:noWrap/>
            <w:vAlign w:val="center"/>
          </w:tcPr>
          <w:p w14:paraId="1E75C8C6">
            <w:pPr>
              <w:keepNext w:val="0"/>
              <w:keepLines w:val="0"/>
              <w:pageBreakBefore w:val="0"/>
              <w:widowControl/>
              <w:numPr>
                <w:ilvl w:val="0"/>
                <w:numId w:val="7"/>
              </w:numPr>
              <w:suppressLineNumbers w:val="0"/>
              <w:kinsoku/>
              <w:wordWrap/>
              <w:overflowPunct/>
              <w:topLinePunct w:val="0"/>
              <w:autoSpaceDE/>
              <w:autoSpaceDN/>
              <w:bidi w:val="0"/>
              <w:adjustRightInd/>
              <w:snapToGrid/>
              <w:ind w:left="425" w:leftChars="0" w:hanging="425" w:firstLineChars="0"/>
              <w:jc w:val="center"/>
              <w:textAlignment w:val="center"/>
              <w:rPr>
                <w:rFonts w:hint="eastAsia" w:ascii="仿宋" w:hAnsi="仿宋" w:eastAsia="仿宋" w:cs="仿宋"/>
                <w:i w:val="0"/>
                <w:iCs w:val="0"/>
                <w:strike w:val="0"/>
                <w:dstrike w:val="0"/>
                <w:color w:val="000000"/>
                <w:kern w:val="0"/>
                <w:sz w:val="24"/>
                <w:szCs w:val="24"/>
                <w:u w:val="none"/>
                <w:lang w:val="en-US" w:eastAsia="zh-CN" w:bidi="ar"/>
              </w:rPr>
            </w:pPr>
          </w:p>
        </w:tc>
        <w:tc>
          <w:tcPr>
            <w:tcW w:w="2386" w:type="dxa"/>
            <w:tcBorders>
              <w:top w:val="single" w:color="000000" w:sz="4" w:space="0"/>
              <w:left w:val="single" w:color="000000" w:sz="4" w:space="0"/>
              <w:bottom w:val="single" w:color="000000" w:sz="4" w:space="0"/>
              <w:right w:val="single" w:color="000000" w:sz="4" w:space="0"/>
            </w:tcBorders>
            <w:noWrap w:val="0"/>
            <w:vAlign w:val="center"/>
          </w:tcPr>
          <w:p w14:paraId="1FFBBB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配电箱及电源进线</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01174B9">
            <w:pPr>
              <w:keepNext w:val="0"/>
              <w:keepLines w:val="0"/>
              <w:widowControl/>
              <w:suppressLineNumbers w:val="0"/>
              <w:jc w:val="left"/>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304不锈钢材质，厚度≥1.2mm，防水等级IP55（具体参数见附件）</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24863D0A">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14:paraId="171287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套</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14:paraId="2086200F">
            <w:pPr>
              <w:keepNext w:val="0"/>
              <w:keepLines w:val="0"/>
              <w:widowControl/>
              <w:suppressLineNumbers w:val="0"/>
              <w:jc w:val="center"/>
              <w:textAlignment w:val="center"/>
              <w:rPr>
                <w:rFonts w:hint="eastAsia" w:ascii="仿宋" w:hAnsi="仿宋" w:eastAsia="仿宋" w:cs="仿宋"/>
                <w:i w:val="0"/>
                <w:iCs w:val="0"/>
                <w:strike w:val="0"/>
                <w:dstrike w:val="0"/>
                <w:color w:val="000000"/>
                <w:kern w:val="0"/>
                <w:sz w:val="24"/>
                <w:szCs w:val="24"/>
                <w:highlight w:val="none"/>
                <w:u w:val="none"/>
                <w:lang w:val="en-US" w:eastAsia="zh-CN" w:bidi="ar"/>
              </w:rPr>
            </w:pPr>
          </w:p>
        </w:tc>
      </w:tr>
      <w:tr w14:paraId="6FC67E84">
        <w:tblPrEx>
          <w:tblCellMar>
            <w:top w:w="0" w:type="dxa"/>
            <w:left w:w="108" w:type="dxa"/>
            <w:bottom w:w="0" w:type="dxa"/>
            <w:right w:w="108" w:type="dxa"/>
          </w:tblCellMar>
        </w:tblPrEx>
        <w:trPr>
          <w:trHeight w:val="529" w:hRule="atLeast"/>
          <w:jc w:val="center"/>
        </w:trPr>
        <w:tc>
          <w:tcPr>
            <w:tcW w:w="9236" w:type="dxa"/>
            <w:gridSpan w:val="6"/>
            <w:tcBorders>
              <w:top w:val="single" w:color="000000" w:sz="4" w:space="0"/>
              <w:left w:val="single" w:color="000000" w:sz="4" w:space="0"/>
              <w:bottom w:val="single" w:color="000000" w:sz="4" w:space="0"/>
              <w:right w:val="single" w:color="000000" w:sz="4" w:space="0"/>
            </w:tcBorders>
            <w:noWrap/>
            <w:vAlign w:val="center"/>
          </w:tcPr>
          <w:p w14:paraId="6D582DEA">
            <w:pPr>
              <w:keepNext w:val="0"/>
              <w:keepLines w:val="0"/>
              <w:widowControl/>
              <w:suppressLineNumbers w:val="0"/>
              <w:jc w:val="left"/>
              <w:textAlignment w:val="center"/>
              <w:rPr>
                <w:rFonts w:hint="default" w:ascii="仿宋" w:hAnsi="仿宋" w:eastAsia="仿宋" w:cs="仿宋"/>
                <w:i w:val="0"/>
                <w:iCs w:val="0"/>
                <w:strike w:val="0"/>
                <w:dstrike w:val="0"/>
                <w:color w:val="000000"/>
                <w:kern w:val="0"/>
                <w:sz w:val="24"/>
                <w:szCs w:val="24"/>
                <w:highlight w:val="none"/>
                <w:u w:val="none"/>
                <w:lang w:val="en-US" w:eastAsia="zh-CN" w:bidi="ar"/>
              </w:rPr>
            </w:pPr>
            <w:r>
              <w:rPr>
                <w:rFonts w:hint="eastAsia" w:ascii="仿宋" w:hAnsi="仿宋" w:eastAsia="仿宋" w:cs="仿宋"/>
                <w:i w:val="0"/>
                <w:iCs w:val="0"/>
                <w:strike w:val="0"/>
                <w:dstrike w:val="0"/>
                <w:color w:val="000000"/>
                <w:kern w:val="0"/>
                <w:sz w:val="24"/>
                <w:szCs w:val="24"/>
                <w:highlight w:val="none"/>
                <w:u w:val="none"/>
                <w:lang w:val="en-US" w:eastAsia="zh-CN" w:bidi="ar"/>
              </w:rPr>
              <w:t>备注：本报价为固定总价，包含旧设备拆除清运、新设备安装调试。针对第4项配电系统，服务方须到现场测量电缆线路及长度，评估施工环境难度。所有因现场实际情况（如距离超预期、施工环境复杂）产生的材料费及人工费均包含在总价中，采购人不再另行支付任何费用。设备详细技术要求见附件五。</w:t>
            </w:r>
          </w:p>
        </w:tc>
      </w:tr>
    </w:tbl>
    <w:p w14:paraId="6FE220FD">
      <w:pPr>
        <w:pStyle w:val="9"/>
        <w:rPr>
          <w:rFonts w:hint="eastAsia" w:ascii="仿宋" w:hAnsi="仿宋" w:eastAsia="仿宋" w:cs="仿宋"/>
          <w:color w:val="auto"/>
        </w:rPr>
      </w:pPr>
    </w:p>
    <w:p w14:paraId="74940A5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rPr>
      </w:pPr>
      <w:r>
        <w:rPr>
          <w:rFonts w:hint="eastAsia" w:ascii="仿宋" w:hAnsi="仿宋" w:eastAsia="仿宋" w:cs="仿宋"/>
          <w:color w:val="auto"/>
          <w:sz w:val="30"/>
          <w:szCs w:val="30"/>
        </w:rPr>
        <w:t>报价如下：（</w:t>
      </w:r>
      <w:r>
        <w:rPr>
          <w:rFonts w:hint="eastAsia" w:ascii="仿宋" w:hAnsi="仿宋" w:eastAsia="仿宋" w:cs="仿宋"/>
          <w:color w:val="auto"/>
          <w:sz w:val="30"/>
          <w:szCs w:val="30"/>
          <w:highlight w:val="none"/>
          <w:lang w:eastAsia="zh-CN"/>
        </w:rPr>
        <w:t>总金额</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lang w:val="en-US" w:eastAsia="zh-CN"/>
        </w:rPr>
        <w:t xml:space="preserve">         </w:t>
      </w:r>
      <w:r>
        <w:rPr>
          <w:rFonts w:hint="eastAsia" w:ascii="仿宋" w:hAnsi="仿宋" w:eastAsia="仿宋" w:cs="仿宋"/>
          <w:color w:val="auto"/>
          <w:sz w:val="30"/>
          <w:szCs w:val="30"/>
        </w:rPr>
        <w:t xml:space="preserve">元，税率为    </w:t>
      </w:r>
      <w:r>
        <w:rPr>
          <w:rFonts w:hint="eastAsia" w:ascii="仿宋" w:hAnsi="仿宋" w:eastAsia="仿宋" w:cs="仿宋"/>
          <w:color w:val="auto"/>
          <w:sz w:val="30"/>
          <w:szCs w:val="30"/>
          <w:lang w:val="en-US" w:eastAsia="zh-CN"/>
        </w:rPr>
        <w:t xml:space="preserve"> </w:t>
      </w:r>
      <w:r>
        <w:rPr>
          <w:rFonts w:hint="eastAsia" w:ascii="仿宋" w:hAnsi="仿宋" w:eastAsia="仿宋" w:cs="仿宋"/>
          <w:color w:val="auto"/>
          <w:sz w:val="30"/>
          <w:szCs w:val="30"/>
        </w:rPr>
        <w:t xml:space="preserve"> %）</w:t>
      </w:r>
    </w:p>
    <w:p w14:paraId="2F5F728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相关要求：</w:t>
      </w:r>
    </w:p>
    <w:p w14:paraId="05375FEF">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firstLine="600" w:firstLineChars="200"/>
        <w:jc w:val="left"/>
        <w:textAlignment w:val="auto"/>
        <w:rPr>
          <w:rFonts w:hint="eastAsia" w:ascii="仿宋" w:hAnsi="仿宋" w:eastAsia="仿宋" w:cs="仿宋"/>
          <w:color w:val="auto"/>
          <w:kern w:val="2"/>
          <w:sz w:val="30"/>
          <w:szCs w:val="30"/>
          <w:highlight w:val="none"/>
        </w:rPr>
      </w:pPr>
      <w:r>
        <w:rPr>
          <w:rFonts w:hint="eastAsia" w:ascii="仿宋" w:hAnsi="仿宋" w:eastAsia="仿宋" w:cs="仿宋"/>
          <w:color w:val="auto"/>
          <w:sz w:val="30"/>
          <w:szCs w:val="30"/>
          <w:lang w:eastAsia="zh-CN"/>
        </w:rPr>
        <w:t>付款方式：</w:t>
      </w:r>
      <w:r>
        <w:rPr>
          <w:rFonts w:hint="eastAsia" w:ascii="仿宋" w:hAnsi="仿宋" w:eastAsia="仿宋" w:cs="仿宋"/>
          <w:color w:val="auto"/>
          <w:sz w:val="30"/>
          <w:szCs w:val="30"/>
          <w:lang w:val="en-US" w:eastAsia="zh-CN"/>
        </w:rPr>
        <w:t>项目完成且经由采购人验收合格后，供货方提供经双方确认的送货清单及等额、合法、有效的增值税专用发票，采购人自收到准确清单和发票且核对无误后，于次二月完成款项支付，若供货方未按时提供发票，或提供的发票不符合税务及采购人财务要求（包括但不限于信息错误、无法认证等），采购人有权顺延付款期限，直至收到合规发票为止。由此产生的付款延迟不视为采购人违约，采购人无需承担任何逾期付款利息或违约责任。供货方需提供两年质保，其履约保证金（合同价的5%）到时（验收合格后）自动转为质保金，质保期从验收合格之日起计算，质保金于质保期满且无未决质量争议后无息退还</w:t>
      </w:r>
      <w:r>
        <w:rPr>
          <w:rFonts w:hint="eastAsia" w:ascii="仿宋" w:hAnsi="仿宋" w:eastAsia="仿宋" w:cs="仿宋"/>
          <w:color w:val="auto"/>
          <w:kern w:val="2"/>
          <w:sz w:val="30"/>
          <w:szCs w:val="30"/>
          <w:highlight w:val="none"/>
          <w:lang w:eastAsia="zh-CN"/>
        </w:rPr>
        <w:t>。</w:t>
      </w:r>
    </w:p>
    <w:p w14:paraId="7D027474">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以上总价应为含税全包价，包括运费、税费等一切费用，发票必须为增值税专用发票。</w:t>
      </w:r>
    </w:p>
    <w:p w14:paraId="719192A6">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t>本次报价为最终投标报价依据。</w:t>
      </w:r>
    </w:p>
    <w:p w14:paraId="706D4B9D">
      <w:pPr>
        <w:keepNext w:val="0"/>
        <w:keepLines w:val="0"/>
        <w:pageBreakBefore w:val="0"/>
        <w:widowControl w:val="0"/>
        <w:numPr>
          <w:ilvl w:val="0"/>
          <w:numId w:val="8"/>
        </w:numPr>
        <w:kinsoku/>
        <w:wordWrap/>
        <w:overflowPunct/>
        <w:topLinePunct w:val="0"/>
        <w:autoSpaceDE/>
        <w:autoSpaceDN/>
        <w:bidi w:val="0"/>
        <w:adjustRightInd/>
        <w:snapToGrid w:val="0"/>
        <w:spacing w:line="360" w:lineRule="auto"/>
        <w:ind w:left="0" w:leftChars="0" w:firstLine="600" w:firstLineChars="200"/>
        <w:jc w:val="left"/>
        <w:textAlignment w:val="auto"/>
        <w:rPr>
          <w:rFonts w:hint="eastAsia" w:ascii="仿宋" w:hAnsi="仿宋" w:eastAsia="仿宋" w:cs="仿宋"/>
          <w:color w:val="auto"/>
          <w:sz w:val="24"/>
          <w:szCs w:val="24"/>
        </w:rPr>
      </w:pPr>
      <w:r>
        <w:rPr>
          <w:rFonts w:hint="eastAsia" w:ascii="仿宋" w:hAnsi="仿宋" w:eastAsia="仿宋" w:cs="仿宋"/>
          <w:color w:val="auto"/>
          <w:sz w:val="30"/>
          <w:szCs w:val="30"/>
          <w:lang w:val="en-US" w:eastAsia="zh-CN"/>
        </w:rPr>
        <w:fldChar w:fldCharType="begin"/>
      </w:r>
      <w:r>
        <w:rPr>
          <w:rFonts w:hint="eastAsia" w:ascii="仿宋" w:hAnsi="仿宋" w:eastAsia="仿宋" w:cs="仿宋"/>
          <w:color w:val="auto"/>
          <w:sz w:val="30"/>
          <w:szCs w:val="30"/>
          <w:lang w:val="en-US" w:eastAsia="zh-CN"/>
        </w:rPr>
        <w:instrText xml:space="preserve"> HYPERLINK "mailto:请于2024年5月17日前将询价表盖章后的电子版发至dzw@sxszsny.com" </w:instrText>
      </w:r>
      <w:r>
        <w:rPr>
          <w:rFonts w:hint="eastAsia" w:ascii="仿宋" w:hAnsi="仿宋" w:eastAsia="仿宋" w:cs="仿宋"/>
          <w:color w:val="auto"/>
          <w:sz w:val="30"/>
          <w:szCs w:val="30"/>
          <w:lang w:val="en-US" w:eastAsia="zh-CN"/>
        </w:rPr>
        <w:fldChar w:fldCharType="separate"/>
      </w:r>
      <w:r>
        <w:rPr>
          <w:rFonts w:hint="eastAsia" w:ascii="仿宋" w:hAnsi="仿宋" w:eastAsia="仿宋" w:cs="仿宋"/>
          <w:color w:val="auto"/>
          <w:sz w:val="30"/>
          <w:szCs w:val="30"/>
          <w:lang w:val="en-US" w:eastAsia="zh-CN"/>
        </w:rPr>
        <w:t>请自接到采购人二次报价通知后30分钟内将二次报价一览表盖章后的电子版发至邮箱dzw@sxszsny.com</w:t>
      </w:r>
      <w:r>
        <w:rPr>
          <w:rFonts w:hint="eastAsia" w:ascii="仿宋" w:hAnsi="仿宋" w:eastAsia="仿宋" w:cs="仿宋"/>
          <w:color w:val="auto"/>
          <w:sz w:val="30"/>
          <w:szCs w:val="30"/>
          <w:lang w:val="en-US" w:eastAsia="zh-CN"/>
        </w:rPr>
        <w:fldChar w:fldCharType="end"/>
      </w:r>
      <w:r>
        <w:rPr>
          <w:rFonts w:hint="eastAsia" w:ascii="仿宋" w:hAnsi="仿宋" w:eastAsia="仿宋" w:cs="仿宋"/>
          <w:color w:val="auto"/>
          <w:sz w:val="30"/>
          <w:szCs w:val="30"/>
          <w:lang w:val="en-US" w:eastAsia="zh-CN"/>
        </w:rPr>
        <w:t>。</w:t>
      </w:r>
      <w:r>
        <w:rPr>
          <w:rFonts w:hint="eastAsia" w:ascii="仿宋" w:hAnsi="仿宋" w:eastAsia="仿宋" w:cs="仿宋"/>
          <w:color w:val="auto"/>
          <w:sz w:val="30"/>
          <w:szCs w:val="30"/>
        </w:rPr>
        <w:tab/>
      </w:r>
      <w:r>
        <w:rPr>
          <w:rFonts w:hint="eastAsia" w:ascii="仿宋" w:hAnsi="仿宋" w:eastAsia="仿宋" w:cs="仿宋"/>
          <w:color w:val="auto"/>
          <w:sz w:val="30"/>
          <w:szCs w:val="30"/>
        </w:rPr>
        <w:tab/>
      </w:r>
    </w:p>
    <w:p w14:paraId="78F5B3D5">
      <w:pPr>
        <w:snapToGrid w:val="0"/>
        <w:ind w:firstLine="480" w:firstLineChars="200"/>
        <w:jc w:val="right"/>
        <w:rPr>
          <w:rFonts w:hint="eastAsia" w:ascii="仿宋" w:hAnsi="仿宋" w:eastAsia="仿宋" w:cs="仿宋"/>
          <w:color w:val="auto"/>
          <w:sz w:val="24"/>
          <w:szCs w:val="24"/>
        </w:rPr>
      </w:pPr>
    </w:p>
    <w:p w14:paraId="1D6DE1CE">
      <w:pPr>
        <w:snapToGrid w:val="0"/>
        <w:ind w:firstLine="480" w:firstLineChars="200"/>
        <w:jc w:val="right"/>
        <w:rPr>
          <w:rFonts w:hint="eastAsia" w:ascii="仿宋" w:hAnsi="仿宋" w:eastAsia="仿宋" w:cs="仿宋"/>
          <w:color w:val="auto"/>
          <w:sz w:val="24"/>
          <w:szCs w:val="24"/>
        </w:rPr>
      </w:pPr>
    </w:p>
    <w:p w14:paraId="7AB185B8">
      <w:pPr>
        <w:snapToGrid w:val="0"/>
        <w:ind w:firstLine="480" w:firstLineChars="200"/>
        <w:jc w:val="right"/>
        <w:rPr>
          <w:rFonts w:hint="eastAsia" w:ascii="仿宋" w:hAnsi="仿宋" w:eastAsia="仿宋" w:cs="仿宋"/>
          <w:color w:val="auto"/>
          <w:sz w:val="24"/>
          <w:szCs w:val="24"/>
        </w:rPr>
      </w:pPr>
      <w:r>
        <w:rPr>
          <w:rFonts w:hint="eastAsia" w:ascii="仿宋" w:hAnsi="仿宋" w:eastAsia="仿宋" w:cs="仿宋"/>
          <w:color w:val="auto"/>
          <w:sz w:val="24"/>
          <w:szCs w:val="24"/>
        </w:rPr>
        <w:t>报价单位名称（公章）：</w:t>
      </w:r>
    </w:p>
    <w:p w14:paraId="1B12D61B">
      <w:pPr>
        <w:wordWrap w:val="0"/>
        <w:snapToGrid w:val="0"/>
        <w:ind w:firstLine="480" w:firstLineChars="200"/>
        <w:jc w:val="right"/>
        <w:rPr>
          <w:rFonts w:hint="eastAsia" w:ascii="仿宋" w:hAnsi="仿宋" w:eastAsia="仿宋" w:cs="仿宋"/>
          <w:color w:val="auto"/>
          <w:sz w:val="24"/>
          <w:szCs w:val="24"/>
          <w:lang w:val="en-US" w:eastAsia="zh-CN"/>
        </w:rPr>
        <w:sectPr>
          <w:pgSz w:w="11906" w:h="16838"/>
          <w:pgMar w:top="1701" w:right="1417" w:bottom="1701" w:left="1417" w:header="851" w:footer="992" w:gutter="0"/>
          <w:cols w:space="0" w:num="1"/>
          <w:rtlGutter w:val="0"/>
          <w:docGrid w:linePitch="312" w:charSpace="0"/>
        </w:sectPr>
      </w:pP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ab/>
      </w:r>
      <w:r>
        <w:rPr>
          <w:rFonts w:hint="eastAsia" w:ascii="仿宋" w:hAnsi="仿宋" w:eastAsia="仿宋" w:cs="仿宋"/>
          <w:color w:val="auto"/>
          <w:sz w:val="24"/>
          <w:szCs w:val="24"/>
        </w:rPr>
        <w:t xml:space="preserve">           </w:t>
      </w:r>
      <w:r>
        <w:rPr>
          <w:rFonts w:hint="default" w:ascii="仿宋" w:hAnsi="仿宋" w:eastAsia="仿宋" w:cs="仿宋"/>
          <w:color w:val="auto"/>
          <w:sz w:val="24"/>
          <w:szCs w:val="24"/>
          <w:lang w:val="en-US"/>
        </w:rPr>
        <w:t>202</w:t>
      </w:r>
      <w:r>
        <w:rPr>
          <w:rFonts w:hint="eastAsia" w:ascii="仿宋" w:hAnsi="仿宋" w:eastAsia="仿宋" w:cs="仿宋"/>
          <w:color w:val="auto"/>
          <w:sz w:val="24"/>
          <w:szCs w:val="24"/>
          <w:lang w:val="en-US" w:eastAsia="zh-CN"/>
        </w:rPr>
        <w:t>6</w:t>
      </w:r>
      <w:r>
        <w:rPr>
          <w:rFonts w:hint="default" w:ascii="仿宋" w:hAnsi="仿宋" w:eastAsia="仿宋" w:cs="仿宋"/>
          <w:color w:val="auto"/>
          <w:sz w:val="24"/>
          <w:szCs w:val="24"/>
          <w:lang w:val="en-US"/>
        </w:rPr>
        <w:t>年</w:t>
      </w:r>
      <w:r>
        <w:rPr>
          <w:rFonts w:hint="eastAsia" w:ascii="仿宋" w:hAnsi="仿宋" w:eastAsia="仿宋" w:cs="仿宋"/>
          <w:color w:val="auto"/>
          <w:sz w:val="24"/>
          <w:szCs w:val="24"/>
        </w:rPr>
        <w:t xml:space="preserve"> 月</w:t>
      </w:r>
      <w:r>
        <w:rPr>
          <w:rFonts w:hint="eastAsia" w:ascii="仿宋" w:hAnsi="仿宋" w:eastAsia="仿宋" w:cs="仿宋"/>
          <w:color w:val="auto"/>
          <w:sz w:val="24"/>
          <w:szCs w:val="24"/>
          <w:lang w:val="en-US" w:eastAsia="zh-CN"/>
        </w:rPr>
        <w:t xml:space="preserve"> 日</w:t>
      </w:r>
    </w:p>
    <w:bookmarkEnd w:id="32"/>
    <w:bookmarkEnd w:id="33"/>
    <w:p w14:paraId="6004A5C2">
      <w:pPr>
        <w:jc w:val="left"/>
        <w:outlineLvl w:val="0"/>
        <w:rPr>
          <w:rStyle w:val="21"/>
          <w:rFonts w:hint="eastAsia" w:ascii="仿宋" w:hAnsi="仿宋" w:eastAsia="仿宋" w:cs="仿宋"/>
          <w:sz w:val="30"/>
        </w:rPr>
      </w:pPr>
      <w:bookmarkStart w:id="34" w:name="_Toc25245"/>
      <w:r>
        <w:rPr>
          <w:rStyle w:val="21"/>
          <w:rFonts w:hint="eastAsia" w:ascii="仿宋" w:hAnsi="仿宋" w:eastAsia="仿宋" w:cs="仿宋"/>
          <w:sz w:val="30"/>
        </w:rPr>
        <w:t>附件</w:t>
      </w:r>
      <w:r>
        <w:rPr>
          <w:rStyle w:val="21"/>
          <w:rFonts w:hint="eastAsia" w:ascii="仿宋" w:hAnsi="仿宋" w:eastAsia="仿宋" w:cs="仿宋"/>
          <w:sz w:val="30"/>
          <w:lang w:val="en-US"/>
        </w:rPr>
        <w:t>四</w:t>
      </w:r>
      <w:r>
        <w:rPr>
          <w:rStyle w:val="21"/>
          <w:rFonts w:hint="eastAsia" w:ascii="仿宋" w:hAnsi="仿宋" w:eastAsia="仿宋" w:cs="仿宋"/>
          <w:sz w:val="30"/>
        </w:rPr>
        <w:t>：</w:t>
      </w:r>
      <w:bookmarkEnd w:id="34"/>
    </w:p>
    <w:p w14:paraId="6DD8282D">
      <w:pPr>
        <w:snapToGrid w:val="0"/>
        <w:ind w:firstLine="1926" w:firstLineChars="600"/>
        <w:jc w:val="left"/>
        <w:rPr>
          <w:rFonts w:hint="eastAsia" w:ascii="仿宋" w:hAnsi="仿宋" w:eastAsia="仿宋" w:cs="仿宋"/>
          <w:b/>
          <w:spacing w:val="40"/>
          <w:sz w:val="24"/>
          <w:szCs w:val="24"/>
        </w:rPr>
      </w:pPr>
    </w:p>
    <w:p w14:paraId="7BE90225">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b/>
          <w:spacing w:val="40"/>
          <w:sz w:val="28"/>
          <w:szCs w:val="28"/>
        </w:rPr>
      </w:pPr>
      <w:r>
        <w:rPr>
          <w:rFonts w:hint="eastAsia" w:ascii="仿宋" w:hAnsi="仿宋" w:eastAsia="仿宋" w:cs="仿宋"/>
          <w:b/>
          <w:spacing w:val="40"/>
          <w:sz w:val="28"/>
          <w:szCs w:val="28"/>
        </w:rPr>
        <w:t>服务质量保证承诺函</w:t>
      </w:r>
    </w:p>
    <w:p w14:paraId="1812399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rPr>
        <w:t>：</w:t>
      </w:r>
    </w:p>
    <w:p w14:paraId="1971B0CA">
      <w:pPr>
        <w:keepNext w:val="0"/>
        <w:keepLines w:val="0"/>
        <w:pageBreakBefore w:val="0"/>
        <w:widowControl w:val="0"/>
        <w:kinsoku/>
        <w:wordWrap/>
        <w:overflowPunct/>
        <w:topLinePunct w:val="0"/>
        <w:autoSpaceDE/>
        <w:autoSpaceDN/>
        <w:bidi w:val="0"/>
        <w:adjustRightInd/>
        <w:snapToGrid w:val="0"/>
        <w:spacing w:line="360" w:lineRule="auto"/>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我公司</w:t>
      </w:r>
      <w:r>
        <w:rPr>
          <w:rFonts w:hint="eastAsia" w:ascii="仿宋" w:hAnsi="仿宋" w:eastAsia="仿宋" w:cs="仿宋"/>
          <w:sz w:val="28"/>
          <w:szCs w:val="28"/>
          <w:u w:val="single"/>
        </w:rPr>
        <w:t xml:space="preserve">    （报价单位名称）    </w:t>
      </w:r>
      <w:r>
        <w:rPr>
          <w:rFonts w:hint="eastAsia" w:ascii="仿宋" w:hAnsi="仿宋" w:eastAsia="仿宋" w:cs="仿宋"/>
          <w:sz w:val="28"/>
          <w:szCs w:val="28"/>
        </w:rPr>
        <w:t>自愿参加</w:t>
      </w:r>
      <w:r>
        <w:rPr>
          <w:rFonts w:hint="eastAsia" w:ascii="仿宋" w:hAnsi="仿宋" w:eastAsia="仿宋" w:cs="仿宋"/>
          <w:sz w:val="28"/>
          <w:szCs w:val="28"/>
          <w:lang w:eastAsia="zh-CN"/>
        </w:rPr>
        <w:t>绍兴市再生能源发展有限公司</w:t>
      </w:r>
      <w:r>
        <w:rPr>
          <w:rFonts w:hint="eastAsia" w:ascii="仿宋" w:hAnsi="仿宋" w:eastAsia="仿宋" w:cs="仿宋"/>
          <w:sz w:val="28"/>
          <w:szCs w:val="28"/>
          <w:u w:val="single"/>
          <w:lang w:val="en-US" w:eastAsia="zh-CN"/>
        </w:rPr>
        <w:t>食堂更换电磁双头大炒灶、电磁小炒炉、电磁低汤炉项目</w:t>
      </w:r>
      <w:r>
        <w:rPr>
          <w:rFonts w:hint="eastAsia" w:ascii="仿宋" w:hAnsi="仿宋" w:eastAsia="仿宋" w:cs="仿宋"/>
          <w:sz w:val="28"/>
          <w:szCs w:val="28"/>
        </w:rPr>
        <w:t>询价采购，并作如下承诺：</w:t>
      </w:r>
    </w:p>
    <w:p w14:paraId="15654916">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我公司所供产品均为原厂生产或正规销售渠道进货。</w:t>
      </w:r>
    </w:p>
    <w:p w14:paraId="495C0D1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560" w:leftChars="0"/>
        <w:textAlignment w:val="auto"/>
        <w:rPr>
          <w:rFonts w:hint="eastAsia" w:ascii="仿宋" w:hAnsi="仿宋" w:eastAsia="仿宋" w:cs="仿宋"/>
          <w:sz w:val="28"/>
          <w:szCs w:val="28"/>
        </w:rPr>
      </w:pPr>
      <w:r>
        <w:rPr>
          <w:rFonts w:hint="eastAsia" w:ascii="仿宋" w:hAnsi="仿宋" w:eastAsia="仿宋" w:cs="仿宋"/>
          <w:sz w:val="28"/>
          <w:szCs w:val="28"/>
        </w:rPr>
        <w:t>2.我公司所供产品如果存在以次充好、陈货杂货、虚假生产日期、逾期供货等情况，愿意承担一切法律责任。</w:t>
      </w:r>
    </w:p>
    <w:p w14:paraId="6DBA28D0">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3.我公司所供产品如果存在任何外包装或内物破损、产品过期等情况，承诺24小时内提供替换产品。</w:t>
      </w:r>
    </w:p>
    <w:p w14:paraId="7B084CC6">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我公司保证提供采购人要求的全部产品，若提供的产品和采购人要求的不一致，我公司保证于3日内提供生产厂家证明及市场调查证明，说明所提供货物优于采购人要求。若采购人不同意，则我公司愿意承担相关违约责任。</w:t>
      </w:r>
    </w:p>
    <w:p w14:paraId="3A206B24">
      <w:pPr>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5.我公司对提供的产品进行质量保证，若因我公司产品质量问题，造成贵公司损失的，我公司承担相应责任。</w:t>
      </w:r>
    </w:p>
    <w:p w14:paraId="2674FC0B">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73C443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cs="仿宋"/>
          <w:sz w:val="28"/>
          <w:szCs w:val="28"/>
        </w:rPr>
      </w:pPr>
    </w:p>
    <w:p w14:paraId="145A857D">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p>
    <w:p w14:paraId="3F739F22">
      <w:pPr>
        <w:keepNext w:val="0"/>
        <w:keepLines w:val="0"/>
        <w:pageBreakBefore w:val="0"/>
        <w:widowControl w:val="0"/>
        <w:kinsoku/>
        <w:wordWrap/>
        <w:overflowPunct/>
        <w:topLinePunct w:val="0"/>
        <w:autoSpaceDE/>
        <w:autoSpaceDN/>
        <w:bidi w:val="0"/>
        <w:adjustRightInd/>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z w:val="28"/>
          <w:szCs w:val="28"/>
        </w:rPr>
        <w:t>报价单位名称（公章）：</w:t>
      </w:r>
    </w:p>
    <w:p w14:paraId="5C2C94E1">
      <w:pPr>
        <w:pStyle w:val="12"/>
        <w:numPr>
          <w:ilvl w:val="0"/>
          <w:numId w:val="0"/>
        </w:numPr>
        <w:rPr>
          <w:rFonts w:hint="eastAsia" w:ascii="仿宋" w:hAnsi="仿宋" w:eastAsia="仿宋" w:cs="仿宋"/>
          <w:sz w:val="28"/>
          <w:szCs w:val="28"/>
        </w:rPr>
      </w:pP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ab/>
      </w:r>
      <w:r>
        <w:rPr>
          <w:rFonts w:hint="eastAsia" w:ascii="仿宋" w:hAnsi="仿宋" w:eastAsia="仿宋" w:cs="仿宋"/>
          <w:sz w:val="28"/>
          <w:szCs w:val="28"/>
        </w:rPr>
        <w:tab/>
      </w:r>
      <w:r>
        <w:rPr>
          <w:rFonts w:hint="eastAsia" w:ascii="仿宋" w:hAnsi="仿宋" w:eastAsia="仿宋" w:cs="仿宋"/>
          <w:sz w:val="28"/>
          <w:szCs w:val="28"/>
          <w:lang w:eastAsia="zh-CN"/>
        </w:rPr>
        <w:t>二〇二六</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日</w:t>
      </w:r>
    </w:p>
    <w:p w14:paraId="5DD69C7E">
      <w:pPr>
        <w:pStyle w:val="12"/>
        <w:numPr>
          <w:ilvl w:val="0"/>
          <w:numId w:val="0"/>
        </w:numPr>
        <w:rPr>
          <w:rFonts w:hint="eastAsia" w:ascii="仿宋" w:hAnsi="仿宋" w:eastAsia="仿宋" w:cs="仿宋"/>
          <w:sz w:val="28"/>
          <w:szCs w:val="28"/>
        </w:rPr>
      </w:pPr>
    </w:p>
    <w:p w14:paraId="2655400A">
      <w:pPr>
        <w:pStyle w:val="12"/>
        <w:numPr>
          <w:ilvl w:val="0"/>
          <w:numId w:val="0"/>
        </w:numPr>
        <w:rPr>
          <w:rFonts w:hint="eastAsia" w:ascii="仿宋" w:hAnsi="仿宋" w:eastAsia="仿宋" w:cs="仿宋"/>
          <w:sz w:val="28"/>
          <w:szCs w:val="28"/>
        </w:rPr>
      </w:pPr>
    </w:p>
    <w:p w14:paraId="353A08CA">
      <w:pPr>
        <w:jc w:val="left"/>
        <w:outlineLvl w:val="0"/>
        <w:rPr>
          <w:rStyle w:val="21"/>
          <w:rFonts w:hint="eastAsia" w:ascii="仿宋" w:hAnsi="仿宋" w:eastAsia="仿宋" w:cs="仿宋"/>
          <w:sz w:val="30"/>
        </w:rPr>
      </w:pPr>
      <w:bookmarkStart w:id="35" w:name="_Toc14829"/>
      <w:r>
        <w:rPr>
          <w:rStyle w:val="21"/>
          <w:rFonts w:hint="eastAsia" w:ascii="仿宋" w:hAnsi="仿宋" w:eastAsia="仿宋" w:cs="仿宋"/>
          <w:sz w:val="30"/>
        </w:rPr>
        <w:t>附件</w:t>
      </w:r>
      <w:r>
        <w:rPr>
          <w:rStyle w:val="21"/>
          <w:rFonts w:hint="eastAsia" w:ascii="仿宋" w:hAnsi="仿宋" w:eastAsia="仿宋" w:cs="仿宋"/>
          <w:sz w:val="30"/>
          <w:lang w:val="en-US"/>
        </w:rPr>
        <w:t>五</w:t>
      </w:r>
      <w:r>
        <w:rPr>
          <w:rStyle w:val="21"/>
          <w:rFonts w:hint="eastAsia" w:ascii="仿宋" w:hAnsi="仿宋" w:eastAsia="仿宋" w:cs="仿宋"/>
          <w:sz w:val="30"/>
        </w:rPr>
        <w:t>：</w:t>
      </w:r>
      <w:bookmarkEnd w:id="35"/>
    </w:p>
    <w:p w14:paraId="30A9D9AF">
      <w:pPr>
        <w:snapToGrid w:val="0"/>
        <w:ind w:firstLine="2167" w:firstLineChars="600"/>
        <w:jc w:val="left"/>
        <w:rPr>
          <w:rFonts w:hint="eastAsia" w:ascii="仿宋" w:hAnsi="仿宋" w:eastAsia="仿宋" w:cs="仿宋"/>
          <w:b/>
          <w:spacing w:val="40"/>
          <w:sz w:val="28"/>
          <w:szCs w:val="28"/>
          <w:lang w:val="en-US" w:eastAsia="zh-CN"/>
        </w:rPr>
      </w:pPr>
      <w:r>
        <w:rPr>
          <w:rFonts w:hint="eastAsia" w:ascii="仿宋" w:hAnsi="仿宋" w:eastAsia="仿宋" w:cs="仿宋"/>
          <w:b/>
          <w:spacing w:val="40"/>
          <w:sz w:val="28"/>
          <w:szCs w:val="28"/>
          <w:lang w:val="en-US" w:eastAsia="zh-CN"/>
        </w:rPr>
        <w:t>设备采购清单及技术参数要求</w:t>
      </w:r>
    </w:p>
    <w:p w14:paraId="67C3B604">
      <w:pPr>
        <w:pStyle w:val="12"/>
        <w:numPr>
          <w:ilvl w:val="0"/>
          <w:numId w:val="0"/>
        </w:numPr>
        <w:ind w:firstLine="564" w:firstLineChars="200"/>
        <w:rPr>
          <w:rFonts w:hint="eastAsia" w:ascii="仿宋" w:hAnsi="仿宋" w:eastAsia="仿宋" w:cs="仿宋"/>
          <w:spacing w:val="1"/>
          <w:highlight w:val="none"/>
          <w:lang w:val="en-US" w:eastAsia="zh-CN"/>
        </w:rPr>
      </w:pPr>
    </w:p>
    <w:p w14:paraId="6045BE6D">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电磁双头大炒灶一台</w:t>
      </w:r>
    </w:p>
    <w:p w14:paraId="2FAD0BAA">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1、规格：≥2000*1100*800+400，功率:20KW*2/380V。</w:t>
      </w:r>
    </w:p>
    <w:p w14:paraId="101C23FE">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2、材质：全优质不锈钢板材，耐腐蚀，食品级SUS409锅具材质，锅径800mm，炉面板厚度1.2mm，其他侧板厚度1.0mm。</w:t>
      </w:r>
    </w:p>
    <w:p w14:paraId="400E149A">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3、台面炮台采用拉伸成型技术，IPX4标准防水设计。</w:t>
      </w:r>
    </w:p>
    <w:p w14:paraId="6DE5D5AD">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4、8档360度旋转无级变速档位火力开关配置。</w:t>
      </w:r>
    </w:p>
    <w:p w14:paraId="454EBCA2">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5、LED数码显示屏，仿真火力显示，实时显示功率、当前火力档位。</w:t>
      </w:r>
    </w:p>
    <w:p w14:paraId="1A5DB7CC">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6、自主研发物联数字机芯，足功率机芯配置，采用高速数字处理器，≧25项智能保护功能，采用紫铜搭桥技术方案。</w:t>
      </w:r>
    </w:p>
    <w:p w14:paraId="47529645">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7、一级能效/热效率≧94%，具有中国能效标识。</w:t>
      </w:r>
    </w:p>
    <w:p w14:paraId="0021D35A">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8、手机微信小程序搭载物联网技术功能，具有设备分组、设备状态显示、用电量统计、设备状态信息、设备故障提醒功能等。</w:t>
      </w:r>
    </w:p>
    <w:p w14:paraId="2898AED5">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★1、所投产品依据GB 40876-2021《商用电磁灶能效限定值及能效等级》标准要求进行热效率检测，热效率实测值≥94%，产品能效等级为1级。</w:t>
      </w:r>
    </w:p>
    <w:p w14:paraId="6CBA2CC6">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★2、所投产品依据GB 4806.9-2023产品标准和技术要求进行试验，具备食品接触产品安全认证证书；产品依据GB/T 10125-2021、GB/T6461-2002产品标准和技术要求进行试验，具备防腐蚀等级10级认证证书。</w:t>
      </w:r>
    </w:p>
    <w:p w14:paraId="4A8CD97A">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★3、所投产品生产企业有电磁灶生产许可，提供生产企业全国工业生产许可证。</w:t>
      </w:r>
    </w:p>
    <w:p w14:paraId="04171A87">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电磁小炒炉一台</w:t>
      </w:r>
    </w:p>
    <w:p w14:paraId="692997D3">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1、规格：≥1000*1100*800+400，功率:15kW/380V。</w:t>
      </w:r>
    </w:p>
    <w:p w14:paraId="41D0A545">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2、材质：优质不锈钢板材，耐腐蚀，炉面板厚度1.2mm，其他侧板厚度1.0mm。</w:t>
      </w:r>
    </w:p>
    <w:p w14:paraId="002EFA84">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3、台面炮台采用拉伸成型技术，IPX4标准防水设计。</w:t>
      </w:r>
    </w:p>
    <w:p w14:paraId="73A6EC38">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4、配φ400微晶锅，φ500不锈钢SUS409材质双耳炒锅，8档360度旋转无级变速档位火力开关配置。</w:t>
      </w:r>
    </w:p>
    <w:p w14:paraId="1CF50356">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5、LED数码显示屏，仿真火力显示，实时显示功率、当前火力档位。</w:t>
      </w:r>
    </w:p>
    <w:p w14:paraId="6F5B76FC">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6、自主研发物联数字机芯，足功率机芯配置，采用高速数字处理器，≧25项智能保护功能，采用紫铜搭桥技术方案。</w:t>
      </w:r>
    </w:p>
    <w:p w14:paraId="04B46E9B">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7、一级能效/热效率≧92%，具有中国能效标识。</w:t>
      </w:r>
    </w:p>
    <w:p w14:paraId="6CC4765F">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8、手机微信小程序搭载物联网技术功能，具有设备分组、设备状态显示、用电量统计、设备状态信息、设备故障提醒功能等。</w:t>
      </w:r>
    </w:p>
    <w:p w14:paraId="314B4913">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★1、所投产品依据GB 40876-2021《商用电磁灶能效限定值及能效等级》标准要求进行热效率检测，热效率实测值≥92%，产品能效等级为1级。</w:t>
      </w:r>
    </w:p>
    <w:p w14:paraId="43AA8D82">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★2、所投产品依据GB 4806.9-2023产品标准和技术要求进行试验，具备食品接触产品安全认证证书；产品依据GB/T 10125-2021、GB/T6461-2002产品标准和技术要求进行试验，具备防腐蚀等级10级认证证书。</w:t>
      </w:r>
    </w:p>
    <w:p w14:paraId="2E93D4CD">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3、所投产品依据QB/T4499-2023《商用电磁灶》标准进行试验且试验结果均符合要求：①连续工作时间≥14h后，电磁灶能正常工作。②产品高低压试验后，在标准测试状态下，电磁灶应能正常工作，其功率偏差不应超过额定功率的±10%。③抛锅过程中的电磁灶平均功率不应低于额定功率的50%。④自动待机性能：在标准测试状态下进行试验，电磁灶从工作状态转换成待机状态的时间应&lt;2min。⑤待机功率：电磁灶的待机功率应＜10W⑥输入功率的偏差不应超过额定输入功率的±10%⑦经湿热试验后，电磁灶应能正常工作，其功率偏差不应超过额定功率的±10%。⑧经高温试验后，电磁灶应能正常工作，其试验后样机能正常工作。功率偏差不应超过额定功率的±10%⑨电磁辐射所有测量点的W值不应超过20%。</w:t>
      </w:r>
    </w:p>
    <w:p w14:paraId="11AB313C">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★4、所投产品生产企业有电磁灶生产许可，提供生产企业全国工业生产许可证。</w:t>
      </w:r>
    </w:p>
    <w:p w14:paraId="3EE181AA">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电磁低汤炉一台</w:t>
      </w:r>
    </w:p>
    <w:p w14:paraId="4FD76D61">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1、规格:≥700*800*600+600，功率:15KW/380V。</w:t>
      </w:r>
    </w:p>
    <w:p w14:paraId="1DDE69A5">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2、材质：优质不锈钢板材，耐腐蚀，炉面板厚度1.2mm，其他侧板厚度1.0mm。</w:t>
      </w:r>
    </w:p>
    <w:p w14:paraId="4D7B48CE">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3、加厚微晶板，采用柔性固定及下沉设计，有效防止冲击导致微晶板破裂。</w:t>
      </w:r>
    </w:p>
    <w:p w14:paraId="38250927">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4、配φ500*500mm食品级不锈钢复合底汤桶，8档360度旋转无级变速档位火力开关配置。</w:t>
      </w:r>
    </w:p>
    <w:p w14:paraId="7AD20E18">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5、LED数码显示屏，仿真火力显示，实时显示功率、当前火力档位。</w:t>
      </w:r>
    </w:p>
    <w:p w14:paraId="5B286131">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6、自主研发物联数字机芯，足功率机芯配置，采用高速数字处理器，≧25项智能保护功能，采用紫铜搭桥技术方案。</w:t>
      </w:r>
    </w:p>
    <w:p w14:paraId="55791A64">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7、一级能效/热效率≧92%，具有中国能效标识。</w:t>
      </w:r>
    </w:p>
    <w:p w14:paraId="171D198C">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8、手机微信小程序搭载物联网技术功能，具有设备分组、设备状态显示、用电量统计、设备状态信息、设备故障提醒功能等。</w:t>
      </w:r>
    </w:p>
    <w:p w14:paraId="7B2BB2CF">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★1、所投产品依据GB 40876-2021《商用电磁灶能效限定值及能效等级》标准要求进行热效率检测，热效率实测值≥92%，产品能效等级为1级。</w:t>
      </w:r>
    </w:p>
    <w:p w14:paraId="5369DE5A">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★2、所投产品依据GB 4806.9-2023产品标准和技术要求进行试验，具备食品接触产品安全认证证书；产品依据GB/T 10125-2021、GB/T6461-2002产品标准和技术要求进行试验，具备防腐蚀等级10级认证证书。</w:t>
      </w:r>
    </w:p>
    <w:p w14:paraId="4EC7A058">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3、所投产品依据QB/T4499-2023《商用电磁灶》标准进行试验且试验结果均符合要求：①连续工作时间≥14h后，电磁灶能正常工作。②产品高低压试验后，在标准测试状态下，电磁灶应能正常工作，其功率偏差不应超过额定功率的±5%。③平灶锅具的偏置不应影响其性能，不应出现故障。试验后，在标准测试状态下,其功率偏差不应超过额定功率的±10%。④自动待机性能：在标准测试状态下进行试验，电磁灶从工作状态转换成待机状态的时间应&lt;2min。⑤待机功率：电磁灶的待机功率应＜10W⑥输入功率的偏差不应超过额定输入功率的±10%⑦经湿热试验后，电磁灶应能正常工作，其功率偏差不应超过额定功率的±10%。⑧经高温试验后，电磁灶应能正常工作，其试验后样机能正常工作。功率偏差不应超过额定功率的±5%⑨电磁辐射所有测量点的W值不应超过20%。</w:t>
      </w:r>
    </w:p>
    <w:p w14:paraId="681B39FD">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★4、所投产品生产企业有电磁灶生产许可，提供生产企业全国工业生产许可证。</w:t>
      </w:r>
    </w:p>
    <w:p w14:paraId="51B53A2F">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配电箱及电源进线</w:t>
      </w:r>
    </w:p>
    <w:p w14:paraId="570ED61E">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·配电箱及电源进线</w:t>
      </w:r>
    </w:p>
    <w:p w14:paraId="61A65870">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①配电箱采用304不锈钢材质，厚度≥1.2mm，内外喷防腐防油涂层，橡胶胶条密封。</w:t>
      </w:r>
    </w:p>
    <w:p w14:paraId="4FDC94F0">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②室内挂墙安装，底部电缆进出线。双层门，防水等级IP55.</w:t>
      </w:r>
    </w:p>
    <w:p w14:paraId="43CA801F">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③总进线开关按电磁双头大炒锅+电磁小炒锅+电磁汤锅+备用（15kW）总和的1.25倍配置，可选择In≥200A开关；出线开关按对应负载1.25倍配置。出线开关全部带漏电保护，强制漏电30mA/0.1S。</w:t>
      </w:r>
    </w:p>
    <w:p w14:paraId="1AA8CB94">
      <w:pPr>
        <w:pStyle w:val="12"/>
        <w:numPr>
          <w:ilvl w:val="0"/>
          <w:numId w:val="0"/>
        </w:numPr>
        <w:ind w:firstLine="564" w:firstLineChars="200"/>
        <w:rPr>
          <w:rFonts w:hint="eastAsia" w:ascii="仿宋" w:hAnsi="仿宋" w:eastAsia="仿宋" w:cs="仿宋"/>
          <w:spacing w:val="1"/>
          <w:highlight w:val="none"/>
          <w:lang w:val="en-US" w:eastAsia="zh-CN"/>
        </w:rPr>
      </w:pPr>
      <w:r>
        <w:rPr>
          <w:rFonts w:hint="eastAsia" w:ascii="仿宋" w:hAnsi="仿宋" w:eastAsia="仿宋" w:cs="仿宋"/>
          <w:spacing w:val="1"/>
          <w:highlight w:val="none"/>
          <w:lang w:val="en-US" w:eastAsia="zh-CN"/>
        </w:rPr>
        <w:t>④进线电缆选择YJV-0.6/1kV 3*70+2*35，由综合楼配电室走竖井，穿墙外敷设进厨房，长度约78米（电缆敷设路径实测为准）。</w:t>
      </w:r>
    </w:p>
    <w:p w14:paraId="56C0FBE4">
      <w:pPr>
        <w:pStyle w:val="12"/>
        <w:numPr>
          <w:ilvl w:val="0"/>
          <w:numId w:val="0"/>
        </w:numPr>
        <w:ind w:firstLine="564" w:firstLineChars="200"/>
        <w:rPr>
          <w:rFonts w:hint="eastAsia"/>
        </w:rPr>
      </w:pPr>
      <w:r>
        <w:rPr>
          <w:rFonts w:hint="eastAsia" w:ascii="仿宋" w:hAnsi="仿宋" w:eastAsia="仿宋" w:cs="仿宋"/>
          <w:spacing w:val="1"/>
          <w:highlight w:val="none"/>
          <w:lang w:val="en-US" w:eastAsia="zh-CN"/>
        </w:rPr>
        <w:t>⑤支路出线电缆，双头大炒锅选3*16+2*10，总长度约14.5米，其他用3*10+2*6，总长度约14.5米，（电缆敷设路径实测为准）。⑥桥架150*100mm，总长度约29米配套支架9个（，一个弯头按一米计算，桥架、支架敷设路径实测为准）。⑦石膏板吊顶拆除及修复3处（3个位置）、水钻开洞及修复三处（3面墙）。</w:t>
      </w:r>
    </w:p>
    <w:sectPr>
      <w:pgSz w:w="11906" w:h="16838"/>
      <w:pgMar w:top="1701" w:right="1418" w:bottom="113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DDD0A">
    <w:pPr>
      <w:pStyle w:val="7"/>
      <w:framePr w:wrap="around" w:vAnchor="text" w:hAnchor="margin" w:xAlign="center" w:y="1"/>
      <w:rPr>
        <w:rStyle w:val="16"/>
      </w:rPr>
    </w:pPr>
    <w:r>
      <w:fldChar w:fldCharType="begin"/>
    </w:r>
    <w:r>
      <w:rPr>
        <w:rStyle w:val="16"/>
      </w:rPr>
      <w:instrText xml:space="preserve">PAGE  </w:instrText>
    </w:r>
    <w:r>
      <w:fldChar w:fldCharType="separate"/>
    </w:r>
    <w:r>
      <w:rPr>
        <w:rStyle w:val="16"/>
      </w:rPr>
      <w:t>10</w:t>
    </w:r>
    <w:r>
      <w:fldChar w:fldCharType="end"/>
    </w:r>
  </w:p>
  <w:p w14:paraId="2963489C">
    <w:pPr>
      <w:pStyle w:val="7"/>
      <w:jc w:val="right"/>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DD0A"/>
    <w:multiLevelType w:val="singleLevel"/>
    <w:tmpl w:val="8ACADD0A"/>
    <w:lvl w:ilvl="0" w:tentative="0">
      <w:start w:val="1"/>
      <w:numFmt w:val="decimal"/>
      <w:suff w:val="nothing"/>
      <w:lvlText w:val="%1、"/>
      <w:lvlJc w:val="left"/>
    </w:lvl>
  </w:abstractNum>
  <w:abstractNum w:abstractNumId="1">
    <w:nsid w:val="AF736AE0"/>
    <w:multiLevelType w:val="singleLevel"/>
    <w:tmpl w:val="AF736AE0"/>
    <w:lvl w:ilvl="0" w:tentative="0">
      <w:start w:val="1"/>
      <w:numFmt w:val="decimal"/>
      <w:suff w:val="nothing"/>
      <w:lvlText w:val="%1"/>
      <w:lvlJc w:val="left"/>
      <w:pPr>
        <w:ind w:left="635" w:leftChars="0" w:hanging="425" w:firstLineChars="0"/>
      </w:pPr>
      <w:rPr>
        <w:rFonts w:hint="default"/>
      </w:rPr>
    </w:lvl>
  </w:abstractNum>
  <w:abstractNum w:abstractNumId="2">
    <w:nsid w:val="BB39A8A5"/>
    <w:multiLevelType w:val="singleLevel"/>
    <w:tmpl w:val="BB39A8A5"/>
    <w:lvl w:ilvl="0" w:tentative="0">
      <w:start w:val="4"/>
      <w:numFmt w:val="chineseCounting"/>
      <w:suff w:val="space"/>
      <w:lvlText w:val="第%1部分"/>
      <w:lvlJc w:val="left"/>
      <w:pPr>
        <w:ind w:left="840"/>
      </w:pPr>
      <w:rPr>
        <w:rFonts w:hint="eastAsia"/>
      </w:rPr>
    </w:lvl>
  </w:abstractNum>
  <w:abstractNum w:abstractNumId="3">
    <w:nsid w:val="00000020"/>
    <w:multiLevelType w:val="multilevel"/>
    <w:tmpl w:val="00000020"/>
    <w:lvl w:ilvl="0" w:tentative="0">
      <w:start w:val="1"/>
      <w:numFmt w:val="decimal"/>
      <w:pStyle w:val="2"/>
      <w:isLgl/>
      <w:lvlText w:val="%1."/>
      <w:lvlJc w:val="left"/>
      <w:pPr>
        <w:tabs>
          <w:tab w:val="left" w:pos="360"/>
        </w:tabs>
        <w:ind w:left="0" w:firstLine="0"/>
      </w:pPr>
      <w:rPr>
        <w:rFonts w:hint="default" w:ascii="Arial" w:hAnsi="Arial"/>
        <w:b/>
        <w:i w:val="0"/>
        <w:sz w:val="32"/>
      </w:rPr>
    </w:lvl>
    <w:lvl w:ilvl="1" w:tentative="0">
      <w:start w:val="1"/>
      <w:numFmt w:val="decimal"/>
      <w:lvlText w:val="%1.%2."/>
      <w:lvlJc w:val="left"/>
      <w:pPr>
        <w:tabs>
          <w:tab w:val="left" w:pos="720"/>
        </w:tabs>
        <w:ind w:left="567" w:hanging="567"/>
      </w:pPr>
      <w:rPr>
        <w:rFonts w:hint="eastAsia"/>
      </w:rPr>
    </w:lvl>
    <w:lvl w:ilvl="2" w:tentative="0">
      <w:start w:val="1"/>
      <w:numFmt w:val="decimal"/>
      <w:lvlText w:val="%1.%2.%3."/>
      <w:lvlJc w:val="left"/>
      <w:pPr>
        <w:tabs>
          <w:tab w:val="left" w:pos="1429"/>
        </w:tabs>
        <w:ind w:left="142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05AF6242"/>
    <w:multiLevelType w:val="singleLevel"/>
    <w:tmpl w:val="05AF6242"/>
    <w:lvl w:ilvl="0" w:tentative="0">
      <w:start w:val="5"/>
      <w:numFmt w:val="chineseCounting"/>
      <w:suff w:val="space"/>
      <w:lvlText w:val="第%1条"/>
      <w:lvlJc w:val="left"/>
      <w:rPr>
        <w:rFonts w:hint="eastAsia"/>
      </w:rPr>
    </w:lvl>
  </w:abstractNum>
  <w:abstractNum w:abstractNumId="5">
    <w:nsid w:val="2D8F1456"/>
    <w:multiLevelType w:val="singleLevel"/>
    <w:tmpl w:val="2D8F1456"/>
    <w:lvl w:ilvl="0" w:tentative="0">
      <w:start w:val="1"/>
      <w:numFmt w:val="decimal"/>
      <w:suff w:val="nothing"/>
      <w:lvlText w:val="%1"/>
      <w:lvlJc w:val="left"/>
      <w:pPr>
        <w:ind w:left="635" w:leftChars="0" w:hanging="425" w:firstLineChars="0"/>
      </w:pPr>
      <w:rPr>
        <w:rFonts w:hint="default"/>
      </w:rPr>
    </w:lvl>
  </w:abstractNum>
  <w:abstractNum w:abstractNumId="6">
    <w:nsid w:val="3EA6DA03"/>
    <w:multiLevelType w:val="singleLevel"/>
    <w:tmpl w:val="3EA6DA03"/>
    <w:lvl w:ilvl="0" w:tentative="0">
      <w:start w:val="1"/>
      <w:numFmt w:val="decimal"/>
      <w:suff w:val="nothing"/>
      <w:lvlText w:val="%1"/>
      <w:lvlJc w:val="left"/>
      <w:pPr>
        <w:ind w:left="635" w:leftChars="0" w:hanging="425" w:firstLineChars="0"/>
      </w:pPr>
      <w:rPr>
        <w:rFonts w:hint="default"/>
      </w:rPr>
    </w:lvl>
  </w:abstractNum>
  <w:abstractNum w:abstractNumId="7">
    <w:nsid w:val="4CC8527C"/>
    <w:multiLevelType w:val="singleLevel"/>
    <w:tmpl w:val="4CC8527C"/>
    <w:lvl w:ilvl="0" w:tentative="0">
      <w:start w:val="6"/>
      <w:numFmt w:val="chineseCounting"/>
      <w:suff w:val="nothing"/>
      <w:lvlText w:val="%1、"/>
      <w:lvlJc w:val="left"/>
      <w:rPr>
        <w:rFonts w:hint="eastAsia"/>
      </w:rPr>
    </w:lvl>
  </w:abstractNum>
  <w:num w:numId="1">
    <w:abstractNumId w:val="3"/>
  </w:num>
  <w:num w:numId="2">
    <w:abstractNumId w:val="5"/>
  </w:num>
  <w:num w:numId="3">
    <w:abstractNumId w:val="7"/>
  </w:num>
  <w:num w:numId="4">
    <w:abstractNumId w:val="2"/>
  </w:num>
  <w:num w:numId="5">
    <w:abstractNumId w:val="4"/>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UwZDFhNTA3NTBkYjYwNzBmOWEzNGQxZTA1ZTZlYTEifQ=="/>
    <w:docVar w:name="KSO_WPS_MARK_KEY" w:val="54ff61b0-739e-42aa-8a2e-a4bc9060d795"/>
  </w:docVars>
  <w:rsids>
    <w:rsidRoot w:val="1297576D"/>
    <w:rsid w:val="0029396E"/>
    <w:rsid w:val="003A657B"/>
    <w:rsid w:val="00517D5D"/>
    <w:rsid w:val="005926A3"/>
    <w:rsid w:val="008746A5"/>
    <w:rsid w:val="00B574EC"/>
    <w:rsid w:val="01D22213"/>
    <w:rsid w:val="027619AC"/>
    <w:rsid w:val="02834D04"/>
    <w:rsid w:val="031428FF"/>
    <w:rsid w:val="038D5656"/>
    <w:rsid w:val="03F95A31"/>
    <w:rsid w:val="04531E45"/>
    <w:rsid w:val="04605697"/>
    <w:rsid w:val="04FD1ABF"/>
    <w:rsid w:val="056A79D6"/>
    <w:rsid w:val="05D22118"/>
    <w:rsid w:val="05D355DF"/>
    <w:rsid w:val="06057AB3"/>
    <w:rsid w:val="062B00FD"/>
    <w:rsid w:val="067A3460"/>
    <w:rsid w:val="06AB256C"/>
    <w:rsid w:val="076328DA"/>
    <w:rsid w:val="07A76692"/>
    <w:rsid w:val="08186607"/>
    <w:rsid w:val="081D4AEB"/>
    <w:rsid w:val="083A3947"/>
    <w:rsid w:val="08F93082"/>
    <w:rsid w:val="09394DFC"/>
    <w:rsid w:val="093F2ABC"/>
    <w:rsid w:val="097479E0"/>
    <w:rsid w:val="09EF44EC"/>
    <w:rsid w:val="0A0C6ADD"/>
    <w:rsid w:val="0A32752C"/>
    <w:rsid w:val="0A9D29B8"/>
    <w:rsid w:val="0B2C6C02"/>
    <w:rsid w:val="0B8E6D39"/>
    <w:rsid w:val="0BAA0456"/>
    <w:rsid w:val="0BC12699"/>
    <w:rsid w:val="0BCC31F9"/>
    <w:rsid w:val="0C5A16A4"/>
    <w:rsid w:val="0DC35837"/>
    <w:rsid w:val="0DE61498"/>
    <w:rsid w:val="110C39D4"/>
    <w:rsid w:val="1297576D"/>
    <w:rsid w:val="12BF4C87"/>
    <w:rsid w:val="12E70A09"/>
    <w:rsid w:val="1325794A"/>
    <w:rsid w:val="14715E69"/>
    <w:rsid w:val="148837F5"/>
    <w:rsid w:val="15061C4B"/>
    <w:rsid w:val="15341747"/>
    <w:rsid w:val="164F6705"/>
    <w:rsid w:val="16646293"/>
    <w:rsid w:val="16A83419"/>
    <w:rsid w:val="16FE5921"/>
    <w:rsid w:val="17B042A1"/>
    <w:rsid w:val="18987177"/>
    <w:rsid w:val="1906629D"/>
    <w:rsid w:val="190D0CE8"/>
    <w:rsid w:val="1A2B7D96"/>
    <w:rsid w:val="1A62541A"/>
    <w:rsid w:val="1BD33B78"/>
    <w:rsid w:val="1BE0140E"/>
    <w:rsid w:val="1BEC2FB3"/>
    <w:rsid w:val="1CE262BC"/>
    <w:rsid w:val="1D6D770B"/>
    <w:rsid w:val="1D7A61FD"/>
    <w:rsid w:val="1D94296D"/>
    <w:rsid w:val="1DF976C9"/>
    <w:rsid w:val="1E191157"/>
    <w:rsid w:val="1E1A21EF"/>
    <w:rsid w:val="203B090D"/>
    <w:rsid w:val="21135480"/>
    <w:rsid w:val="211D7593"/>
    <w:rsid w:val="212C3971"/>
    <w:rsid w:val="214D7086"/>
    <w:rsid w:val="21BA7E4E"/>
    <w:rsid w:val="22DF5956"/>
    <w:rsid w:val="22ED7F5E"/>
    <w:rsid w:val="23AD6C0F"/>
    <w:rsid w:val="23D12305"/>
    <w:rsid w:val="24130D0C"/>
    <w:rsid w:val="259E2C64"/>
    <w:rsid w:val="26F76768"/>
    <w:rsid w:val="277E4F96"/>
    <w:rsid w:val="27AC61A6"/>
    <w:rsid w:val="27FE02E6"/>
    <w:rsid w:val="28C57566"/>
    <w:rsid w:val="29084622"/>
    <w:rsid w:val="29F704EF"/>
    <w:rsid w:val="2A0049E3"/>
    <w:rsid w:val="2AC220DE"/>
    <w:rsid w:val="2ADB5E21"/>
    <w:rsid w:val="2ADF08BA"/>
    <w:rsid w:val="2B603075"/>
    <w:rsid w:val="2C305EB2"/>
    <w:rsid w:val="2C4666C4"/>
    <w:rsid w:val="2C980D1B"/>
    <w:rsid w:val="2CD9238D"/>
    <w:rsid w:val="2D023CA7"/>
    <w:rsid w:val="2E003054"/>
    <w:rsid w:val="2E255A7A"/>
    <w:rsid w:val="2EB2531B"/>
    <w:rsid w:val="2F3D045F"/>
    <w:rsid w:val="2F6F3EAC"/>
    <w:rsid w:val="2F7D3F84"/>
    <w:rsid w:val="2F844FB7"/>
    <w:rsid w:val="30256074"/>
    <w:rsid w:val="302C4175"/>
    <w:rsid w:val="30890978"/>
    <w:rsid w:val="30A52DD9"/>
    <w:rsid w:val="31713FF6"/>
    <w:rsid w:val="32B04D2F"/>
    <w:rsid w:val="33A35EAC"/>
    <w:rsid w:val="3464504B"/>
    <w:rsid w:val="3477464C"/>
    <w:rsid w:val="34E00D83"/>
    <w:rsid w:val="34E40873"/>
    <w:rsid w:val="355F7D2E"/>
    <w:rsid w:val="36216F0D"/>
    <w:rsid w:val="36316A75"/>
    <w:rsid w:val="3667119D"/>
    <w:rsid w:val="36E94025"/>
    <w:rsid w:val="36ED02B2"/>
    <w:rsid w:val="37DB73A7"/>
    <w:rsid w:val="389D7311"/>
    <w:rsid w:val="38D834D0"/>
    <w:rsid w:val="398E418A"/>
    <w:rsid w:val="3996009B"/>
    <w:rsid w:val="3997709B"/>
    <w:rsid w:val="39A55AE7"/>
    <w:rsid w:val="3A351BE0"/>
    <w:rsid w:val="3B0953A4"/>
    <w:rsid w:val="3C302F1C"/>
    <w:rsid w:val="3C8719BD"/>
    <w:rsid w:val="3C9A29B9"/>
    <w:rsid w:val="3CE46170"/>
    <w:rsid w:val="3D7933CA"/>
    <w:rsid w:val="3DAC3CC7"/>
    <w:rsid w:val="3E16524F"/>
    <w:rsid w:val="3E490C93"/>
    <w:rsid w:val="3EA30F9B"/>
    <w:rsid w:val="3F2D02B4"/>
    <w:rsid w:val="3F7C50B1"/>
    <w:rsid w:val="3F996DE7"/>
    <w:rsid w:val="3FAE19C2"/>
    <w:rsid w:val="406B2371"/>
    <w:rsid w:val="406D4E88"/>
    <w:rsid w:val="407E15A7"/>
    <w:rsid w:val="40AA3B81"/>
    <w:rsid w:val="411C5733"/>
    <w:rsid w:val="417112FA"/>
    <w:rsid w:val="42D57A4D"/>
    <w:rsid w:val="436A096E"/>
    <w:rsid w:val="43A970E7"/>
    <w:rsid w:val="43BA0460"/>
    <w:rsid w:val="44322CE6"/>
    <w:rsid w:val="44544A76"/>
    <w:rsid w:val="449544C5"/>
    <w:rsid w:val="44A55070"/>
    <w:rsid w:val="45530393"/>
    <w:rsid w:val="469F7AF8"/>
    <w:rsid w:val="475812CD"/>
    <w:rsid w:val="475D1115"/>
    <w:rsid w:val="478F3581"/>
    <w:rsid w:val="47B96D86"/>
    <w:rsid w:val="47D615F1"/>
    <w:rsid w:val="47D93555"/>
    <w:rsid w:val="48034DA7"/>
    <w:rsid w:val="486F4BB5"/>
    <w:rsid w:val="48A60514"/>
    <w:rsid w:val="48DA44A2"/>
    <w:rsid w:val="48E14418"/>
    <w:rsid w:val="490432DC"/>
    <w:rsid w:val="491635D4"/>
    <w:rsid w:val="49E7480F"/>
    <w:rsid w:val="4AE97537"/>
    <w:rsid w:val="4AF173EE"/>
    <w:rsid w:val="4B0D618C"/>
    <w:rsid w:val="4C2F1B9C"/>
    <w:rsid w:val="4C870D35"/>
    <w:rsid w:val="4D2832EB"/>
    <w:rsid w:val="4DB81983"/>
    <w:rsid w:val="4DF21BF8"/>
    <w:rsid w:val="4DF66F25"/>
    <w:rsid w:val="4E376DB9"/>
    <w:rsid w:val="4E716394"/>
    <w:rsid w:val="4ECC39F8"/>
    <w:rsid w:val="4F0A3ECF"/>
    <w:rsid w:val="4F595384"/>
    <w:rsid w:val="4F72433C"/>
    <w:rsid w:val="4F7F3CCA"/>
    <w:rsid w:val="4FE50BFA"/>
    <w:rsid w:val="502844C8"/>
    <w:rsid w:val="51131CCB"/>
    <w:rsid w:val="51D845E4"/>
    <w:rsid w:val="52341DDD"/>
    <w:rsid w:val="531111FC"/>
    <w:rsid w:val="533444FB"/>
    <w:rsid w:val="55C54FE9"/>
    <w:rsid w:val="55E07717"/>
    <w:rsid w:val="56397366"/>
    <w:rsid w:val="57105FDC"/>
    <w:rsid w:val="58080247"/>
    <w:rsid w:val="58C27322"/>
    <w:rsid w:val="5950112B"/>
    <w:rsid w:val="59C3293C"/>
    <w:rsid w:val="5A1C766A"/>
    <w:rsid w:val="5B3710B2"/>
    <w:rsid w:val="5B5E63DA"/>
    <w:rsid w:val="5CF528AB"/>
    <w:rsid w:val="5D132301"/>
    <w:rsid w:val="5DA6463E"/>
    <w:rsid w:val="5E970206"/>
    <w:rsid w:val="5ED1360A"/>
    <w:rsid w:val="5F1E1E73"/>
    <w:rsid w:val="612A3DEE"/>
    <w:rsid w:val="614D7B82"/>
    <w:rsid w:val="62B67083"/>
    <w:rsid w:val="64787E17"/>
    <w:rsid w:val="649C599A"/>
    <w:rsid w:val="66B027B6"/>
    <w:rsid w:val="671A2875"/>
    <w:rsid w:val="67966EFB"/>
    <w:rsid w:val="67B628F5"/>
    <w:rsid w:val="682119CD"/>
    <w:rsid w:val="690728F3"/>
    <w:rsid w:val="69A94E0C"/>
    <w:rsid w:val="6B656B47"/>
    <w:rsid w:val="6B7E1643"/>
    <w:rsid w:val="6C714475"/>
    <w:rsid w:val="6CDB032D"/>
    <w:rsid w:val="6DB2110D"/>
    <w:rsid w:val="6DBD736C"/>
    <w:rsid w:val="6DF45A5A"/>
    <w:rsid w:val="6E5526FF"/>
    <w:rsid w:val="6F2B1820"/>
    <w:rsid w:val="6F412F7A"/>
    <w:rsid w:val="707E74C2"/>
    <w:rsid w:val="70CC0A36"/>
    <w:rsid w:val="710D0440"/>
    <w:rsid w:val="71AF35D6"/>
    <w:rsid w:val="71C5585F"/>
    <w:rsid w:val="720E79AF"/>
    <w:rsid w:val="73A1381E"/>
    <w:rsid w:val="7459468D"/>
    <w:rsid w:val="749131D7"/>
    <w:rsid w:val="756F240E"/>
    <w:rsid w:val="759D3BC6"/>
    <w:rsid w:val="779817DA"/>
    <w:rsid w:val="77D476E8"/>
    <w:rsid w:val="782A7918"/>
    <w:rsid w:val="79715756"/>
    <w:rsid w:val="7A500C84"/>
    <w:rsid w:val="7A640EC3"/>
    <w:rsid w:val="7A7B08FF"/>
    <w:rsid w:val="7AE21E9E"/>
    <w:rsid w:val="7B027F4F"/>
    <w:rsid w:val="7B09318D"/>
    <w:rsid w:val="7B6004E6"/>
    <w:rsid w:val="7BE14791"/>
    <w:rsid w:val="7BF46CB7"/>
    <w:rsid w:val="7C4C470C"/>
    <w:rsid w:val="7C920257"/>
    <w:rsid w:val="7CD03426"/>
    <w:rsid w:val="7DDA7768"/>
    <w:rsid w:val="7DFA5FDE"/>
    <w:rsid w:val="7E0B3994"/>
    <w:rsid w:val="7F3217A8"/>
    <w:rsid w:val="7F5B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6"/>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1"/>
    <w:pPr>
      <w:spacing w:after="120" w:afterLines="0"/>
    </w:pPr>
  </w:style>
  <w:style w:type="paragraph" w:styleId="5">
    <w:name w:val="Body Text Indent"/>
    <w:basedOn w:val="1"/>
    <w:qFormat/>
    <w:uiPriority w:val="0"/>
    <w:pPr>
      <w:spacing w:line="480" w:lineRule="auto"/>
      <w:ind w:firstLine="600"/>
    </w:pPr>
    <w:rPr>
      <w:sz w:val="28"/>
    </w:rPr>
  </w:style>
  <w:style w:type="paragraph" w:styleId="6">
    <w:name w:val="Balloon Text"/>
    <w:basedOn w:val="1"/>
    <w:link w:val="25"/>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jc w:val="left"/>
    </w:pPr>
    <w:rPr>
      <w:b/>
      <w:caps/>
    </w:rPr>
  </w:style>
  <w:style w:type="paragraph" w:styleId="10">
    <w:name w:val="Title"/>
    <w:basedOn w:val="1"/>
    <w:qFormat/>
    <w:uiPriority w:val="0"/>
    <w:pPr>
      <w:widowControl/>
      <w:overflowPunct w:val="0"/>
      <w:autoSpaceDE w:val="0"/>
      <w:autoSpaceDN w:val="0"/>
      <w:adjustRightInd w:val="0"/>
      <w:jc w:val="center"/>
      <w:textAlignment w:val="baseline"/>
    </w:pPr>
    <w:rPr>
      <w:b/>
      <w:kern w:val="0"/>
      <w:sz w:val="44"/>
      <w:lang w:val="en-GB"/>
    </w:rPr>
  </w:style>
  <w:style w:type="paragraph" w:styleId="11">
    <w:name w:val="Body Text First Indent"/>
    <w:basedOn w:val="4"/>
    <w:next w:val="1"/>
    <w:qFormat/>
    <w:uiPriority w:val="99"/>
    <w:pPr>
      <w:widowControl/>
      <w:spacing w:after="120" w:afterLines="0" w:line="240" w:lineRule="auto"/>
      <w:ind w:firstLine="420" w:firstLineChars="100"/>
      <w:jc w:val="left"/>
    </w:pPr>
    <w:rPr>
      <w:rFonts w:ascii="Times New Roman" w:eastAsia="宋体"/>
      <w:kern w:val="0"/>
      <w:sz w:val="21"/>
    </w:rPr>
  </w:style>
  <w:style w:type="paragraph" w:styleId="12">
    <w:name w:val="Body Text First Indent 2"/>
    <w:basedOn w:val="5"/>
    <w:qFormat/>
    <w:uiPriority w:val="0"/>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character" w:styleId="17">
    <w:name w:val="Emphasis"/>
    <w:basedOn w:val="15"/>
    <w:qFormat/>
    <w:uiPriority w:val="0"/>
    <w:rPr>
      <w:i/>
    </w:rPr>
  </w:style>
  <w:style w:type="character" w:styleId="18">
    <w:name w:val="Hyperlink"/>
    <w:qFormat/>
    <w:uiPriority w:val="99"/>
    <w:rPr>
      <w:color w:val="0000FF"/>
      <w:u w:val="single"/>
    </w:rPr>
  </w:style>
  <w:style w:type="character" w:styleId="19">
    <w:name w:val="annotation reference"/>
    <w:basedOn w:val="15"/>
    <w:qFormat/>
    <w:uiPriority w:val="0"/>
    <w:rPr>
      <w:sz w:val="21"/>
      <w:szCs w:val="21"/>
    </w:rPr>
  </w:style>
  <w:style w:type="paragraph" w:customStyle="1" w:styleId="20">
    <w:name w:val="正文文字缩进"/>
    <w:basedOn w:val="1"/>
    <w:qFormat/>
    <w:uiPriority w:val="0"/>
    <w:pPr>
      <w:widowControl/>
      <w:spacing w:line="351" w:lineRule="atLeast"/>
      <w:ind w:firstLine="436"/>
      <w:textAlignment w:val="baseline"/>
    </w:pPr>
    <w:rPr>
      <w:color w:val="000000"/>
      <w:kern w:val="0"/>
      <w:sz w:val="30"/>
      <w:u w:color="000000"/>
    </w:rPr>
  </w:style>
  <w:style w:type="character" w:customStyle="1" w:styleId="21">
    <w:name w:val="标题 1 Char Char"/>
    <w:qFormat/>
    <w:uiPriority w:val="0"/>
    <w:rPr>
      <w:rFonts w:eastAsia="宋体"/>
      <w:b/>
      <w:spacing w:val="-2"/>
      <w:sz w:val="24"/>
      <w:lang w:val="en-US" w:eastAsia="zh-CN"/>
    </w:rPr>
  </w:style>
  <w:style w:type="paragraph" w:customStyle="1" w:styleId="22">
    <w:name w:val="一、标题"/>
    <w:basedOn w:val="1"/>
    <w:qFormat/>
    <w:uiPriority w:val="0"/>
    <w:rPr>
      <w:b/>
      <w:sz w:val="28"/>
    </w:rPr>
  </w:style>
  <w:style w:type="paragraph" w:styleId="23">
    <w:name w:val="List Paragraph"/>
    <w:basedOn w:val="1"/>
    <w:qFormat/>
    <w:uiPriority w:val="34"/>
    <w:pPr>
      <w:ind w:firstLine="420" w:firstLineChars="200"/>
    </w:pPr>
  </w:style>
  <w:style w:type="character" w:customStyle="1" w:styleId="24">
    <w:name w:val="页眉 Char"/>
    <w:basedOn w:val="15"/>
    <w:link w:val="8"/>
    <w:qFormat/>
    <w:uiPriority w:val="0"/>
    <w:rPr>
      <w:kern w:val="2"/>
      <w:sz w:val="18"/>
      <w:szCs w:val="18"/>
    </w:rPr>
  </w:style>
  <w:style w:type="character" w:customStyle="1" w:styleId="25">
    <w:name w:val="批注框文本 Char"/>
    <w:basedOn w:val="15"/>
    <w:link w:val="6"/>
    <w:qFormat/>
    <w:uiPriority w:val="0"/>
    <w:rPr>
      <w:kern w:val="2"/>
      <w:sz w:val="18"/>
      <w:szCs w:val="18"/>
    </w:rPr>
  </w:style>
  <w:style w:type="character" w:customStyle="1" w:styleId="26">
    <w:name w:val="font31"/>
    <w:basedOn w:val="15"/>
    <w:qFormat/>
    <w:uiPriority w:val="0"/>
    <w:rPr>
      <w:rFonts w:hint="eastAsia" w:ascii="宋体" w:hAnsi="宋体" w:eastAsia="宋体" w:cs="宋体"/>
      <w:color w:val="000000"/>
      <w:sz w:val="22"/>
      <w:szCs w:val="22"/>
      <w:u w:val="none"/>
    </w:rPr>
  </w:style>
  <w:style w:type="character" w:customStyle="1" w:styleId="27">
    <w:name w:val="font51"/>
    <w:basedOn w:val="15"/>
    <w:qFormat/>
    <w:uiPriority w:val="0"/>
    <w:rPr>
      <w:rFonts w:hint="default" w:ascii="Times New Roman" w:hAnsi="Times New Roman" w:cs="Times New Roman"/>
      <w:color w:val="000000"/>
      <w:sz w:val="22"/>
      <w:szCs w:val="22"/>
      <w:u w:val="none"/>
    </w:rPr>
  </w:style>
  <w:style w:type="character" w:customStyle="1" w:styleId="28">
    <w:name w:val="font41"/>
    <w:basedOn w:val="15"/>
    <w:qFormat/>
    <w:uiPriority w:val="0"/>
    <w:rPr>
      <w:rFonts w:ascii="仿宋_GB2312" w:eastAsia="仿宋_GB2312" w:cs="仿宋_GB2312"/>
      <w:color w:val="000000"/>
      <w:sz w:val="22"/>
      <w:szCs w:val="22"/>
      <w:u w:val="none"/>
    </w:rPr>
  </w:style>
  <w:style w:type="character" w:customStyle="1" w:styleId="29">
    <w:name w:val="font21"/>
    <w:basedOn w:val="15"/>
    <w:qFormat/>
    <w:uiPriority w:val="0"/>
    <w:rPr>
      <w:rFonts w:hint="eastAsia" w:ascii="宋体" w:hAnsi="宋体" w:eastAsia="宋体" w:cs="宋体"/>
      <w:color w:val="000000"/>
      <w:sz w:val="22"/>
      <w:szCs w:val="22"/>
      <w:u w:val="none"/>
      <w:vertAlign w:val="superscript"/>
    </w:rPr>
  </w:style>
  <w:style w:type="character" w:customStyle="1" w:styleId="30">
    <w:name w:val="font01"/>
    <w:basedOn w:val="15"/>
    <w:qFormat/>
    <w:uiPriority w:val="0"/>
    <w:rPr>
      <w:rFonts w:hint="eastAsia" w:ascii="宋体" w:hAnsi="宋体" w:eastAsia="宋体" w:cs="宋体"/>
      <w:color w:val="000000"/>
      <w:sz w:val="22"/>
      <w:szCs w:val="22"/>
      <w:u w:val="none"/>
    </w:rPr>
  </w:style>
  <w:style w:type="character" w:customStyle="1" w:styleId="31">
    <w:name w:val="font11"/>
    <w:basedOn w:val="15"/>
    <w:qFormat/>
    <w:uiPriority w:val="0"/>
    <w:rPr>
      <w:rFonts w:hint="eastAsia" w:ascii="宋体" w:hAnsi="宋体" w:eastAsia="宋体" w:cs="宋体"/>
      <w:color w:val="000000"/>
      <w:sz w:val="24"/>
      <w:szCs w:val="24"/>
      <w:u w:val="none"/>
    </w:rPr>
  </w:style>
  <w:style w:type="paragraph" w:customStyle="1" w:styleId="3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character" w:customStyle="1" w:styleId="33">
    <w:name w:val="font81"/>
    <w:basedOn w:val="15"/>
    <w:qFormat/>
    <w:uiPriority w:val="0"/>
    <w:rPr>
      <w:rFonts w:ascii="宋体" w:hAnsi="宋体" w:eastAsia="宋体" w:cs="宋体"/>
      <w:color w:val="000000"/>
      <w:sz w:val="20"/>
      <w:szCs w:val="20"/>
      <w:u w:val="none"/>
    </w:rPr>
  </w:style>
  <w:style w:type="character" w:customStyle="1" w:styleId="34">
    <w:name w:val="font71"/>
    <w:basedOn w:val="15"/>
    <w:qFormat/>
    <w:uiPriority w:val="0"/>
    <w:rPr>
      <w:rFonts w:hint="eastAsia" w:ascii="仿宋" w:hAnsi="仿宋" w:eastAsia="仿宋" w:cs="仿宋"/>
      <w:color w:val="000000"/>
      <w:sz w:val="22"/>
      <w:szCs w:val="22"/>
      <w:u w:val="none"/>
    </w:rPr>
  </w:style>
  <w:style w:type="paragraph" w:customStyle="1" w:styleId="35">
    <w:name w:val="样式1"/>
    <w:basedOn w:val="1"/>
    <w:qFormat/>
    <w:uiPriority w:val="0"/>
    <w:pPr>
      <w:spacing w:line="240" w:lineRule="exact"/>
    </w:pPr>
    <w:rPr>
      <w:rFonts w:ascii="宋体" w:hAnsi="宋体" w:eastAsia="宋体"/>
      <w:sz w:val="24"/>
      <w:szCs w:val="24"/>
    </w:rPr>
  </w:style>
  <w:style w:type="character" w:customStyle="1" w:styleId="36">
    <w:name w:val="标题 1 Char"/>
    <w:link w:val="2"/>
    <w:qFormat/>
    <w:uiPriority w:val="0"/>
    <w:rPr>
      <w:rFonts w:ascii="宋体" w:hAnsi="Arial" w:eastAsia="黑体"/>
      <w:b/>
      <w:color w:val="000000"/>
      <w:kern w:val="44"/>
      <w:sz w:val="36"/>
    </w:rPr>
  </w:style>
  <w:style w:type="paragraph" w:customStyle="1" w:styleId="3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38</Pages>
  <Words>15249</Words>
  <Characters>16446</Characters>
  <Lines>53</Lines>
  <Paragraphs>15</Paragraphs>
  <TotalTime>37</TotalTime>
  <ScaleCrop>false</ScaleCrop>
  <LinksUpToDate>false</LinksUpToDate>
  <CharactersWithSpaces>17733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2021-02-26T02:23:00Z</dcterms:created>
  <dc:creator>Echo</dc:creator>
  <cp:lastModifiedBy>Léon</cp:lastModifiedBy>
  <cp:lastPrinted>2026-10-30T04:58:00Z</cp:lastPrinted>
  <dcterms:modified xsi:type="dcterms:W3CDTF">2026-10-30T08:17:00Z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9EAD1B12B5D544CEAB5BD035F2C42FC1_13</vt:lpwstr>
  </property>
  <property fmtid="{D5CDD505-2E9C-101B-9397-08002B2CF9AE}" pid="4" name="KSOTemplateDocerSaveRecord">
    <vt:lpwstr>eyJoZGlkIjoiZDU5ZmYzODUyNjg1MTM3NmE2OTBjZTA2MmE1ZDJlMDUiLCJ1c2VySWQiOiI0MTkyNjk4ODkifQ==</vt:lpwstr>
  </property>
</Properties>
</file>