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28922"/>
      <w:r>
        <w:rPr>
          <w:rFonts w:hint="eastAsia" w:ascii="仿宋_GB2312" w:hAnsi="宋体" w:eastAsia="仿宋_GB2312"/>
          <w:b/>
          <w:sz w:val="52"/>
          <w:szCs w:val="52"/>
          <w:highlight w:val="none"/>
          <w:lang w:eastAsia="zh-CN"/>
        </w:rPr>
        <w:t>绍兴市再生能源发展有限公司</w:t>
      </w:r>
      <w:bookmarkEnd w:id="0"/>
    </w:p>
    <w:p w14:paraId="543ECF22">
      <w:pPr>
        <w:pStyle w:val="11"/>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年度盐酸采购项目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CG-YS-2609009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3"/>
      <w:bookmarkStart w:id="3" w:name="OLE_LINK52"/>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年度盐酸采购项目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6DBE848E">
      <w:pPr>
        <w:pStyle w:val="9"/>
        <w:tabs>
          <w:tab w:val="right" w:leader="dot" w:pos="9070"/>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_Toc28922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highlight w:val="none"/>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_Toc28922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1480E225">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_Toc12444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_Toc12444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4F1BF1F">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_Toc16149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_Toc16149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C4378E4">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_Toc9145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第四部分   合同主要条款（供参考）</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_Toc9145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0EF6BA8">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_Toc30647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_Toc30647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9AC2741">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_Toc31775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_Toc31775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19B2D02">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_Toc852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_Toc852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F069E75">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_Toc20701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_Toc20701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24</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7218FAC2">
      <w:pPr>
        <w:pStyle w:val="9"/>
        <w:tabs>
          <w:tab w:val="right" w:leader="dot" w:pos="9070"/>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_Toc7546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附件三：</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_Toc7546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27803B9">
      <w:pPr>
        <w:pStyle w:val="9"/>
        <w:tabs>
          <w:tab w:val="right" w:leader="dot" w:pos="9070"/>
        </w:tabs>
        <w:rPr>
          <w:rFonts w:hint="default"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_Toc15338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四：</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_Toc15338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CB08D88">
      <w:pPr>
        <w:rPr>
          <w:rFonts w:hint="eastAsia" w:ascii="仿宋" w:hAnsi="仿宋" w:eastAsia="仿宋" w:cs="仿宋"/>
          <w:sz w:val="56"/>
          <w:szCs w:val="32"/>
        </w:rPr>
      </w:pPr>
      <w:r>
        <w:rPr>
          <w:rFonts w:hint="eastAsia" w:ascii="仿宋" w:hAnsi="仿宋" w:eastAsia="仿宋" w:cs="仿宋"/>
          <w:bCs/>
          <w:szCs w:val="28"/>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12444"/>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年度盐酸采购项目进行招标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SX-CG-YS-2609009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4749" w:type="pct"/>
        <w:jc w:val="center"/>
        <w:tblLayout w:type="fixed"/>
        <w:tblCellMar>
          <w:top w:w="0" w:type="dxa"/>
          <w:left w:w="108" w:type="dxa"/>
          <w:bottom w:w="0" w:type="dxa"/>
          <w:right w:w="108" w:type="dxa"/>
        </w:tblCellMar>
      </w:tblPr>
      <w:tblGrid>
        <w:gridCol w:w="672"/>
        <w:gridCol w:w="1396"/>
        <w:gridCol w:w="2355"/>
        <w:gridCol w:w="930"/>
        <w:gridCol w:w="780"/>
        <w:gridCol w:w="2688"/>
      </w:tblGrid>
      <w:tr w14:paraId="0507FA1D">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684E0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396" w:type="dxa"/>
            <w:tcBorders>
              <w:top w:val="single" w:color="000000" w:sz="4" w:space="0"/>
              <w:left w:val="single" w:color="000000" w:sz="4" w:space="0"/>
              <w:bottom w:val="single" w:color="000000" w:sz="4" w:space="0"/>
              <w:right w:val="single" w:color="000000" w:sz="4" w:space="0"/>
            </w:tcBorders>
            <w:noWrap/>
            <w:vAlign w:val="center"/>
          </w:tcPr>
          <w:p w14:paraId="722320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2355" w:type="dxa"/>
            <w:tcBorders>
              <w:top w:val="single" w:color="000000" w:sz="4" w:space="0"/>
              <w:left w:val="single" w:color="000000" w:sz="4" w:space="0"/>
              <w:bottom w:val="single" w:color="000000" w:sz="4" w:space="0"/>
              <w:right w:val="single" w:color="000000" w:sz="4" w:space="0"/>
            </w:tcBorders>
            <w:noWrap/>
            <w:vAlign w:val="center"/>
          </w:tcPr>
          <w:p w14:paraId="155886A1">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3C8B27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预估数量</w:t>
            </w:r>
          </w:p>
        </w:tc>
        <w:tc>
          <w:tcPr>
            <w:tcW w:w="780" w:type="dxa"/>
            <w:tcBorders>
              <w:top w:val="single" w:color="000000" w:sz="4" w:space="0"/>
              <w:left w:val="single" w:color="000000" w:sz="4" w:space="0"/>
              <w:bottom w:val="single" w:color="000000" w:sz="4" w:space="0"/>
              <w:right w:val="single" w:color="000000" w:sz="4" w:space="0"/>
            </w:tcBorders>
            <w:noWrap/>
            <w:vAlign w:val="center"/>
          </w:tcPr>
          <w:p w14:paraId="559633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688" w:type="dxa"/>
            <w:tcBorders>
              <w:top w:val="single" w:color="000000" w:sz="4" w:space="0"/>
              <w:left w:val="single" w:color="000000" w:sz="4" w:space="0"/>
              <w:bottom w:val="single" w:color="000000" w:sz="4" w:space="0"/>
              <w:right w:val="single" w:color="000000" w:sz="4" w:space="0"/>
            </w:tcBorders>
            <w:noWrap/>
            <w:vAlign w:val="center"/>
          </w:tcPr>
          <w:p w14:paraId="2EC4943E">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AB848C2">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43570C6">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5819914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盐酸</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4E1E466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工业用合成盐酸，总酸度≥31.0%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EFF60F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E2F60B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吨</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14:paraId="1D967CF2">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槽罐车罐装交付，须为氯气和氢气合成的新酸，不得使用回收酸或副产酸，质量符合GB/T 320-2025《工业用合成盐酸》要求</w:t>
            </w:r>
          </w:p>
        </w:tc>
      </w:tr>
    </w:tbl>
    <w:p w14:paraId="47E30BEA">
      <w:pPr>
        <w:pStyle w:val="1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0D80D439">
      <w:pPr>
        <w:pStyle w:val="1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3.根据采购人实际需要，分批次供货，每次送货量约15-20吨左右，按过磅实际供货量进行结算。供应商接到采购人送货通知后，3个工作日内将货物如数送至采购人指定地点。</w:t>
      </w:r>
    </w:p>
    <w:p w14:paraId="726C6CF1">
      <w:pPr>
        <w:pStyle w:val="1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人民币3.6</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0A523EB9">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4.本项目不接受联合体报价，不接受分包。</w:t>
      </w:r>
    </w:p>
    <w:p w14:paraId="2A1EEB8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w:t>
      </w:r>
      <w:bookmarkStart w:id="7" w:name="OLE_LINK2"/>
      <w:r>
        <w:rPr>
          <w:rFonts w:hint="eastAsia" w:ascii="仿宋" w:hAnsi="仿宋" w:eastAsia="仿宋" w:cs="仿宋"/>
          <w:sz w:val="30"/>
          <w:szCs w:val="30"/>
          <w:lang w:val="en-US" w:eastAsia="zh-CN"/>
        </w:rPr>
        <w:t>报价人须</w:t>
      </w:r>
      <w:bookmarkEnd w:id="7"/>
      <w:bookmarkStart w:id="8" w:name="_Toc530583922"/>
      <w:bookmarkStart w:id="9" w:name="_Toc530583879"/>
      <w:bookmarkStart w:id="10" w:name="_Toc530583923"/>
      <w:bookmarkStart w:id="11" w:name="_Toc530583880"/>
      <w:r>
        <w:rPr>
          <w:rFonts w:hint="eastAsia" w:ascii="仿宋" w:hAnsi="仿宋" w:eastAsia="仿宋" w:cs="仿宋"/>
          <w:sz w:val="30"/>
          <w:szCs w:val="30"/>
          <w:lang w:val="en-US" w:eastAsia="zh-CN"/>
        </w:rPr>
        <w:t>提供经营范围包含易制毒化学品的营业执照，以及对应的危险化学品经营许可证（报价人为生产企业的，可提供危险化学品安全生产许可证及自产证明替代危险化学品经营许可证）。</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11月6</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28DF5BA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w:t>
      </w:r>
      <w:bookmarkStart w:id="33" w:name="_GoBack"/>
      <w:bookmarkEnd w:id="33"/>
      <w:r>
        <w:rPr>
          <w:rFonts w:hint="eastAsia" w:ascii="仿宋_GB2312" w:eastAsia="仿宋_GB2312"/>
          <w:sz w:val="30"/>
          <w:szCs w:val="30"/>
        </w:rPr>
        <w:t>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10E9B901">
      <w:pPr>
        <w:pStyle w:val="12"/>
        <w:rPr>
          <w:rFonts w:hint="eastAsia" w:ascii="仿宋_GB2312" w:eastAsia="仿宋_GB2312"/>
          <w:sz w:val="30"/>
          <w:szCs w:val="30"/>
        </w:rPr>
      </w:pPr>
    </w:p>
    <w:p w14:paraId="3A86D49D">
      <w:pPr>
        <w:pStyle w:val="12"/>
        <w:rPr>
          <w:rFonts w:hint="eastAsia" w:ascii="仿宋_GB2312" w:eastAsia="仿宋_GB2312"/>
          <w:sz w:val="30"/>
          <w:szCs w:val="30"/>
        </w:rPr>
      </w:pPr>
    </w:p>
    <w:p w14:paraId="4EFDF728">
      <w:pPr>
        <w:pStyle w:val="12"/>
        <w:rPr>
          <w:rFonts w:hint="eastAsia" w:ascii="仿宋_GB2312" w:eastAsia="仿宋_GB2312"/>
          <w:sz w:val="30"/>
          <w:szCs w:val="30"/>
        </w:rPr>
      </w:pPr>
    </w:p>
    <w:p w14:paraId="41CF67AE">
      <w:pPr>
        <w:pStyle w:val="1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8"/>
      <w:bookmarkEnd w:id="9"/>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2"/>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4"/>
        <w:rPr>
          <w:rFonts w:hint="eastAsia" w:ascii="仿宋" w:hAnsi="仿宋" w:eastAsia="仿宋" w:cs="仿宋"/>
          <w:snapToGrid w:val="0"/>
          <w:sz w:val="44"/>
          <w:szCs w:val="44"/>
        </w:rPr>
      </w:pPr>
    </w:p>
    <w:p w14:paraId="1643322B">
      <w:pPr>
        <w:pStyle w:val="11"/>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3B113E72">
      <w:pPr>
        <w:pStyle w:val="2"/>
        <w:numPr>
          <w:ilvl w:val="0"/>
          <w:numId w:val="0"/>
        </w:numPr>
        <w:jc w:val="center"/>
        <w:rPr>
          <w:rFonts w:hint="eastAsia" w:ascii="仿宋" w:hAnsi="仿宋" w:eastAsia="仿宋" w:cs="仿宋"/>
          <w:b w:val="0"/>
          <w:bCs/>
          <w:snapToGrid w:val="0"/>
          <w:sz w:val="44"/>
        </w:rPr>
      </w:pPr>
      <w:bookmarkStart w:id="12" w:name="_Toc16149"/>
      <w:r>
        <w:rPr>
          <w:rFonts w:hint="eastAsia" w:ascii="仿宋" w:hAnsi="仿宋" w:eastAsia="仿宋" w:cs="仿宋"/>
          <w:snapToGrid w:val="0"/>
          <w:sz w:val="44"/>
          <w:szCs w:val="44"/>
        </w:rPr>
        <w:t>第三部分   询价内容</w:t>
      </w:r>
      <w:bookmarkEnd w:id="10"/>
      <w:bookmarkEnd w:id="11"/>
      <w:bookmarkEnd w:id="12"/>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供货期一年，自合同签订之日起算，按需分批次供货，按实际数量结算。供货方接到送货通知后3个工作日内送达指定地点，并完成卸货、就位至采购人指定堆放/接入位置，运输、装卸、就位及运输途中的一切风险由供货方承担；每批随车附出厂合格报告及质量证明书。货物到场后由采购人按GB/T 320-2025标准现场取样化验，以总酸度≥31.0%为验收依据，若检测结果未达到标准，采购人有权拒收并退货，由此产生的运输费、装卸费、处置费等全部损失由供货方承担，供货方应在接到退货通知后2个工作日内补足合格货物。</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本项目供货期为一年，根据采购人实际需要分批次供货，按实际供货数量据实结算。每批次货物运送至采购人指定地点并验收合格后，供货方应向采购人提供经双方确认的当批次送货清单及等额、合法、有效的增值税专用发票。采购人自收到准确清单和合规发票且核对无误后，于次二月完成对应批次货款支付。若供货方未按时提供发票，或提供的发票不符合税务及采购人财务要求（包括但不限于信息错误、税率不符、无法认证抵扣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2"/>
        <w:numPr>
          <w:ilvl w:val="0"/>
          <w:numId w:val="0"/>
        </w:numPr>
        <w:jc w:val="center"/>
        <w:outlineLvl w:val="9"/>
        <w:rPr>
          <w:rFonts w:hint="eastAsia" w:ascii="仿宋" w:hAnsi="仿宋" w:eastAsia="仿宋" w:cs="仿宋"/>
          <w:snapToGrid w:val="0"/>
          <w:sz w:val="30"/>
          <w:szCs w:val="30"/>
          <w:highlight w:val="none"/>
        </w:rPr>
      </w:pPr>
      <w:bookmarkStart w:id="13" w:name="_Toc530583924"/>
      <w:r>
        <w:rPr>
          <w:rFonts w:hint="eastAsia" w:ascii="仿宋" w:hAnsi="仿宋" w:eastAsia="仿宋" w:cs="仿宋"/>
          <w:snapToGrid w:val="0"/>
          <w:sz w:val="30"/>
          <w:szCs w:val="30"/>
        </w:rPr>
        <w:br w:type="page"/>
      </w:r>
    </w:p>
    <w:p w14:paraId="2C38EEF5">
      <w:pPr>
        <w:pStyle w:val="2"/>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4" w:name="_Toc9145"/>
      <w:r>
        <w:rPr>
          <w:rFonts w:hint="eastAsia" w:ascii="仿宋" w:hAnsi="仿宋" w:eastAsia="仿宋" w:cs="仿宋"/>
          <w:snapToGrid w:val="0"/>
          <w:sz w:val="44"/>
          <w:szCs w:val="44"/>
          <w:highlight w:val="none"/>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1711"/>
        <w:gridCol w:w="709"/>
        <w:gridCol w:w="709"/>
        <w:gridCol w:w="992"/>
        <w:gridCol w:w="1633"/>
        <w:gridCol w:w="1627"/>
      </w:tblGrid>
      <w:tr w14:paraId="29B27345">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型号规格</w:t>
            </w:r>
          </w:p>
        </w:tc>
        <w:tc>
          <w:tcPr>
            <w:tcW w:w="709"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预估数量</w:t>
            </w:r>
          </w:p>
        </w:tc>
        <w:tc>
          <w:tcPr>
            <w:tcW w:w="709" w:type="dxa"/>
            <w:tcBorders>
              <w:top w:val="single" w:color="auto" w:sz="4" w:space="0"/>
              <w:left w:val="nil"/>
              <w:bottom w:val="single" w:color="auto" w:sz="4" w:space="0"/>
              <w:right w:val="single" w:color="auto" w:sz="4" w:space="0"/>
            </w:tcBorders>
            <w:noWrap w:val="0"/>
            <w:vAlign w:val="center"/>
          </w:tcPr>
          <w:p w14:paraId="1827530D">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992"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备注</w:t>
            </w:r>
          </w:p>
        </w:tc>
        <w:tc>
          <w:tcPr>
            <w:tcW w:w="1633"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单价（元）</w:t>
            </w:r>
          </w:p>
        </w:tc>
        <w:tc>
          <w:tcPr>
            <w:tcW w:w="1627"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金额（元）</w:t>
            </w:r>
          </w:p>
        </w:tc>
      </w:tr>
      <w:tr w14:paraId="12FDB466">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1711"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26704756">
            <w:pPr>
              <w:adjustRightInd/>
              <w:snapToGrid/>
              <w:spacing w:after="0"/>
              <w:jc w:val="center"/>
              <w:rPr>
                <w:rFonts w:hint="default" w:ascii="Times New Roman" w:hAnsi="Times New Roman" w:eastAsia="方正仿宋_GBK" w:cs="Times New Roman"/>
                <w:b/>
                <w:bCs/>
                <w:sz w:val="24"/>
                <w:szCs w:val="24"/>
                <w:highlight w:val="none"/>
              </w:rPr>
            </w:pPr>
          </w:p>
        </w:tc>
        <w:tc>
          <w:tcPr>
            <w:tcW w:w="992" w:type="dxa"/>
            <w:tcBorders>
              <w:top w:val="nil"/>
              <w:left w:val="nil"/>
              <w:bottom w:val="single" w:color="auto" w:sz="4" w:space="0"/>
              <w:right w:val="single" w:color="auto" w:sz="4" w:space="0"/>
            </w:tcBorders>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r>
      <w:tr w14:paraId="0E877BCF">
        <w:tblPrEx>
          <w:tblCellMar>
            <w:top w:w="0" w:type="dxa"/>
            <w:left w:w="108" w:type="dxa"/>
            <w:bottom w:w="0" w:type="dxa"/>
            <w:right w:w="108" w:type="dxa"/>
          </w:tblCellMar>
        </w:tblPrEx>
        <w:trPr>
          <w:trHeight w:val="836" w:hRule="atLeast"/>
          <w:jc w:val="center"/>
        </w:trPr>
        <w:tc>
          <w:tcPr>
            <w:tcW w:w="6311" w:type="dxa"/>
            <w:gridSpan w:val="6"/>
            <w:tcBorders>
              <w:top w:val="nil"/>
              <w:left w:val="single" w:color="auto" w:sz="4" w:space="0"/>
              <w:bottom w:val="single" w:color="auto" w:sz="4" w:space="0"/>
              <w:right w:val="single" w:color="auto" w:sz="4" w:space="0"/>
            </w:tcBorders>
            <w:noWrap w:val="0"/>
            <w:vAlign w:val="center"/>
          </w:tcPr>
          <w:p w14:paraId="47F666EB">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903F576">
        <w:tblPrEx>
          <w:tblCellMar>
            <w:top w:w="0" w:type="dxa"/>
            <w:left w:w="108" w:type="dxa"/>
            <w:bottom w:w="0" w:type="dxa"/>
            <w:right w:w="108" w:type="dxa"/>
          </w:tblCellMar>
        </w:tblPrEx>
        <w:trPr>
          <w:trHeight w:val="716" w:hRule="atLeast"/>
          <w:jc w:val="center"/>
        </w:trPr>
        <w:tc>
          <w:tcPr>
            <w:tcW w:w="9571" w:type="dxa"/>
            <w:gridSpan w:val="8"/>
            <w:tcBorders>
              <w:top w:val="nil"/>
              <w:left w:val="single" w:color="auto" w:sz="4" w:space="0"/>
              <w:bottom w:val="single" w:color="auto" w:sz="4" w:space="0"/>
              <w:right w:val="single" w:color="auto" w:sz="4" w:space="0"/>
            </w:tcBorders>
            <w:noWrap w:val="0"/>
            <w:vAlign w:val="center"/>
          </w:tcPr>
          <w:p w14:paraId="74D1688C">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746B38F4">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供货期一年，自合同签订之日起算，按需分批次供货，按实际数量结算。乙方接到送货通知后3个工作日内送达指定地点，并完成卸货、就位至甲方指定堆放/接入位置，运输、装卸、就位及运输途中的一切风险由乙方承担。</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741B73D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lang w:val="en-US" w:eastAsia="zh-CN"/>
        </w:rPr>
        <w:t>3.供货要求：</w:t>
      </w:r>
      <w:r>
        <w:rPr>
          <w:rFonts w:hint="eastAsia" w:ascii="方正仿宋_GBK" w:hAnsi="方正仿宋_GBK" w:eastAsia="方正仿宋_GBK" w:cs="方正仿宋_GBK"/>
          <w:sz w:val="28"/>
          <w:szCs w:val="28"/>
          <w:highlight w:val="none"/>
          <w:lang w:val="en-US" w:eastAsia="zh-CN"/>
        </w:rPr>
        <w:t>每批随车附出厂合格报告及质量证明书。货物到场后由甲方按GB/T 320-2025标准现场取样化验，以总酸度≥31.0%为验收依据，若检测结果未达到标准，甲方有权拒收并退货，由此产生的运输费、装卸费、处置费等全部损失由乙方承担，乙方应在接到退货通知后2个工作日内补足合格货物</w:t>
      </w:r>
      <w:r>
        <w:rPr>
          <w:rFonts w:hint="eastAsia" w:ascii="方正仿宋_GBK" w:hAnsi="方正仿宋_GBK" w:eastAsia="方正仿宋_GBK" w:cs="方正仿宋_GBK"/>
          <w:sz w:val="28"/>
          <w:szCs w:val="28"/>
          <w:highlight w:val="none"/>
        </w:rPr>
        <w:t>。</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符合现场使用要求</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元整，本合同为</w:t>
      </w:r>
      <w:r>
        <w:rPr>
          <w:rFonts w:hint="eastAsia" w:ascii="方正仿宋_GBK" w:hAnsi="方正仿宋_GBK" w:eastAsia="方正仿宋_GBK" w:cs="方正仿宋_GBK"/>
          <w:sz w:val="28"/>
          <w:szCs w:val="28"/>
          <w:highlight w:val="none"/>
        </w:rPr>
        <w:t>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合同，金额包含包装费、运费、税金、保险费等， 双方不能因市场价格变化</w:t>
      </w:r>
      <w:r>
        <w:rPr>
          <w:rFonts w:hint="eastAsia" w:ascii="方正仿宋_GBK" w:hAnsi="方正仿宋_GBK" w:eastAsia="方正仿宋_GBK" w:cs="方正仿宋_GBK"/>
          <w:sz w:val="28"/>
          <w:szCs w:val="28"/>
        </w:rPr>
        <w:t>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本项目供货期为一年，根据甲方实际需要分批次供货，按实际供货数量据实结算。每批次货物运送至甲方指定地点并验收合格后，乙方应向甲方提供经双方确认的当批次送货清单及等额、合法、有效的增值税专用发票。甲方自收到准确清单和合规发票且核对无误后，于次二月完成对应批次货款支付。若乙方未按时提供发票，或提供的发票不符合税务及甲方财务要求（包括但不限于信息错误、税率不符、无法认证抵扣等），甲方有权顺延付款期限，直至收到合规发票为止，由此产生的付款延迟不视为甲方违约，甲方无需承担任何逾期付款利息或违约责任。乙方需提供履约保证金（合同价的5%），其履约保证金于合同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5" w:name="_Toc7441"/>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5"/>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6" w:name="_Toc29938"/>
      <w:r>
        <w:rPr>
          <w:rFonts w:ascii="Times New Roman" w:hAnsi="Times New Roman" w:eastAsia="黑体"/>
          <w:kern w:val="2"/>
          <w:sz w:val="28"/>
          <w:szCs w:val="28"/>
        </w:rPr>
        <w:t>第七条 包装标准、包装物的供应与回收</w:t>
      </w:r>
      <w:bookmarkEnd w:id="16"/>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7" w:name="_Toc13446"/>
      <w:r>
        <w:rPr>
          <w:rFonts w:ascii="Times New Roman" w:hAnsi="Times New Roman" w:eastAsia="黑体"/>
          <w:sz w:val="28"/>
          <w:szCs w:val="28"/>
        </w:rPr>
        <w:t>第八条 质量保证</w:t>
      </w:r>
      <w:bookmarkEnd w:id="17"/>
    </w:p>
    <w:p w14:paraId="3146C0BA">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乙</w:t>
      </w:r>
      <w:r>
        <w:rPr>
          <w:rFonts w:hint="eastAsia" w:ascii="Times New Roman" w:hAnsi="Times New Roman" w:eastAsia="方正仿宋_GBK"/>
          <w:sz w:val="28"/>
          <w:szCs w:val="28"/>
          <w:lang w:eastAsia="zh-CN"/>
        </w:rPr>
        <w:t>方</w:t>
      </w:r>
      <w:r>
        <w:rPr>
          <w:rFonts w:ascii="Times New Roman" w:hAnsi="Times New Roman" w:eastAsia="方正仿宋_GBK"/>
          <w:sz w:val="28"/>
          <w:szCs w:val="28"/>
        </w:rPr>
        <w:t>保证其供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18" w:name="_Toc10067"/>
      <w:r>
        <w:rPr>
          <w:rFonts w:hint="eastAsia" w:ascii="Times New Roman" w:hAnsi="Times New Roman" w:eastAsia="黑体" w:cs="Times New Roman"/>
          <w:sz w:val="28"/>
          <w:szCs w:val="28"/>
          <w:lang w:val="en-US" w:eastAsia="zh-CN" w:bidi="ar-SA"/>
        </w:rPr>
        <w:t>第九条 违约责任</w:t>
      </w:r>
      <w:bookmarkEnd w:id="18"/>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19" w:name="_Toc25796"/>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19"/>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20" w:name="_Toc11158"/>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20"/>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1" w:name="_Toc22429"/>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1"/>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2" w:name="_Toc6212"/>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2"/>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3" w:name="_Toc30091"/>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23"/>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3D1AF18F">
      <w:pPr>
        <w:pStyle w:val="34"/>
        <w:spacing w:after="0" w:line="579" w:lineRule="atLeast"/>
        <w:contextualSpacing/>
        <w:jc w:val="both"/>
        <w:outlineLvl w:val="0"/>
        <w:rPr>
          <w:rFonts w:hint="eastAsia" w:ascii="Times New Roman" w:hAnsi="Times New Roman" w:eastAsia="方正仿宋_GBK" w:cs="Times New Roman"/>
          <w:b/>
          <w:bCs/>
          <w:sz w:val="28"/>
          <w:szCs w:val="28"/>
          <w:highlight w:val="none"/>
          <w:lang w:val="en-US" w:eastAsia="zh-CN"/>
        </w:rPr>
      </w:pPr>
      <w:bookmarkStart w:id="24" w:name="_Toc2257"/>
      <w:bookmarkStart w:id="25" w:name="_Toc30647"/>
    </w:p>
    <w:p w14:paraId="40D14D1D">
      <w:pPr>
        <w:pStyle w:val="34"/>
        <w:spacing w:after="0" w:line="579" w:lineRule="atLeast"/>
        <w:contextualSpacing/>
        <w:jc w:val="both"/>
        <w:outlineLvl w:val="0"/>
        <w:rPr>
          <w:rFonts w:hint="eastAsia" w:ascii="Times New Roman" w:hAnsi="Times New Roman" w:eastAsia="方正仿宋_GBK" w:cs="Times New Roman"/>
          <w:b/>
          <w:bCs/>
          <w:sz w:val="28"/>
          <w:szCs w:val="28"/>
          <w:highlight w:val="none"/>
          <w:lang w:val="en-US" w:eastAsia="zh-CN"/>
        </w:rPr>
      </w:pPr>
    </w:p>
    <w:p w14:paraId="44C462DB">
      <w:pPr>
        <w:pStyle w:val="34"/>
        <w:spacing w:after="0" w:line="579" w:lineRule="atLeast"/>
        <w:contextualSpacing/>
        <w:jc w:val="both"/>
        <w:outlineLvl w:val="0"/>
        <w:rPr>
          <w:rFonts w:hint="eastAsia" w:ascii="Times New Roman" w:hAnsi="Times New Roman" w:eastAsia="方正仿宋_GBK" w:cs="Times New Roman"/>
          <w:b/>
          <w:bCs/>
          <w:sz w:val="28"/>
          <w:szCs w:val="28"/>
          <w:highlight w:val="none"/>
          <w:lang w:val="en-US" w:eastAsia="zh-CN"/>
        </w:rPr>
      </w:pPr>
    </w:p>
    <w:p w14:paraId="10BD5C77">
      <w:pPr>
        <w:pStyle w:val="34"/>
        <w:spacing w:after="0" w:line="579" w:lineRule="atLeast"/>
        <w:contextualSpacing/>
        <w:jc w:val="both"/>
        <w:outlineLvl w:val="0"/>
        <w:rPr>
          <w:rFonts w:hint="eastAsia" w:ascii="Times New Roman" w:hAnsi="Times New Roman" w:eastAsia="方正仿宋_GBK" w:cs="Times New Roman"/>
          <w:b/>
          <w:bCs/>
          <w:sz w:val="28"/>
          <w:szCs w:val="28"/>
          <w:highlight w:val="none"/>
          <w:lang w:val="en-US" w:eastAsia="zh-CN"/>
        </w:rPr>
      </w:pPr>
    </w:p>
    <w:p w14:paraId="677E5E38">
      <w:pPr>
        <w:pStyle w:val="34"/>
        <w:spacing w:after="0" w:line="579" w:lineRule="atLeast"/>
        <w:contextualSpacing/>
        <w:jc w:val="both"/>
        <w:outlineLvl w:val="0"/>
        <w:rPr>
          <w:rFonts w:hint="eastAsia" w:ascii="Times New Roman" w:hAnsi="Times New Roman" w:eastAsia="方正仿宋_GBK" w:cs="Times New Roman"/>
          <w:b/>
          <w:bCs/>
          <w:sz w:val="28"/>
          <w:szCs w:val="28"/>
          <w:highlight w:val="none"/>
          <w:lang w:val="en-US" w:eastAsia="zh-CN"/>
        </w:rPr>
      </w:pPr>
    </w:p>
    <w:p w14:paraId="69355174">
      <w:pPr>
        <w:pStyle w:val="34"/>
        <w:spacing w:after="0" w:line="579" w:lineRule="atLeast"/>
        <w:contextualSpacing/>
        <w:jc w:val="both"/>
        <w:outlineLvl w:val="0"/>
        <w:rPr>
          <w:rFonts w:hint="eastAsia" w:ascii="Times New Roman" w:hAnsi="Times New Roman" w:eastAsia="方正仿宋_GBK" w:cs="Times New Roman"/>
          <w:b/>
          <w:bCs/>
          <w:sz w:val="28"/>
          <w:szCs w:val="28"/>
          <w:highlight w:val="none"/>
          <w:lang w:val="en-US" w:eastAsia="zh-CN"/>
        </w:rPr>
      </w:pPr>
    </w:p>
    <w:p w14:paraId="74A70551">
      <w:pPr>
        <w:pStyle w:val="34"/>
        <w:spacing w:after="0" w:line="579" w:lineRule="atLeast"/>
        <w:contextualSpacing/>
        <w:jc w:val="both"/>
        <w:outlineLvl w:val="0"/>
        <w:rPr>
          <w:rFonts w:hint="eastAsia" w:ascii="Times New Roman" w:hAnsi="Times New Roman" w:eastAsia="方正仿宋_GBK"/>
          <w:sz w:val="28"/>
          <w:szCs w:val="28"/>
        </w:rPr>
      </w:pPr>
      <w:r>
        <w:rPr>
          <w:rFonts w:hint="eastAsia" w:ascii="Times New Roman" w:hAnsi="Times New Roman" w:eastAsia="方正仿宋_GBK" w:cs="Times New Roman"/>
          <w:b/>
          <w:bCs/>
          <w:sz w:val="28"/>
          <w:szCs w:val="28"/>
          <w:highlight w:val="none"/>
          <w:lang w:val="en-US" w:eastAsia="zh-CN"/>
        </w:rPr>
        <w:t>附件：</w:t>
      </w:r>
      <w:bookmarkEnd w:id="24"/>
      <w:bookmarkEnd w:id="25"/>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4C06F4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年度盐酸采购项目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4"/>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19E39785">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45DB30EE">
      <w:pPr>
        <w:pStyle w:val="2"/>
        <w:numPr>
          <w:ilvl w:val="0"/>
          <w:numId w:val="0"/>
        </w:numPr>
        <w:jc w:val="both"/>
        <w:rPr>
          <w:rFonts w:hint="eastAsia" w:ascii="仿宋" w:hAnsi="仿宋" w:eastAsia="仿宋" w:cs="仿宋"/>
          <w:snapToGrid w:val="0"/>
          <w:sz w:val="44"/>
          <w:szCs w:val="44"/>
          <w:lang w:val="en-US" w:eastAsia="zh-CN"/>
        </w:rPr>
      </w:pPr>
    </w:p>
    <w:p w14:paraId="442C1AD2">
      <w:pPr>
        <w:rPr>
          <w:rFonts w:hint="eastAsia" w:ascii="仿宋" w:hAnsi="仿宋" w:eastAsia="仿宋" w:cs="仿宋"/>
          <w:snapToGrid w:val="0"/>
          <w:sz w:val="44"/>
          <w:szCs w:val="44"/>
          <w:lang w:val="en-US" w:eastAsia="zh-CN"/>
        </w:rPr>
      </w:pPr>
    </w:p>
    <w:p w14:paraId="42E98658">
      <w:pPr>
        <w:pStyle w:val="12"/>
        <w:rPr>
          <w:rFonts w:hint="eastAsia"/>
          <w:lang w:val="en-US" w:eastAsia="zh-CN"/>
        </w:rPr>
      </w:pPr>
    </w:p>
    <w:p w14:paraId="67BD8EF6">
      <w:pPr>
        <w:pStyle w:val="2"/>
        <w:numPr>
          <w:ilvl w:val="0"/>
          <w:numId w:val="0"/>
        </w:numPr>
        <w:jc w:val="center"/>
        <w:rPr>
          <w:rFonts w:hint="eastAsia" w:ascii="仿宋" w:hAnsi="仿宋" w:eastAsia="仿宋" w:cs="仿宋"/>
          <w:snapToGrid w:val="0"/>
          <w:sz w:val="44"/>
          <w:szCs w:val="44"/>
        </w:rPr>
      </w:pPr>
    </w:p>
    <w:p w14:paraId="7DE9D414">
      <w:pPr>
        <w:pStyle w:val="2"/>
        <w:numPr>
          <w:ilvl w:val="0"/>
          <w:numId w:val="0"/>
        </w:numPr>
        <w:jc w:val="center"/>
        <w:rPr>
          <w:rFonts w:hint="eastAsia" w:ascii="仿宋" w:hAnsi="仿宋" w:eastAsia="仿宋" w:cs="仿宋"/>
          <w:snapToGrid w:val="0"/>
          <w:sz w:val="44"/>
          <w:szCs w:val="44"/>
        </w:rPr>
      </w:pPr>
      <w:bookmarkStart w:id="26" w:name="_Toc31775"/>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26"/>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年度盐酸采购项目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 xml:space="preserve">SX-CG-YS-2609009 </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3557E293">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27" w:name="_Toc852"/>
      <w:r>
        <w:rPr>
          <w:rStyle w:val="20"/>
          <w:rFonts w:hint="eastAsia" w:ascii="仿宋" w:hAnsi="仿宋" w:eastAsia="仿宋" w:cs="仿宋"/>
          <w:sz w:val="30"/>
        </w:rPr>
        <w:t>附件一：</w:t>
      </w:r>
      <w:bookmarkEnd w:id="27"/>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u w:val="none"/>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年度盐酸采购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eastAsia="zh-CN"/>
              </w:rPr>
            </w:pPr>
            <w:r>
              <w:rPr>
                <w:rFonts w:hint="eastAsia" w:ascii="仿宋" w:hAnsi="仿宋" w:eastAsia="仿宋" w:cs="仿宋"/>
                <w:b w:val="0"/>
                <w:bCs w:val="0"/>
                <w:i w:val="0"/>
                <w:iCs w:val="0"/>
                <w:color w:val="auto"/>
                <w:sz w:val="24"/>
                <w:szCs w:val="24"/>
                <w:highlight w:val="none"/>
                <w:lang w:val="en-US" w:eastAsia="zh-CN"/>
              </w:rPr>
              <w:t>营业执照</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14E9C7A5">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提供加盖公章的、在有效期限内的营业执照副本复印件，其经营范围须包含易制毒化学品（销售/经营）相关内容</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r w14:paraId="011DFA8A">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6FD2461F">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2</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7686751D">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危化品资质（双轨）</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1EB140D0">
            <w:pPr>
              <w:keepNext w:val="0"/>
              <w:keepLines w:val="0"/>
              <w:widowControl/>
              <w:suppressLineNumbers w:val="0"/>
              <w:jc w:val="left"/>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①生产厂家：提供《危险化学品安全生产许可证》，许可范围涵盖盐酸；</w:t>
            </w:r>
            <w:r>
              <w:rPr>
                <w:rFonts w:hint="eastAsia" w:ascii="仿宋" w:hAnsi="仿宋" w:eastAsia="仿宋" w:cs="仿宋"/>
                <w:b w:val="0"/>
                <w:bCs w:val="0"/>
                <w:i w:val="0"/>
                <w:iCs w:val="0"/>
                <w:color w:val="auto"/>
                <w:sz w:val="24"/>
                <w:szCs w:val="24"/>
                <w:highlight w:val="none"/>
                <w:lang w:val="en-US" w:eastAsia="zh-CN"/>
              </w:rPr>
              <w:br w:type="textWrapping"/>
            </w:r>
            <w:r>
              <w:rPr>
                <w:rFonts w:hint="eastAsia" w:ascii="仿宋" w:hAnsi="仿宋" w:eastAsia="仿宋" w:cs="仿宋"/>
                <w:b w:val="0"/>
                <w:bCs w:val="0"/>
                <w:i w:val="0"/>
                <w:iCs w:val="0"/>
                <w:color w:val="auto"/>
                <w:sz w:val="24"/>
                <w:szCs w:val="24"/>
                <w:highlight w:val="none"/>
                <w:lang w:val="en-US" w:eastAsia="zh-CN"/>
              </w:rPr>
              <w:t>②经销商/代理商：提供《危险化学品经营许可证》，许可品种含盐酸，并同时提供所代理生产厂家的《危险化学品安全生产许可证》</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01E54EE4">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76418A2A">
            <w:pPr>
              <w:autoSpaceDE w:val="0"/>
              <w:autoSpaceDN w:val="0"/>
              <w:spacing w:line="360" w:lineRule="auto"/>
              <w:jc w:val="center"/>
              <w:rPr>
                <w:rFonts w:hint="eastAsia" w:ascii="仿宋" w:hAnsi="仿宋" w:eastAsia="仿宋" w:cs="仿宋"/>
                <w:color w:val="auto"/>
                <w:sz w:val="24"/>
                <w:szCs w:val="24"/>
                <w:highlight w:val="none"/>
              </w:rPr>
            </w:pPr>
          </w:p>
        </w:tc>
      </w:tr>
      <w:tr w14:paraId="468C2F20">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2FCB885E">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3</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0D7DB64C">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易制毒化学品资质</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4FA47A13">
            <w:pPr>
              <w:keepNext w:val="0"/>
              <w:keepLines w:val="0"/>
              <w:widowControl/>
              <w:suppressLineNumbers w:val="0"/>
              <w:jc w:val="left"/>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生产厂家提供第三类生产备案证明；经销商提供《非药品类易制毒化学品经营备案证明》</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185901B2">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2AA2B657">
            <w:pPr>
              <w:autoSpaceDE w:val="0"/>
              <w:autoSpaceDN w:val="0"/>
              <w:spacing w:line="360" w:lineRule="auto"/>
              <w:jc w:val="center"/>
              <w:rPr>
                <w:rFonts w:hint="eastAsia" w:ascii="仿宋" w:hAnsi="仿宋" w:eastAsia="仿宋" w:cs="仿宋"/>
                <w:color w:val="auto"/>
                <w:sz w:val="24"/>
                <w:szCs w:val="24"/>
                <w:highlight w:val="none"/>
              </w:rPr>
            </w:pPr>
          </w:p>
        </w:tc>
      </w:tr>
    </w:tbl>
    <w:p w14:paraId="29A62C88">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6FFDA52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4680AE5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4D39D75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06E6F7CC">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57C1826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both"/>
        <w:textAlignment w:val="auto"/>
        <w:rPr>
          <w:rFonts w:hint="eastAsia" w:ascii="仿宋" w:hAnsi="仿宋" w:eastAsia="仿宋" w:cs="仿宋"/>
          <w:sz w:val="30"/>
          <w:szCs w:val="30"/>
          <w:lang w:val="en-US" w:eastAsia="zh-CN"/>
        </w:rPr>
      </w:pP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29CC4140">
      <w:pPr>
        <w:jc w:val="left"/>
        <w:outlineLvl w:val="0"/>
        <w:rPr>
          <w:rStyle w:val="20"/>
          <w:rFonts w:hint="eastAsia" w:ascii="仿宋" w:hAnsi="仿宋" w:eastAsia="仿宋" w:cs="仿宋"/>
          <w:sz w:val="30"/>
        </w:rPr>
      </w:pPr>
    </w:p>
    <w:p w14:paraId="3C842536">
      <w:pPr>
        <w:jc w:val="left"/>
        <w:outlineLvl w:val="0"/>
        <w:rPr>
          <w:rStyle w:val="20"/>
          <w:rFonts w:hint="eastAsia" w:ascii="仿宋" w:hAnsi="仿宋" w:eastAsia="仿宋" w:cs="仿宋"/>
          <w:sz w:val="30"/>
        </w:rPr>
      </w:pPr>
    </w:p>
    <w:p w14:paraId="58BF90BF">
      <w:pPr>
        <w:jc w:val="left"/>
        <w:outlineLvl w:val="0"/>
        <w:rPr>
          <w:rStyle w:val="20"/>
          <w:rFonts w:hint="eastAsia" w:ascii="仿宋" w:hAnsi="仿宋" w:eastAsia="仿宋" w:cs="仿宋"/>
          <w:sz w:val="30"/>
        </w:rPr>
      </w:pPr>
    </w:p>
    <w:p w14:paraId="74076C26">
      <w:pPr>
        <w:jc w:val="left"/>
        <w:outlineLvl w:val="0"/>
        <w:rPr>
          <w:rStyle w:val="20"/>
          <w:rFonts w:hint="eastAsia" w:ascii="仿宋" w:hAnsi="仿宋" w:eastAsia="仿宋" w:cs="仿宋"/>
          <w:sz w:val="30"/>
        </w:rPr>
      </w:pPr>
    </w:p>
    <w:p w14:paraId="385FD7C2">
      <w:pPr>
        <w:jc w:val="left"/>
        <w:outlineLvl w:val="0"/>
        <w:rPr>
          <w:rStyle w:val="20"/>
          <w:rFonts w:hint="eastAsia" w:ascii="仿宋" w:hAnsi="仿宋" w:eastAsia="仿宋" w:cs="仿宋"/>
          <w:sz w:val="30"/>
        </w:rPr>
      </w:pPr>
    </w:p>
    <w:p w14:paraId="6D3733FA">
      <w:pPr>
        <w:jc w:val="left"/>
        <w:outlineLvl w:val="0"/>
        <w:rPr>
          <w:rStyle w:val="20"/>
          <w:rFonts w:hint="eastAsia" w:ascii="仿宋" w:hAnsi="仿宋" w:eastAsia="仿宋" w:cs="仿宋"/>
          <w:sz w:val="30"/>
        </w:rPr>
      </w:pPr>
    </w:p>
    <w:p w14:paraId="2FA547C6">
      <w:pPr>
        <w:jc w:val="left"/>
        <w:outlineLvl w:val="0"/>
        <w:rPr>
          <w:rStyle w:val="20"/>
          <w:rFonts w:hint="eastAsia" w:ascii="仿宋" w:hAnsi="仿宋" w:eastAsia="仿宋" w:cs="仿宋"/>
          <w:sz w:val="30"/>
        </w:rPr>
      </w:pPr>
    </w:p>
    <w:p w14:paraId="076107F6">
      <w:pPr>
        <w:jc w:val="left"/>
        <w:outlineLvl w:val="0"/>
        <w:rPr>
          <w:rStyle w:val="20"/>
          <w:rFonts w:hint="eastAsia" w:ascii="仿宋" w:hAnsi="仿宋" w:eastAsia="仿宋" w:cs="仿宋"/>
          <w:sz w:val="30"/>
        </w:rPr>
      </w:pPr>
    </w:p>
    <w:p w14:paraId="4F34F08D">
      <w:pPr>
        <w:jc w:val="left"/>
        <w:outlineLvl w:val="0"/>
        <w:rPr>
          <w:rStyle w:val="20"/>
          <w:rFonts w:hint="eastAsia" w:ascii="仿宋" w:hAnsi="仿宋" w:eastAsia="仿宋" w:cs="仿宋"/>
          <w:sz w:val="30"/>
        </w:rPr>
      </w:pPr>
    </w:p>
    <w:p w14:paraId="15B83E2E">
      <w:pPr>
        <w:jc w:val="left"/>
        <w:outlineLvl w:val="0"/>
        <w:rPr>
          <w:rStyle w:val="20"/>
          <w:rFonts w:hint="eastAsia" w:ascii="仿宋" w:hAnsi="仿宋" w:eastAsia="仿宋" w:cs="仿宋"/>
          <w:sz w:val="30"/>
        </w:rPr>
      </w:pPr>
    </w:p>
    <w:p w14:paraId="7CDB2AEB">
      <w:pPr>
        <w:jc w:val="left"/>
        <w:outlineLvl w:val="0"/>
        <w:rPr>
          <w:rStyle w:val="20"/>
          <w:rFonts w:hint="eastAsia" w:ascii="仿宋" w:hAnsi="仿宋" w:eastAsia="仿宋" w:cs="仿宋"/>
          <w:sz w:val="30"/>
        </w:rPr>
      </w:pPr>
    </w:p>
    <w:p w14:paraId="080A3E93">
      <w:pPr>
        <w:jc w:val="left"/>
        <w:outlineLvl w:val="0"/>
        <w:rPr>
          <w:rStyle w:val="20"/>
          <w:rFonts w:hint="eastAsia" w:ascii="仿宋" w:hAnsi="仿宋" w:eastAsia="仿宋" w:cs="仿宋"/>
          <w:sz w:val="30"/>
        </w:rPr>
      </w:pPr>
    </w:p>
    <w:p w14:paraId="45E1DF63">
      <w:pPr>
        <w:jc w:val="left"/>
        <w:outlineLvl w:val="0"/>
        <w:rPr>
          <w:rStyle w:val="20"/>
          <w:rFonts w:hint="eastAsia" w:ascii="仿宋" w:hAnsi="仿宋" w:eastAsia="仿宋" w:cs="仿宋"/>
          <w:sz w:val="30"/>
        </w:rPr>
      </w:pPr>
    </w:p>
    <w:p w14:paraId="0837E6B3">
      <w:pPr>
        <w:jc w:val="left"/>
        <w:outlineLvl w:val="0"/>
        <w:rPr>
          <w:rStyle w:val="20"/>
          <w:rFonts w:hint="eastAsia" w:ascii="仿宋" w:hAnsi="仿宋" w:eastAsia="仿宋" w:cs="仿宋"/>
          <w:sz w:val="30"/>
        </w:rPr>
      </w:pPr>
    </w:p>
    <w:p w14:paraId="388D72AE">
      <w:pPr>
        <w:jc w:val="left"/>
        <w:outlineLvl w:val="0"/>
        <w:rPr>
          <w:rStyle w:val="20"/>
          <w:rFonts w:hint="eastAsia" w:ascii="仿宋" w:hAnsi="仿宋" w:eastAsia="仿宋" w:cs="仿宋"/>
          <w:sz w:val="30"/>
        </w:rPr>
      </w:pPr>
    </w:p>
    <w:p w14:paraId="6AA50D0E">
      <w:pPr>
        <w:jc w:val="left"/>
        <w:outlineLvl w:val="0"/>
        <w:rPr>
          <w:rStyle w:val="20"/>
          <w:rFonts w:hint="eastAsia" w:ascii="仿宋" w:hAnsi="仿宋" w:eastAsia="仿宋" w:cs="仿宋"/>
          <w:sz w:val="30"/>
        </w:rPr>
      </w:pPr>
    </w:p>
    <w:p w14:paraId="1D5E4062">
      <w:pPr>
        <w:jc w:val="left"/>
        <w:outlineLvl w:val="0"/>
        <w:rPr>
          <w:rStyle w:val="20"/>
          <w:rFonts w:hint="eastAsia" w:ascii="仿宋" w:hAnsi="仿宋" w:eastAsia="仿宋" w:cs="仿宋"/>
          <w:sz w:val="30"/>
        </w:rPr>
      </w:pPr>
    </w:p>
    <w:p w14:paraId="2219701F">
      <w:pPr>
        <w:jc w:val="left"/>
        <w:outlineLvl w:val="0"/>
        <w:rPr>
          <w:rStyle w:val="20"/>
          <w:rFonts w:hint="eastAsia" w:ascii="仿宋" w:hAnsi="仿宋" w:eastAsia="仿宋" w:cs="仿宋"/>
          <w:sz w:val="30"/>
        </w:rPr>
      </w:pPr>
    </w:p>
    <w:p w14:paraId="7E30E1DE">
      <w:pPr>
        <w:jc w:val="left"/>
        <w:outlineLvl w:val="0"/>
        <w:rPr>
          <w:rStyle w:val="20"/>
          <w:rFonts w:hint="eastAsia" w:ascii="仿宋" w:hAnsi="仿宋" w:eastAsia="仿宋" w:cs="仿宋"/>
          <w:sz w:val="30"/>
        </w:rPr>
      </w:pPr>
    </w:p>
    <w:p w14:paraId="504D4AC2">
      <w:pPr>
        <w:jc w:val="left"/>
        <w:outlineLvl w:val="0"/>
        <w:rPr>
          <w:rStyle w:val="20"/>
          <w:rFonts w:hint="eastAsia" w:ascii="仿宋" w:hAnsi="仿宋" w:eastAsia="仿宋" w:cs="仿宋"/>
          <w:sz w:val="30"/>
        </w:rPr>
      </w:pPr>
    </w:p>
    <w:p w14:paraId="6E94060E">
      <w:pPr>
        <w:jc w:val="left"/>
        <w:outlineLvl w:val="0"/>
        <w:rPr>
          <w:rStyle w:val="20"/>
          <w:rFonts w:hint="eastAsia" w:ascii="仿宋" w:hAnsi="仿宋" w:eastAsia="仿宋" w:cs="仿宋"/>
          <w:sz w:val="30"/>
        </w:rPr>
      </w:pPr>
    </w:p>
    <w:p w14:paraId="3B78FAE4">
      <w:pPr>
        <w:jc w:val="left"/>
        <w:outlineLvl w:val="0"/>
        <w:rPr>
          <w:rStyle w:val="20"/>
          <w:rFonts w:hint="eastAsia" w:ascii="仿宋" w:hAnsi="仿宋" w:eastAsia="仿宋" w:cs="仿宋"/>
          <w:sz w:val="30"/>
        </w:rPr>
      </w:pPr>
    </w:p>
    <w:p w14:paraId="3EEC75EB">
      <w:pPr>
        <w:jc w:val="left"/>
        <w:outlineLvl w:val="0"/>
        <w:rPr>
          <w:rStyle w:val="20"/>
          <w:rFonts w:hint="eastAsia" w:ascii="仿宋" w:hAnsi="仿宋" w:eastAsia="仿宋" w:cs="仿宋"/>
          <w:sz w:val="30"/>
        </w:rPr>
      </w:pPr>
    </w:p>
    <w:p w14:paraId="663F6AF2">
      <w:pPr>
        <w:jc w:val="left"/>
        <w:outlineLvl w:val="0"/>
        <w:rPr>
          <w:rStyle w:val="20"/>
          <w:rFonts w:hint="eastAsia" w:ascii="仿宋" w:hAnsi="仿宋" w:eastAsia="仿宋" w:cs="仿宋"/>
          <w:sz w:val="30"/>
        </w:rPr>
      </w:pPr>
    </w:p>
    <w:p w14:paraId="50079C21">
      <w:pPr>
        <w:jc w:val="left"/>
        <w:outlineLvl w:val="0"/>
        <w:rPr>
          <w:rStyle w:val="20"/>
          <w:rFonts w:hint="eastAsia" w:ascii="仿宋" w:hAnsi="仿宋" w:eastAsia="仿宋" w:cs="仿宋"/>
          <w:sz w:val="30"/>
        </w:rPr>
      </w:pPr>
    </w:p>
    <w:p w14:paraId="32C0482B">
      <w:pPr>
        <w:jc w:val="left"/>
        <w:outlineLvl w:val="0"/>
        <w:rPr>
          <w:rStyle w:val="20"/>
          <w:rFonts w:hint="eastAsia" w:ascii="仿宋" w:hAnsi="仿宋" w:eastAsia="仿宋" w:cs="仿宋"/>
          <w:sz w:val="30"/>
        </w:rPr>
      </w:pPr>
    </w:p>
    <w:p w14:paraId="4E8D16F2">
      <w:pPr>
        <w:jc w:val="left"/>
        <w:outlineLvl w:val="0"/>
        <w:rPr>
          <w:rStyle w:val="20"/>
          <w:rFonts w:hint="eastAsia" w:ascii="仿宋" w:hAnsi="仿宋" w:eastAsia="仿宋" w:cs="仿宋"/>
          <w:sz w:val="30"/>
        </w:rPr>
      </w:pPr>
    </w:p>
    <w:p w14:paraId="743E8D4B">
      <w:pPr>
        <w:jc w:val="left"/>
        <w:outlineLvl w:val="0"/>
        <w:rPr>
          <w:rStyle w:val="20"/>
          <w:rFonts w:hint="eastAsia" w:ascii="仿宋" w:hAnsi="仿宋" w:eastAsia="仿宋" w:cs="仿宋"/>
          <w:sz w:val="30"/>
        </w:rPr>
      </w:pPr>
      <w:bookmarkStart w:id="28" w:name="_Toc20701"/>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28"/>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年度盐酸采购 </w:t>
      </w:r>
      <w:r>
        <w:rPr>
          <w:rFonts w:hint="eastAsia" w:ascii="仿宋" w:hAnsi="仿宋" w:eastAsia="仿宋" w:cs="仿宋"/>
          <w:sz w:val="30"/>
          <w:szCs w:val="30"/>
          <w:u w:val="none"/>
          <w:lang w:val="en-US" w:eastAsia="zh-CN"/>
        </w:rPr>
        <w:t>项目。</w:t>
      </w:r>
    </w:p>
    <w:tbl>
      <w:tblPr>
        <w:tblStyle w:val="13"/>
        <w:tblW w:w="5687" w:type="pct"/>
        <w:jc w:val="center"/>
        <w:tblLayout w:type="fixed"/>
        <w:tblCellMar>
          <w:top w:w="0" w:type="dxa"/>
          <w:left w:w="108" w:type="dxa"/>
          <w:bottom w:w="0" w:type="dxa"/>
          <w:right w:w="108" w:type="dxa"/>
        </w:tblCellMar>
      </w:tblPr>
      <w:tblGrid>
        <w:gridCol w:w="672"/>
        <w:gridCol w:w="1485"/>
        <w:gridCol w:w="1978"/>
        <w:gridCol w:w="885"/>
        <w:gridCol w:w="913"/>
        <w:gridCol w:w="2261"/>
        <w:gridCol w:w="1095"/>
        <w:gridCol w:w="1273"/>
      </w:tblGrid>
      <w:tr w14:paraId="5D8F4982">
        <w:tblPrEx>
          <w:tblCellMar>
            <w:top w:w="0" w:type="dxa"/>
            <w:left w:w="108" w:type="dxa"/>
            <w:bottom w:w="0" w:type="dxa"/>
            <w:right w:w="108" w:type="dxa"/>
          </w:tblCellMar>
        </w:tblPrEx>
        <w:trPr>
          <w:trHeight w:val="71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F5CF6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363" w:type="dxa"/>
            <w:tcBorders>
              <w:top w:val="single" w:color="000000" w:sz="4" w:space="0"/>
              <w:left w:val="single" w:color="000000" w:sz="4" w:space="0"/>
              <w:bottom w:val="single" w:color="000000" w:sz="4" w:space="0"/>
              <w:right w:val="single" w:color="000000" w:sz="4" w:space="0"/>
            </w:tcBorders>
            <w:noWrap/>
            <w:vAlign w:val="center"/>
          </w:tcPr>
          <w:p w14:paraId="117D44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1815" w:type="dxa"/>
            <w:tcBorders>
              <w:top w:val="single" w:color="000000" w:sz="4" w:space="0"/>
              <w:left w:val="single" w:color="000000" w:sz="4" w:space="0"/>
              <w:bottom w:val="single" w:color="000000" w:sz="4" w:space="0"/>
              <w:right w:val="single" w:color="000000" w:sz="4" w:space="0"/>
            </w:tcBorders>
            <w:noWrap/>
            <w:vAlign w:val="center"/>
          </w:tcPr>
          <w:p w14:paraId="216D1C0F">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4A9257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预估数量</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2B93C5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075" w:type="dxa"/>
            <w:tcBorders>
              <w:top w:val="single" w:color="000000" w:sz="4" w:space="0"/>
              <w:left w:val="single" w:color="000000" w:sz="4" w:space="0"/>
              <w:bottom w:val="single" w:color="000000" w:sz="4" w:space="0"/>
              <w:right w:val="single" w:color="000000" w:sz="4" w:space="0"/>
            </w:tcBorders>
            <w:noWrap/>
            <w:vAlign w:val="center"/>
          </w:tcPr>
          <w:p w14:paraId="09F66CFA">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36F68A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68" w:type="dxa"/>
            <w:tcBorders>
              <w:top w:val="single" w:color="000000" w:sz="4" w:space="0"/>
              <w:left w:val="single" w:color="000000" w:sz="4" w:space="0"/>
              <w:bottom w:val="single" w:color="000000" w:sz="4" w:space="0"/>
              <w:right w:val="single" w:color="000000" w:sz="4" w:space="0"/>
            </w:tcBorders>
            <w:noWrap/>
            <w:vAlign w:val="center"/>
          </w:tcPr>
          <w:p w14:paraId="0C2FD5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2F3D8236">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CBAE70">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2B9000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盐酸</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474058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工业用合成盐酸，总酸度≥31.0%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1BFD591F">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w:t>
            </w: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298FDD8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吨</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15C5D9FA">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槽罐车罐装交付，须为氯气和氢气合成的新酸，不得使用回收酸或副产酸，质量符合GB/T 320-2025《工业用合成盐酸》要求</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0422092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F6DC1C6">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5A1FA070">
      <w:pPr>
        <w:pStyle w:val="9"/>
        <w:rPr>
          <w:rFonts w:hint="eastAsia" w:ascii="仿宋" w:hAnsi="仿宋" w:eastAsia="仿宋" w:cs="仿宋"/>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rPr>
        <w:t>报价如下</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0F87C4B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本项目供货期为一</w:t>
      </w:r>
      <w:r>
        <w:rPr>
          <w:rFonts w:hint="eastAsia" w:ascii="仿宋" w:hAnsi="仿宋" w:eastAsia="仿宋" w:cs="仿宋"/>
          <w:sz w:val="30"/>
          <w:szCs w:val="30"/>
          <w:lang w:val="en-US" w:eastAsia="zh-CN"/>
        </w:rPr>
        <w:t>年，根据采购人实际需要分批次供货，按实际供货数量据实结算。每批次货物运送至采购人指定地点并验收合格后，供货方应向采购人提供经双方确认的当批次送货清单及等额、合法、有效的增值税专用发票。采购人自收到准确清单和合规发票且核对无误后，于次二月完成对应批次货款支付。若供货方未按时提供发票，或提供的发票不符合税务及采购人财务要求（包括但不限于信息错误、税率不符、无法认证抵扣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币3.6</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2.该采购项目履约保证金为合同价的5%。供货方于合同签订前将履约保证金打入采购人指定账户。合同期满且无未决质量争议后无息退还履约保证金。</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72C15403">
      <w:pPr>
        <w:spacing w:line="480" w:lineRule="auto"/>
        <w:jc w:val="left"/>
        <w:outlineLvl w:val="0"/>
        <w:rPr>
          <w:rStyle w:val="20"/>
          <w:rFonts w:hint="eastAsia" w:ascii="仿宋" w:hAnsi="仿宋" w:eastAsia="仿宋" w:cs="仿宋"/>
          <w:sz w:val="30"/>
        </w:rPr>
      </w:pPr>
      <w:bookmarkStart w:id="29" w:name="_Toc7546"/>
    </w:p>
    <w:p w14:paraId="057BA671">
      <w:pPr>
        <w:spacing w:line="480" w:lineRule="auto"/>
        <w:jc w:val="left"/>
        <w:outlineLvl w:val="0"/>
        <w:rPr>
          <w:rStyle w:val="20"/>
          <w:rFonts w:hint="eastAsia" w:ascii="仿宋" w:hAnsi="仿宋" w:eastAsia="仿宋" w:cs="仿宋"/>
          <w:sz w:val="30"/>
        </w:rPr>
      </w:pPr>
    </w:p>
    <w:p w14:paraId="4BA40F3E">
      <w:pPr>
        <w:spacing w:line="480" w:lineRule="auto"/>
        <w:jc w:val="left"/>
        <w:outlineLvl w:val="0"/>
        <w:rPr>
          <w:rFonts w:hint="eastAsia" w:ascii="仿宋" w:hAnsi="仿宋" w:eastAsia="仿宋" w:cs="仿宋"/>
          <w:b/>
          <w:spacing w:val="-2"/>
          <w:sz w:val="30"/>
        </w:rPr>
      </w:pPr>
      <w:r>
        <w:rPr>
          <w:rStyle w:val="20"/>
          <w:rFonts w:hint="eastAsia" w:ascii="仿宋" w:hAnsi="仿宋" w:eastAsia="仿宋" w:cs="仿宋"/>
          <w:sz w:val="30"/>
        </w:rPr>
        <w:t>附件三：</w:t>
      </w:r>
      <w:bookmarkEnd w:id="29"/>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年度盐酸采购 </w:t>
      </w:r>
      <w:r>
        <w:rPr>
          <w:rFonts w:hint="eastAsia" w:ascii="仿宋" w:hAnsi="仿宋" w:eastAsia="仿宋" w:cs="仿宋"/>
          <w:color w:val="auto"/>
          <w:sz w:val="30"/>
          <w:szCs w:val="30"/>
          <w:u w:val="none"/>
          <w:lang w:val="en-US" w:eastAsia="zh-CN"/>
        </w:rPr>
        <w:t>项目。</w:t>
      </w:r>
    </w:p>
    <w:tbl>
      <w:tblPr>
        <w:tblStyle w:val="13"/>
        <w:tblW w:w="5687" w:type="pct"/>
        <w:jc w:val="center"/>
        <w:tblLayout w:type="fixed"/>
        <w:tblCellMar>
          <w:top w:w="0" w:type="dxa"/>
          <w:left w:w="108" w:type="dxa"/>
          <w:bottom w:w="0" w:type="dxa"/>
          <w:right w:w="108" w:type="dxa"/>
        </w:tblCellMar>
      </w:tblPr>
      <w:tblGrid>
        <w:gridCol w:w="672"/>
        <w:gridCol w:w="1485"/>
        <w:gridCol w:w="1978"/>
        <w:gridCol w:w="885"/>
        <w:gridCol w:w="913"/>
        <w:gridCol w:w="2261"/>
        <w:gridCol w:w="1095"/>
        <w:gridCol w:w="1273"/>
      </w:tblGrid>
      <w:tr w14:paraId="3A8CDCB8">
        <w:tblPrEx>
          <w:tblCellMar>
            <w:top w:w="0" w:type="dxa"/>
            <w:left w:w="108" w:type="dxa"/>
            <w:bottom w:w="0" w:type="dxa"/>
            <w:right w:w="108" w:type="dxa"/>
          </w:tblCellMar>
        </w:tblPrEx>
        <w:trPr>
          <w:trHeight w:val="71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6D2DE6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363" w:type="dxa"/>
            <w:tcBorders>
              <w:top w:val="single" w:color="000000" w:sz="4" w:space="0"/>
              <w:left w:val="single" w:color="000000" w:sz="4" w:space="0"/>
              <w:bottom w:val="single" w:color="000000" w:sz="4" w:space="0"/>
              <w:right w:val="single" w:color="000000" w:sz="4" w:space="0"/>
            </w:tcBorders>
            <w:noWrap/>
            <w:vAlign w:val="center"/>
          </w:tcPr>
          <w:p w14:paraId="147436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1815" w:type="dxa"/>
            <w:tcBorders>
              <w:top w:val="single" w:color="000000" w:sz="4" w:space="0"/>
              <w:left w:val="single" w:color="000000" w:sz="4" w:space="0"/>
              <w:bottom w:val="single" w:color="000000" w:sz="4" w:space="0"/>
              <w:right w:val="single" w:color="000000" w:sz="4" w:space="0"/>
            </w:tcBorders>
            <w:noWrap/>
            <w:vAlign w:val="center"/>
          </w:tcPr>
          <w:p w14:paraId="36F22910">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41ECE2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预估数量</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06A72A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075" w:type="dxa"/>
            <w:tcBorders>
              <w:top w:val="single" w:color="000000" w:sz="4" w:space="0"/>
              <w:left w:val="single" w:color="000000" w:sz="4" w:space="0"/>
              <w:bottom w:val="single" w:color="000000" w:sz="4" w:space="0"/>
              <w:right w:val="single" w:color="000000" w:sz="4" w:space="0"/>
            </w:tcBorders>
            <w:noWrap/>
            <w:vAlign w:val="center"/>
          </w:tcPr>
          <w:p w14:paraId="5805E9F4">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2E7286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68" w:type="dxa"/>
            <w:tcBorders>
              <w:top w:val="single" w:color="000000" w:sz="4" w:space="0"/>
              <w:left w:val="single" w:color="000000" w:sz="4" w:space="0"/>
              <w:bottom w:val="single" w:color="000000" w:sz="4" w:space="0"/>
              <w:right w:val="single" w:color="000000" w:sz="4" w:space="0"/>
            </w:tcBorders>
            <w:noWrap/>
            <w:vAlign w:val="center"/>
          </w:tcPr>
          <w:p w14:paraId="6433C7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6ED374F3">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25B29733">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9B3BD4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盐酸</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DB6BE1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工业用合成盐酸，总酸度≥31.0%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77EC173C">
            <w:pPr>
              <w:keepNext w:val="0"/>
              <w:keepLines w:val="0"/>
              <w:widowControl/>
              <w:suppressLineNumbers w:val="0"/>
              <w:jc w:val="center"/>
              <w:textAlignment w:val="center"/>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w:t>
            </w: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0848C5E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吨</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1262B9DE">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槽罐车罐装交付，须为氯气和氢气合成的新酸，不得使用回收酸或副产酸，质量符合GB/T 320-2025《工业用合成盐酸》要求</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14:paraId="27E5A38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41C0C568">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35D37113">
      <w:pPr>
        <w:pStyle w:val="9"/>
        <w:rPr>
          <w:rFonts w:hint="eastAsia" w:ascii="仿宋" w:hAnsi="仿宋" w:eastAsia="仿宋" w:cs="仿宋"/>
          <w:color w:val="auto"/>
          <w:highlight w:val="none"/>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5B3CE64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lang w:val="en-US" w:eastAsia="zh-CN" w:bidi="ar-SA"/>
        </w:rPr>
        <w:t>1.</w:t>
      </w: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本项目供货期为一年，根据采购人实际需要分批次供货，按实际供货数量据实结算。每批次货物运送至采购人指定地点并验收合格后，供货方应向采购人提供经双方确认的当批次送货清单及等额、合法、有效的增值税专用发票。采购人自收到准确清单和合规发票且核对无误后，于次二月完成对应批次货款支付。若供货方未按时提供发票，或提供的发票不符合税务及采购人财务要求（包括但不限于信息错误、税率不符、无法认证抵扣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71BB1D46">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30" w:name="_Toc103165678"/>
      <w:bookmarkStart w:id="31" w:name="_Toc108839328"/>
      <w:bookmarkStart w:id="32" w:name="_Toc15338"/>
      <w:r>
        <w:rPr>
          <w:rStyle w:val="20"/>
          <w:rFonts w:hint="eastAsia" w:ascii="仿宋" w:hAnsi="仿宋" w:eastAsia="仿宋" w:cs="仿宋"/>
          <w:sz w:val="30"/>
        </w:rPr>
        <w:t>附件</w:t>
      </w:r>
      <w:bookmarkEnd w:id="30"/>
      <w:bookmarkEnd w:id="31"/>
      <w:r>
        <w:rPr>
          <w:rStyle w:val="20"/>
          <w:rFonts w:hint="eastAsia" w:ascii="仿宋" w:hAnsi="仿宋" w:eastAsia="仿宋" w:cs="仿宋"/>
          <w:sz w:val="30"/>
          <w:lang w:val="en-US"/>
        </w:rPr>
        <w:t>四：</w:t>
      </w:r>
      <w:bookmarkEnd w:id="32"/>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年度盐酸采购项目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1">
    <w:nsid w:val="F27CFA19"/>
    <w:multiLevelType w:val="singleLevel"/>
    <w:tmpl w:val="F27CFA19"/>
    <w:lvl w:ilvl="0" w:tentative="0">
      <w:start w:val="1"/>
      <w:numFmt w:val="decimal"/>
      <w:suff w:val="nothing"/>
      <w:lvlText w:val="%1"/>
      <w:lvlJc w:val="left"/>
      <w:pPr>
        <w:ind w:left="635" w:leftChars="0" w:hanging="425" w:firstLineChars="0"/>
      </w:pPr>
      <w:rPr>
        <w:rFonts w:hint="default"/>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16C5A506"/>
    <w:multiLevelType w:val="singleLevel"/>
    <w:tmpl w:val="16C5A506"/>
    <w:lvl w:ilvl="0" w:tentative="0">
      <w:start w:val="1"/>
      <w:numFmt w:val="decimal"/>
      <w:suff w:val="nothing"/>
      <w:lvlText w:val="%1"/>
      <w:lvlJc w:val="left"/>
      <w:pPr>
        <w:ind w:left="635" w:leftChars="0" w:hanging="425" w:firstLineChars="0"/>
      </w:pPr>
      <w:rPr>
        <w:rFonts w:hint="default"/>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5"/>
  </w:num>
  <w:num w:numId="3">
    <w:abstractNumId w:val="6"/>
  </w:num>
  <w:num w:numId="4">
    <w:abstractNumId w:val="0"/>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4D9535F"/>
    <w:rsid w:val="054D10EA"/>
    <w:rsid w:val="05D22118"/>
    <w:rsid w:val="05EC05B3"/>
    <w:rsid w:val="06057AB3"/>
    <w:rsid w:val="06440E39"/>
    <w:rsid w:val="067A3460"/>
    <w:rsid w:val="072764AD"/>
    <w:rsid w:val="076328DA"/>
    <w:rsid w:val="08186607"/>
    <w:rsid w:val="08323D9B"/>
    <w:rsid w:val="083A3947"/>
    <w:rsid w:val="08F93082"/>
    <w:rsid w:val="097479E0"/>
    <w:rsid w:val="0A0C6ADD"/>
    <w:rsid w:val="0A32752C"/>
    <w:rsid w:val="0A9D29B8"/>
    <w:rsid w:val="0B237EC8"/>
    <w:rsid w:val="0B2C6C02"/>
    <w:rsid w:val="0BC12699"/>
    <w:rsid w:val="0BCC31F9"/>
    <w:rsid w:val="0BEF1CEC"/>
    <w:rsid w:val="0C5A16A4"/>
    <w:rsid w:val="0DC35837"/>
    <w:rsid w:val="0DE61498"/>
    <w:rsid w:val="0ED22627"/>
    <w:rsid w:val="0FB065F6"/>
    <w:rsid w:val="0FF5036F"/>
    <w:rsid w:val="10867335"/>
    <w:rsid w:val="110C39D4"/>
    <w:rsid w:val="1297576D"/>
    <w:rsid w:val="12BF4C87"/>
    <w:rsid w:val="12E70A09"/>
    <w:rsid w:val="15341747"/>
    <w:rsid w:val="163F0F8C"/>
    <w:rsid w:val="164F6705"/>
    <w:rsid w:val="16646293"/>
    <w:rsid w:val="16FE5921"/>
    <w:rsid w:val="17507F90"/>
    <w:rsid w:val="17B042A1"/>
    <w:rsid w:val="18B21538"/>
    <w:rsid w:val="18C93F2F"/>
    <w:rsid w:val="1A2B7D96"/>
    <w:rsid w:val="1A8276F8"/>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8F2CA2"/>
    <w:rsid w:val="24937D46"/>
    <w:rsid w:val="24CD5814"/>
    <w:rsid w:val="252A6318"/>
    <w:rsid w:val="259E2C64"/>
    <w:rsid w:val="260706AD"/>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E003054"/>
    <w:rsid w:val="2E012585"/>
    <w:rsid w:val="2EB2531B"/>
    <w:rsid w:val="2F28513F"/>
    <w:rsid w:val="2F3D045F"/>
    <w:rsid w:val="2F6F3EAC"/>
    <w:rsid w:val="2F7D3F84"/>
    <w:rsid w:val="2F844FB7"/>
    <w:rsid w:val="30030652"/>
    <w:rsid w:val="30256074"/>
    <w:rsid w:val="302C4175"/>
    <w:rsid w:val="304A1F48"/>
    <w:rsid w:val="31713FF6"/>
    <w:rsid w:val="32B04D2F"/>
    <w:rsid w:val="33862CBD"/>
    <w:rsid w:val="338F6EF0"/>
    <w:rsid w:val="3393544D"/>
    <w:rsid w:val="33A35EAC"/>
    <w:rsid w:val="345077FD"/>
    <w:rsid w:val="3464504B"/>
    <w:rsid w:val="34E00D83"/>
    <w:rsid w:val="34E40873"/>
    <w:rsid w:val="36216F0D"/>
    <w:rsid w:val="36316A75"/>
    <w:rsid w:val="36C14165"/>
    <w:rsid w:val="36ED02B2"/>
    <w:rsid w:val="37DB73A7"/>
    <w:rsid w:val="37E312B6"/>
    <w:rsid w:val="389450EA"/>
    <w:rsid w:val="389D7311"/>
    <w:rsid w:val="39653A2A"/>
    <w:rsid w:val="398E418A"/>
    <w:rsid w:val="3996009B"/>
    <w:rsid w:val="3997709B"/>
    <w:rsid w:val="39A55AE7"/>
    <w:rsid w:val="39BB1265"/>
    <w:rsid w:val="3A351BE0"/>
    <w:rsid w:val="3AFB2B32"/>
    <w:rsid w:val="3B0953A4"/>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E7480F"/>
    <w:rsid w:val="4A3A7820"/>
    <w:rsid w:val="4AD818E7"/>
    <w:rsid w:val="4AF173EE"/>
    <w:rsid w:val="4BEA681C"/>
    <w:rsid w:val="4C2F1B9C"/>
    <w:rsid w:val="4C870D35"/>
    <w:rsid w:val="4CE47ACF"/>
    <w:rsid w:val="4D2832EB"/>
    <w:rsid w:val="4DB81983"/>
    <w:rsid w:val="4DF66F25"/>
    <w:rsid w:val="4E376DB9"/>
    <w:rsid w:val="4E716394"/>
    <w:rsid w:val="4ECC39F8"/>
    <w:rsid w:val="4F0A3ECF"/>
    <w:rsid w:val="4F595384"/>
    <w:rsid w:val="4F7F3CCA"/>
    <w:rsid w:val="4FF502AE"/>
    <w:rsid w:val="502844C8"/>
    <w:rsid w:val="511C7DA9"/>
    <w:rsid w:val="51D845E4"/>
    <w:rsid w:val="52341DDD"/>
    <w:rsid w:val="523A017B"/>
    <w:rsid w:val="531111FC"/>
    <w:rsid w:val="532D4FC8"/>
    <w:rsid w:val="533444FB"/>
    <w:rsid w:val="536F3BBC"/>
    <w:rsid w:val="55C54FE9"/>
    <w:rsid w:val="55DB4F23"/>
    <w:rsid w:val="55E07717"/>
    <w:rsid w:val="56397366"/>
    <w:rsid w:val="572051F8"/>
    <w:rsid w:val="57AA557A"/>
    <w:rsid w:val="58080247"/>
    <w:rsid w:val="594A0658"/>
    <w:rsid w:val="5950112B"/>
    <w:rsid w:val="597E7D7A"/>
    <w:rsid w:val="59C3293C"/>
    <w:rsid w:val="5A1C766A"/>
    <w:rsid w:val="5A390855"/>
    <w:rsid w:val="5A527871"/>
    <w:rsid w:val="5CF528AB"/>
    <w:rsid w:val="5D132301"/>
    <w:rsid w:val="5D9E51B4"/>
    <w:rsid w:val="5EAF5616"/>
    <w:rsid w:val="5EF258CA"/>
    <w:rsid w:val="5F1E1E73"/>
    <w:rsid w:val="606D4916"/>
    <w:rsid w:val="607E64E9"/>
    <w:rsid w:val="612A3DEE"/>
    <w:rsid w:val="61993E05"/>
    <w:rsid w:val="62B67083"/>
    <w:rsid w:val="63132229"/>
    <w:rsid w:val="63C07045"/>
    <w:rsid w:val="6481138B"/>
    <w:rsid w:val="649C599A"/>
    <w:rsid w:val="651B0FEE"/>
    <w:rsid w:val="65201C82"/>
    <w:rsid w:val="65305229"/>
    <w:rsid w:val="662D7F1B"/>
    <w:rsid w:val="666E2F33"/>
    <w:rsid w:val="66B027B6"/>
    <w:rsid w:val="671A2875"/>
    <w:rsid w:val="67562897"/>
    <w:rsid w:val="67966EFB"/>
    <w:rsid w:val="67B628F5"/>
    <w:rsid w:val="682119CD"/>
    <w:rsid w:val="69A94E0C"/>
    <w:rsid w:val="6A1A0E79"/>
    <w:rsid w:val="6A2F770C"/>
    <w:rsid w:val="6A5C5429"/>
    <w:rsid w:val="6B10403F"/>
    <w:rsid w:val="6B144D07"/>
    <w:rsid w:val="6B656B47"/>
    <w:rsid w:val="6B7E1643"/>
    <w:rsid w:val="6C714475"/>
    <w:rsid w:val="6CDB032D"/>
    <w:rsid w:val="6D304DE5"/>
    <w:rsid w:val="6DBD736C"/>
    <w:rsid w:val="6DF45A5A"/>
    <w:rsid w:val="6E160DB8"/>
    <w:rsid w:val="6E5526FF"/>
    <w:rsid w:val="6F2B1820"/>
    <w:rsid w:val="6F2E0DB9"/>
    <w:rsid w:val="6F412F7A"/>
    <w:rsid w:val="6FD1108A"/>
    <w:rsid w:val="707E74C2"/>
    <w:rsid w:val="70F97E47"/>
    <w:rsid w:val="710D0440"/>
    <w:rsid w:val="716B6D0A"/>
    <w:rsid w:val="71C5585F"/>
    <w:rsid w:val="7207789C"/>
    <w:rsid w:val="720E79AF"/>
    <w:rsid w:val="73A1381E"/>
    <w:rsid w:val="7459468D"/>
    <w:rsid w:val="749131D7"/>
    <w:rsid w:val="754A34AF"/>
    <w:rsid w:val="755B4E27"/>
    <w:rsid w:val="756F240E"/>
    <w:rsid w:val="767955ED"/>
    <w:rsid w:val="768B4404"/>
    <w:rsid w:val="779817DA"/>
    <w:rsid w:val="77A5282B"/>
    <w:rsid w:val="77D476E8"/>
    <w:rsid w:val="77EA1879"/>
    <w:rsid w:val="782A7918"/>
    <w:rsid w:val="78AC2A23"/>
    <w:rsid w:val="79715756"/>
    <w:rsid w:val="7A387BC5"/>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next w:val="1"/>
    <w:autoRedefine/>
    <w:qFormat/>
    <w:uiPriority w:val="1"/>
    <w:pPr>
      <w:spacing w:after="120" w:afterLines="0"/>
    </w:pPr>
  </w:style>
  <w:style w:type="paragraph" w:styleId="5">
    <w:name w:val="Body Text Indent"/>
    <w:basedOn w:val="1"/>
    <w:autoRedefine/>
    <w:qFormat/>
    <w:uiPriority w:val="0"/>
    <w:pPr>
      <w:spacing w:line="480" w:lineRule="auto"/>
      <w:ind w:firstLine="600"/>
    </w:pPr>
    <w:rPr>
      <w:sz w:val="28"/>
    </w:rPr>
  </w:style>
  <w:style w:type="paragraph" w:styleId="6">
    <w:name w:val="Balloon Text"/>
    <w:basedOn w:val="1"/>
    <w:link w:val="24"/>
    <w:autoRedefine/>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pPr>
      <w:jc w:val="left"/>
    </w:pPr>
    <w:rPr>
      <w:b/>
      <w:caps/>
    </w:rPr>
  </w:style>
  <w:style w:type="paragraph" w:styleId="10">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autoRedefine/>
    <w:qFormat/>
    <w:uiPriority w:val="0"/>
    <w:pPr>
      <w:ind w:firstLine="420" w:firstLineChars="200"/>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8"/>
    <w:autoRedefine/>
    <w:qFormat/>
    <w:uiPriority w:val="0"/>
    <w:rPr>
      <w:kern w:val="2"/>
      <w:sz w:val="18"/>
      <w:szCs w:val="18"/>
    </w:rPr>
  </w:style>
  <w:style w:type="character" w:customStyle="1" w:styleId="24">
    <w:name w:val="批注框文本 Char"/>
    <w:basedOn w:val="15"/>
    <w:link w:val="6"/>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2"/>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10707</Words>
  <Characters>11035</Characters>
  <Lines>53</Lines>
  <Paragraphs>15</Paragraphs>
  <TotalTime>101</TotalTime>
  <ScaleCrop>false</ScaleCrop>
  <LinksUpToDate>false</LinksUpToDate>
  <CharactersWithSpaces>12246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2026-10-30T05:24:00Z</cp:lastPrinted>
  <dcterms:modified xsi:type="dcterms:W3CDTF">2026-10-30T08:12:09Z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D5B4165519D94E29BC89BDEADC5E53A5_13</vt:lpwstr>
  </property>
  <property fmtid="{D5CDD505-2E9C-101B-9397-08002B2CF9AE}" pid="4" name="KSOTemplateDocerSaveRecord">
    <vt:lpwstr>eyJoZGlkIjoiNTVkNzExMmNlZTllZmYzYjIzZDNlN2M3MDhjZjk3N2IiLCJ1c2VySWQiOiI0MTkyNjk4ODkifQ==</vt:lpwstr>
  </property>
</Properties>
</file>