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8EB419">
      <w:pPr>
        <w:jc w:val="center"/>
        <w:rPr>
          <w:rFonts w:hint="eastAsia" w:ascii="仿宋" w:hAnsi="仿宋" w:eastAsia="仿宋" w:cs="仿宋"/>
          <w:sz w:val="72"/>
          <w:highlight w:val="none"/>
        </w:rPr>
      </w:pPr>
    </w:p>
    <w:p w14:paraId="23668EBA">
      <w:pPr>
        <w:jc w:val="center"/>
        <w:rPr>
          <w:rFonts w:hint="eastAsia" w:ascii="仿宋" w:hAnsi="仿宋" w:eastAsia="仿宋" w:cs="仿宋"/>
          <w:sz w:val="72"/>
          <w:highlight w:val="none"/>
        </w:rPr>
      </w:pPr>
    </w:p>
    <w:p w14:paraId="34ECD07E">
      <w:pPr>
        <w:jc w:val="center"/>
        <w:outlineLvl w:val="0"/>
        <w:rPr>
          <w:rFonts w:hint="eastAsia" w:ascii="仿宋_GB2312" w:hAnsi="宋体" w:eastAsia="仿宋_GB2312"/>
          <w:b/>
          <w:sz w:val="52"/>
          <w:szCs w:val="52"/>
          <w:highlight w:val="none"/>
        </w:rPr>
      </w:pPr>
      <w:bookmarkStart w:id="0" w:name="_Toc10198"/>
      <w:r>
        <w:rPr>
          <w:rFonts w:hint="eastAsia" w:ascii="仿宋_GB2312" w:hAnsi="宋体" w:eastAsia="仿宋_GB2312"/>
          <w:b/>
          <w:sz w:val="52"/>
          <w:szCs w:val="52"/>
          <w:highlight w:val="none"/>
          <w:lang w:eastAsia="zh-CN"/>
        </w:rPr>
        <w:t>绍兴市再生能源发展有限公司</w:t>
      </w:r>
      <w:bookmarkEnd w:id="0"/>
    </w:p>
    <w:p w14:paraId="543ECF22">
      <w:pPr>
        <w:pStyle w:val="11"/>
        <w:rPr>
          <w:highlight w:val="none"/>
        </w:rPr>
      </w:pPr>
    </w:p>
    <w:p w14:paraId="54EFD54C">
      <w:pPr>
        <w:jc w:val="center"/>
        <w:rPr>
          <w:rFonts w:hint="default" w:ascii="仿宋_GB2312" w:hAnsi="宋体" w:eastAsia="仿宋_GB2312"/>
          <w:b/>
          <w:sz w:val="52"/>
          <w:szCs w:val="52"/>
          <w:highlight w:val="none"/>
          <w:lang w:val="en-US" w:eastAsia="zh-CN"/>
        </w:rPr>
      </w:pPr>
      <w:r>
        <w:rPr>
          <w:rFonts w:hint="default" w:ascii="仿宋_GB2312" w:hAnsi="宋体" w:eastAsia="仿宋_GB2312"/>
          <w:b/>
          <w:sz w:val="52"/>
          <w:szCs w:val="52"/>
          <w:highlight w:val="none"/>
          <w:lang w:val="en-US" w:eastAsia="zh-CN"/>
        </w:rPr>
        <w:t>雾化器年度保养项目</w:t>
      </w:r>
    </w:p>
    <w:p w14:paraId="6F730390">
      <w:pPr>
        <w:jc w:val="center"/>
        <w:rPr>
          <w:rFonts w:hint="eastAsia" w:ascii="仿宋_GB2312" w:hAnsi="宋体" w:eastAsia="仿宋_GB2312"/>
          <w:b/>
          <w:sz w:val="52"/>
          <w:szCs w:val="52"/>
          <w:highlight w:val="none"/>
          <w:lang w:eastAsia="zh-CN"/>
        </w:rPr>
      </w:pPr>
      <w:r>
        <w:rPr>
          <w:rFonts w:hint="eastAsia" w:ascii="仿宋_GB2312" w:hAnsi="宋体" w:eastAsia="仿宋_GB2312"/>
          <w:b/>
          <w:sz w:val="52"/>
          <w:szCs w:val="52"/>
          <w:highlight w:val="none"/>
          <w:lang w:eastAsia="zh-CN"/>
        </w:rPr>
        <w:t>挂网</w:t>
      </w:r>
      <w:r>
        <w:rPr>
          <w:rFonts w:hint="eastAsia" w:ascii="仿宋_GB2312" w:hAnsi="宋体" w:eastAsia="仿宋_GB2312"/>
          <w:b/>
          <w:sz w:val="52"/>
          <w:szCs w:val="52"/>
          <w:highlight w:val="none"/>
        </w:rPr>
        <w:t>文件</w:t>
      </w:r>
    </w:p>
    <w:p w14:paraId="7C1F7162">
      <w:pPr>
        <w:jc w:val="center"/>
        <w:rPr>
          <w:rFonts w:hint="eastAsia" w:ascii="仿宋" w:hAnsi="仿宋" w:eastAsia="仿宋" w:cs="仿宋"/>
          <w:b/>
          <w:sz w:val="48"/>
          <w:szCs w:val="48"/>
          <w:highlight w:val="none"/>
        </w:rPr>
      </w:pPr>
    </w:p>
    <w:p w14:paraId="6778471B">
      <w:pPr>
        <w:spacing w:line="360" w:lineRule="auto"/>
        <w:rPr>
          <w:rFonts w:hint="eastAsia" w:ascii="仿宋" w:hAnsi="仿宋" w:eastAsia="仿宋" w:cs="仿宋"/>
          <w:sz w:val="40"/>
          <w:szCs w:val="48"/>
          <w:highlight w:val="none"/>
        </w:rPr>
      </w:pPr>
    </w:p>
    <w:p w14:paraId="45CFA879">
      <w:pPr>
        <w:spacing w:line="360" w:lineRule="auto"/>
        <w:rPr>
          <w:rFonts w:hint="eastAsia" w:ascii="仿宋" w:hAnsi="仿宋" w:eastAsia="仿宋" w:cs="仿宋"/>
          <w:sz w:val="40"/>
          <w:szCs w:val="48"/>
          <w:highlight w:val="none"/>
        </w:rPr>
      </w:pPr>
    </w:p>
    <w:p w14:paraId="4EE1A441">
      <w:pPr>
        <w:spacing w:line="360" w:lineRule="auto"/>
        <w:rPr>
          <w:rFonts w:hint="eastAsia" w:ascii="仿宋" w:hAnsi="仿宋" w:eastAsia="仿宋" w:cs="仿宋"/>
          <w:sz w:val="40"/>
          <w:szCs w:val="48"/>
          <w:highlight w:val="none"/>
        </w:rPr>
      </w:pPr>
    </w:p>
    <w:p w14:paraId="36405B2A">
      <w:pPr>
        <w:spacing w:line="360" w:lineRule="auto"/>
        <w:jc w:val="center"/>
        <w:rPr>
          <w:rFonts w:hint="eastAsia" w:ascii="仿宋" w:hAnsi="仿宋" w:eastAsia="仿宋" w:cs="仿宋"/>
          <w:sz w:val="32"/>
          <w:szCs w:val="32"/>
          <w:highlight w:val="none"/>
          <w:u w:val="single"/>
          <w:lang w:val="en-US" w:eastAsia="zh-CN"/>
        </w:rPr>
      </w:pPr>
      <w:r>
        <w:rPr>
          <w:rFonts w:hint="eastAsia" w:ascii="仿宋" w:hAnsi="仿宋" w:eastAsia="仿宋" w:cs="仿宋"/>
          <w:sz w:val="32"/>
          <w:szCs w:val="32"/>
          <w:highlight w:val="none"/>
        </w:rPr>
        <w:t>采购编号：</w:t>
      </w:r>
      <w:r>
        <w:rPr>
          <w:rFonts w:hint="eastAsia" w:ascii="仿宋" w:hAnsi="仿宋" w:eastAsia="仿宋" w:cs="仿宋"/>
          <w:sz w:val="32"/>
          <w:szCs w:val="32"/>
          <w:highlight w:val="none"/>
          <w:u w:val="single"/>
          <w:lang w:val="en-US" w:eastAsia="zh-CN"/>
        </w:rPr>
        <w:t xml:space="preserve"> </w:t>
      </w:r>
      <w:bookmarkStart w:id="1" w:name="OLE_LINK1"/>
      <w:r>
        <w:rPr>
          <w:rFonts w:hint="eastAsia" w:ascii="仿宋" w:hAnsi="仿宋" w:eastAsia="仿宋" w:cs="仿宋"/>
          <w:sz w:val="32"/>
          <w:szCs w:val="32"/>
          <w:highlight w:val="none"/>
          <w:u w:val="single"/>
          <w:lang w:val="en-US" w:eastAsia="zh-CN"/>
        </w:rPr>
        <w:t>SX-</w:t>
      </w:r>
      <w:bookmarkEnd w:id="1"/>
      <w:r>
        <w:rPr>
          <w:rFonts w:hint="eastAsia" w:ascii="仿宋" w:hAnsi="仿宋" w:eastAsia="仿宋" w:cs="仿宋"/>
          <w:sz w:val="32"/>
          <w:szCs w:val="32"/>
          <w:highlight w:val="none"/>
          <w:u w:val="single"/>
          <w:lang w:val="en-US" w:eastAsia="zh-CN"/>
        </w:rPr>
        <w:t xml:space="preserve">CG-WH-2609015 </w:t>
      </w:r>
    </w:p>
    <w:p w14:paraId="6D250556">
      <w:pPr>
        <w:spacing w:line="360" w:lineRule="auto"/>
        <w:ind w:firstLine="80" w:firstLineChars="25"/>
        <w:jc w:val="center"/>
        <w:rPr>
          <w:rFonts w:hint="eastAsia" w:ascii="仿宋" w:hAnsi="仿宋" w:eastAsia="仿宋" w:cs="仿宋"/>
          <w:sz w:val="32"/>
          <w:szCs w:val="32"/>
          <w:highlight w:val="none"/>
          <w:u w:val="single"/>
          <w:lang w:val="en-US" w:eastAsia="zh-CN"/>
        </w:rPr>
      </w:pPr>
      <w:bookmarkStart w:id="2" w:name="OLE_LINK52"/>
      <w:bookmarkStart w:id="3" w:name="OLE_LINK53"/>
      <w:r>
        <w:rPr>
          <w:rFonts w:hint="eastAsia" w:ascii="仿宋" w:hAnsi="仿宋" w:eastAsia="仿宋" w:cs="仿宋"/>
          <w:sz w:val="32"/>
          <w:szCs w:val="32"/>
          <w:highlight w:val="none"/>
        </w:rPr>
        <w:t>项目名称：</w:t>
      </w:r>
      <w:bookmarkEnd w:id="2"/>
      <w:bookmarkEnd w:id="3"/>
      <w:r>
        <w:rPr>
          <w:rFonts w:hint="eastAsia" w:ascii="仿宋" w:hAnsi="仿宋" w:eastAsia="仿宋" w:cs="仿宋"/>
          <w:sz w:val="32"/>
          <w:szCs w:val="32"/>
          <w:highlight w:val="none"/>
          <w:u w:val="single"/>
          <w:lang w:val="en-US" w:eastAsia="zh-CN"/>
        </w:rPr>
        <w:t xml:space="preserve"> 雾化器年度保养项目</w:t>
      </w:r>
    </w:p>
    <w:p w14:paraId="6A82DF5E">
      <w:pPr>
        <w:spacing w:line="360" w:lineRule="auto"/>
        <w:ind w:firstLine="80" w:firstLineChars="25"/>
        <w:jc w:val="center"/>
        <w:rPr>
          <w:rFonts w:hint="eastAsia" w:ascii="仿宋" w:hAnsi="仿宋" w:eastAsia="仿宋" w:cs="仿宋"/>
          <w:sz w:val="32"/>
          <w:szCs w:val="32"/>
          <w:highlight w:val="none"/>
          <w:u w:val="single"/>
          <w:lang w:val="en-US" w:eastAsia="zh-CN"/>
        </w:rPr>
      </w:pPr>
    </w:p>
    <w:p w14:paraId="12F97776">
      <w:pPr>
        <w:rPr>
          <w:rFonts w:hint="eastAsia" w:ascii="仿宋" w:hAnsi="仿宋" w:eastAsia="仿宋" w:cs="仿宋"/>
          <w:sz w:val="84"/>
          <w:highlight w:val="none"/>
        </w:rPr>
      </w:pPr>
    </w:p>
    <w:p w14:paraId="33BAD177">
      <w:pPr>
        <w:rPr>
          <w:rFonts w:hint="eastAsia" w:ascii="仿宋" w:hAnsi="仿宋" w:eastAsia="仿宋" w:cs="仿宋"/>
          <w:sz w:val="84"/>
          <w:highlight w:val="none"/>
        </w:rPr>
      </w:pPr>
    </w:p>
    <w:p w14:paraId="1BFEA016">
      <w:pPr>
        <w:snapToGrid w:val="0"/>
        <w:spacing w:line="480" w:lineRule="auto"/>
        <w:jc w:val="center"/>
        <w:rPr>
          <w:rFonts w:hint="eastAsia" w:ascii="仿宋" w:hAnsi="仿宋" w:eastAsia="仿宋" w:cs="仿宋"/>
          <w:sz w:val="32"/>
          <w:szCs w:val="32"/>
          <w:highlight w:val="none"/>
          <w:lang w:eastAsia="zh-CN"/>
        </w:rPr>
      </w:pPr>
      <w:r>
        <w:rPr>
          <w:rFonts w:hint="eastAsia" w:ascii="仿宋" w:hAnsi="仿宋" w:eastAsia="仿宋" w:cs="仿宋"/>
          <w:sz w:val="32"/>
          <w:szCs w:val="32"/>
          <w:highlight w:val="none"/>
          <w:lang w:eastAsia="zh-CN"/>
        </w:rPr>
        <w:t>绍兴市再生能源发展有限公司</w:t>
      </w:r>
    </w:p>
    <w:p w14:paraId="289C425F">
      <w:pPr>
        <w:spacing w:line="360" w:lineRule="auto"/>
        <w:jc w:val="center"/>
        <w:rPr>
          <w:rFonts w:hint="eastAsia" w:ascii="仿宋" w:hAnsi="仿宋" w:eastAsia="仿宋" w:cs="仿宋"/>
          <w:sz w:val="32"/>
          <w:szCs w:val="32"/>
          <w:highlight w:val="none"/>
        </w:rPr>
      </w:pPr>
      <w:r>
        <w:rPr>
          <w:rFonts w:hint="eastAsia" w:ascii="仿宋" w:hAnsi="仿宋" w:eastAsia="仿宋" w:cs="仿宋"/>
          <w:sz w:val="32"/>
          <w:szCs w:val="32"/>
          <w:highlight w:val="none"/>
          <w:lang w:eastAsia="zh-CN"/>
        </w:rPr>
        <w:t>二〇二六</w:t>
      </w:r>
      <w:r>
        <w:rPr>
          <w:rFonts w:hint="eastAsia" w:ascii="仿宋" w:hAnsi="仿宋" w:eastAsia="仿宋" w:cs="仿宋"/>
          <w:sz w:val="32"/>
          <w:szCs w:val="32"/>
          <w:highlight w:val="none"/>
        </w:rPr>
        <w:t>年</w:t>
      </w:r>
      <w:r>
        <w:rPr>
          <w:rFonts w:hint="eastAsia" w:ascii="仿宋" w:hAnsi="仿宋" w:eastAsia="仿宋" w:cs="仿宋"/>
          <w:sz w:val="32"/>
          <w:szCs w:val="32"/>
          <w:highlight w:val="none"/>
          <w:lang w:val="en-US" w:eastAsia="zh-CN"/>
        </w:rPr>
        <w:t>十</w:t>
      </w:r>
      <w:r>
        <w:rPr>
          <w:rFonts w:hint="eastAsia" w:ascii="仿宋" w:hAnsi="仿宋" w:eastAsia="仿宋" w:cs="仿宋"/>
          <w:sz w:val="32"/>
          <w:szCs w:val="32"/>
          <w:highlight w:val="none"/>
        </w:rPr>
        <w:t>月</w:t>
      </w:r>
    </w:p>
    <w:p w14:paraId="1B2C013F">
      <w:pPr>
        <w:spacing w:line="360" w:lineRule="auto"/>
        <w:jc w:val="center"/>
        <w:rPr>
          <w:rFonts w:hint="eastAsia" w:ascii="仿宋" w:hAnsi="仿宋" w:eastAsia="仿宋" w:cs="仿宋"/>
          <w:sz w:val="32"/>
          <w:szCs w:val="32"/>
        </w:rPr>
      </w:pPr>
      <w:r>
        <w:rPr>
          <w:rFonts w:hint="eastAsia" w:ascii="仿宋" w:hAnsi="仿宋" w:eastAsia="仿宋" w:cs="仿宋"/>
          <w:sz w:val="32"/>
          <w:szCs w:val="32"/>
        </w:rPr>
        <w:br w:type="page"/>
      </w:r>
      <w:r>
        <w:rPr>
          <w:rFonts w:hint="eastAsia" w:ascii="仿宋" w:hAnsi="仿宋" w:eastAsia="仿宋" w:cs="仿宋"/>
          <w:sz w:val="52"/>
          <w:szCs w:val="32"/>
        </w:rPr>
        <w:t>目录</w:t>
      </w:r>
    </w:p>
    <w:p w14:paraId="07259B51">
      <w:pPr>
        <w:pStyle w:val="9"/>
        <w:tabs>
          <w:tab w:val="right" w:leader="dot" w:pos="9070"/>
        </w:tabs>
        <w:rPr>
          <w:rFonts w:hint="eastAsia" w:ascii="仿宋" w:hAnsi="仿宋" w:eastAsia="仿宋" w:cs="仿宋"/>
          <w:b w:val="0"/>
          <w:bCs w:val="0"/>
          <w:sz w:val="32"/>
          <w:szCs w:val="32"/>
        </w:rPr>
      </w:pPr>
      <w:r>
        <w:rPr>
          <w:rFonts w:hint="eastAsia" w:ascii="仿宋" w:hAnsi="仿宋" w:eastAsia="仿宋" w:cs="仿宋"/>
          <w:b w:val="0"/>
          <w:bCs w:val="0"/>
          <w:sz w:val="32"/>
          <w:szCs w:val="32"/>
        </w:rPr>
        <w:fldChar w:fldCharType="begin"/>
      </w:r>
      <w:r>
        <w:rPr>
          <w:rFonts w:hint="eastAsia" w:ascii="仿宋" w:hAnsi="仿宋" w:eastAsia="仿宋" w:cs="仿宋"/>
          <w:b w:val="0"/>
          <w:bCs w:val="0"/>
          <w:sz w:val="32"/>
          <w:szCs w:val="32"/>
        </w:rPr>
        <w:instrText xml:space="preserve">TOC \o "1-1" \h \u </w:instrText>
      </w:r>
      <w:r>
        <w:rPr>
          <w:rFonts w:hint="eastAsia" w:ascii="仿宋" w:hAnsi="仿宋" w:eastAsia="仿宋" w:cs="仿宋"/>
          <w:b w:val="0"/>
          <w:bCs w:val="0"/>
          <w:sz w:val="32"/>
          <w:szCs w:val="32"/>
        </w:rPr>
        <w:fldChar w:fldCharType="separate"/>
      </w:r>
      <w:r>
        <w:rPr>
          <w:rFonts w:hint="eastAsia" w:ascii="仿宋" w:hAnsi="仿宋" w:eastAsia="仿宋" w:cs="仿宋"/>
          <w:b w:val="0"/>
          <w:bCs w:val="0"/>
          <w:sz w:val="32"/>
          <w:szCs w:val="32"/>
        </w:rPr>
        <w:fldChar w:fldCharType="begin"/>
      </w:r>
      <w:r>
        <w:rPr>
          <w:rFonts w:hint="eastAsia" w:ascii="仿宋" w:hAnsi="仿宋" w:eastAsia="仿宋" w:cs="仿宋"/>
          <w:b w:val="0"/>
          <w:bCs w:val="0"/>
          <w:sz w:val="32"/>
          <w:szCs w:val="32"/>
        </w:rPr>
        <w:instrText xml:space="preserve"> HYPERLINK \l _Toc10198 </w:instrText>
      </w:r>
      <w:r>
        <w:rPr>
          <w:rFonts w:hint="eastAsia" w:ascii="仿宋" w:hAnsi="仿宋" w:eastAsia="仿宋" w:cs="仿宋"/>
          <w:b w:val="0"/>
          <w:bCs w:val="0"/>
          <w:sz w:val="32"/>
          <w:szCs w:val="32"/>
        </w:rPr>
        <w:fldChar w:fldCharType="separate"/>
      </w:r>
      <w:r>
        <w:rPr>
          <w:rFonts w:hint="eastAsia" w:ascii="仿宋" w:hAnsi="仿宋" w:eastAsia="仿宋" w:cs="仿宋"/>
          <w:b w:val="0"/>
          <w:bCs w:val="0"/>
          <w:sz w:val="32"/>
          <w:szCs w:val="32"/>
          <w:highlight w:val="none"/>
          <w:lang w:eastAsia="zh-CN"/>
        </w:rPr>
        <w:t>绍兴市再生能源发展有限公司</w:t>
      </w:r>
      <w:r>
        <w:rPr>
          <w:rFonts w:hint="default" w:ascii="Times New Roman" w:hAnsi="Times New Roman" w:eastAsia="仿宋" w:cs="Times New Roman"/>
          <w:b w:val="0"/>
          <w:bCs w:val="0"/>
          <w:sz w:val="32"/>
          <w:szCs w:val="32"/>
        </w:rPr>
        <w:tab/>
      </w:r>
      <w:r>
        <w:rPr>
          <w:rFonts w:hint="default" w:ascii="Times New Roman" w:hAnsi="Times New Roman" w:eastAsia="仿宋" w:cs="Times New Roman"/>
          <w:b w:val="0"/>
          <w:bCs w:val="0"/>
          <w:sz w:val="32"/>
          <w:szCs w:val="32"/>
        </w:rPr>
        <w:fldChar w:fldCharType="begin"/>
      </w:r>
      <w:r>
        <w:rPr>
          <w:rFonts w:hint="default" w:ascii="Times New Roman" w:hAnsi="Times New Roman" w:eastAsia="仿宋" w:cs="Times New Roman"/>
          <w:b w:val="0"/>
          <w:bCs w:val="0"/>
          <w:sz w:val="32"/>
          <w:szCs w:val="32"/>
        </w:rPr>
        <w:instrText xml:space="preserve"> PAGEREF _Toc10198 \h </w:instrText>
      </w:r>
      <w:r>
        <w:rPr>
          <w:rFonts w:hint="default" w:ascii="Times New Roman" w:hAnsi="Times New Roman" w:eastAsia="仿宋" w:cs="Times New Roman"/>
          <w:b w:val="0"/>
          <w:bCs w:val="0"/>
          <w:sz w:val="32"/>
          <w:szCs w:val="32"/>
        </w:rPr>
        <w:fldChar w:fldCharType="separate"/>
      </w:r>
      <w:r>
        <w:rPr>
          <w:rFonts w:hint="default" w:ascii="Times New Roman" w:hAnsi="Times New Roman" w:eastAsia="仿宋" w:cs="Times New Roman"/>
          <w:b w:val="0"/>
          <w:bCs w:val="0"/>
          <w:sz w:val="32"/>
          <w:szCs w:val="32"/>
        </w:rPr>
        <w:t>1</w:t>
      </w:r>
      <w:r>
        <w:rPr>
          <w:rFonts w:hint="default" w:ascii="Times New Roman" w:hAnsi="Times New Roman" w:eastAsia="仿宋" w:cs="Times New Roman"/>
          <w:b w:val="0"/>
          <w:bCs w:val="0"/>
          <w:sz w:val="32"/>
          <w:szCs w:val="32"/>
        </w:rPr>
        <w:fldChar w:fldCharType="end"/>
      </w:r>
      <w:r>
        <w:rPr>
          <w:rFonts w:hint="eastAsia" w:ascii="仿宋" w:hAnsi="仿宋" w:eastAsia="仿宋" w:cs="仿宋"/>
          <w:b w:val="0"/>
          <w:bCs w:val="0"/>
          <w:sz w:val="32"/>
          <w:szCs w:val="32"/>
        </w:rPr>
        <w:fldChar w:fldCharType="end"/>
      </w:r>
    </w:p>
    <w:p w14:paraId="642C8445">
      <w:pPr>
        <w:pStyle w:val="9"/>
        <w:tabs>
          <w:tab w:val="right" w:leader="dot" w:pos="9070"/>
        </w:tabs>
        <w:rPr>
          <w:rFonts w:hint="eastAsia" w:ascii="Times New Roman" w:hAnsi="Times New Roman" w:eastAsia="仿宋" w:cs="Times New Roman"/>
          <w:b w:val="0"/>
          <w:bCs w:val="0"/>
          <w:sz w:val="32"/>
          <w:szCs w:val="32"/>
        </w:rPr>
      </w:pP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HYPERLINK \l _Toc10575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lang w:val="en-US" w:eastAsia="zh-CN"/>
        </w:rPr>
        <w:t>第一部分   询价公告</w:t>
      </w:r>
      <w:r>
        <w:rPr>
          <w:rFonts w:hint="eastAsia" w:ascii="Times New Roman" w:hAnsi="Times New Roman" w:eastAsia="仿宋" w:cs="Times New Roman"/>
          <w:b w:val="0"/>
          <w:bCs w:val="0"/>
          <w:sz w:val="32"/>
          <w:szCs w:val="32"/>
        </w:rPr>
        <w:tab/>
      </w: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PAGEREF _Toc10575 \h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rPr>
        <w:t>3</w:t>
      </w:r>
      <w:r>
        <w:rPr>
          <w:rFonts w:hint="eastAsia" w:ascii="Times New Roman" w:hAnsi="Times New Roman" w:eastAsia="仿宋" w:cs="Times New Roman"/>
          <w:b w:val="0"/>
          <w:bCs w:val="0"/>
          <w:sz w:val="32"/>
          <w:szCs w:val="32"/>
        </w:rPr>
        <w:fldChar w:fldCharType="end"/>
      </w:r>
      <w:r>
        <w:rPr>
          <w:rFonts w:hint="eastAsia" w:ascii="Times New Roman" w:hAnsi="Times New Roman" w:eastAsia="仿宋" w:cs="Times New Roman"/>
          <w:b w:val="0"/>
          <w:bCs w:val="0"/>
          <w:sz w:val="32"/>
          <w:szCs w:val="32"/>
        </w:rPr>
        <w:fldChar w:fldCharType="end"/>
      </w:r>
    </w:p>
    <w:p w14:paraId="010E5BD8">
      <w:pPr>
        <w:pStyle w:val="9"/>
        <w:tabs>
          <w:tab w:val="right" w:leader="dot" w:pos="9070"/>
        </w:tabs>
        <w:rPr>
          <w:rFonts w:hint="eastAsia" w:ascii="Times New Roman" w:hAnsi="Times New Roman" w:eastAsia="仿宋" w:cs="Times New Roman"/>
          <w:b w:val="0"/>
          <w:bCs w:val="0"/>
          <w:sz w:val="32"/>
          <w:szCs w:val="32"/>
        </w:rPr>
      </w:pP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HYPERLINK \l _Toc5447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rPr>
        <w:t>第三部分   询价内容</w:t>
      </w:r>
      <w:r>
        <w:rPr>
          <w:rFonts w:hint="eastAsia" w:ascii="Times New Roman" w:hAnsi="Times New Roman" w:eastAsia="仿宋" w:cs="Times New Roman"/>
          <w:b w:val="0"/>
          <w:bCs w:val="0"/>
          <w:sz w:val="32"/>
          <w:szCs w:val="32"/>
        </w:rPr>
        <w:tab/>
      </w: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PAGEREF _Toc5447 \h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rPr>
        <w:t>14</w:t>
      </w:r>
      <w:r>
        <w:rPr>
          <w:rFonts w:hint="eastAsia" w:ascii="Times New Roman" w:hAnsi="Times New Roman" w:eastAsia="仿宋" w:cs="Times New Roman"/>
          <w:b w:val="0"/>
          <w:bCs w:val="0"/>
          <w:sz w:val="32"/>
          <w:szCs w:val="32"/>
        </w:rPr>
        <w:fldChar w:fldCharType="end"/>
      </w:r>
      <w:r>
        <w:rPr>
          <w:rFonts w:hint="eastAsia" w:ascii="Times New Roman" w:hAnsi="Times New Roman" w:eastAsia="仿宋" w:cs="Times New Roman"/>
          <w:b w:val="0"/>
          <w:bCs w:val="0"/>
          <w:sz w:val="32"/>
          <w:szCs w:val="32"/>
        </w:rPr>
        <w:fldChar w:fldCharType="end"/>
      </w:r>
    </w:p>
    <w:p w14:paraId="74828283">
      <w:pPr>
        <w:pStyle w:val="9"/>
        <w:tabs>
          <w:tab w:val="right" w:leader="dot" w:pos="9070"/>
        </w:tabs>
        <w:rPr>
          <w:rFonts w:hint="eastAsia" w:ascii="Times New Roman" w:hAnsi="Times New Roman" w:eastAsia="仿宋" w:cs="Times New Roman"/>
          <w:b w:val="0"/>
          <w:bCs w:val="0"/>
          <w:sz w:val="32"/>
          <w:szCs w:val="32"/>
        </w:rPr>
      </w:pP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HYPERLINK \l _Toc6119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lang w:val="en-US" w:eastAsia="zh-CN"/>
        </w:rPr>
        <w:t>第四部分   合同主要条款（供参考）</w:t>
      </w:r>
      <w:r>
        <w:rPr>
          <w:rFonts w:hint="eastAsia" w:ascii="Times New Roman" w:hAnsi="Times New Roman" w:eastAsia="仿宋" w:cs="Times New Roman"/>
          <w:b w:val="0"/>
          <w:bCs w:val="0"/>
          <w:sz w:val="32"/>
          <w:szCs w:val="32"/>
        </w:rPr>
        <w:tab/>
      </w: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PAGEREF _Toc6119 \h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rPr>
        <w:t>16</w:t>
      </w:r>
      <w:r>
        <w:rPr>
          <w:rFonts w:hint="eastAsia" w:ascii="Times New Roman" w:hAnsi="Times New Roman" w:eastAsia="仿宋" w:cs="Times New Roman"/>
          <w:b w:val="0"/>
          <w:bCs w:val="0"/>
          <w:sz w:val="32"/>
          <w:szCs w:val="32"/>
        </w:rPr>
        <w:fldChar w:fldCharType="end"/>
      </w:r>
      <w:r>
        <w:rPr>
          <w:rFonts w:hint="eastAsia" w:ascii="Times New Roman" w:hAnsi="Times New Roman" w:eastAsia="仿宋" w:cs="Times New Roman"/>
          <w:b w:val="0"/>
          <w:bCs w:val="0"/>
          <w:sz w:val="32"/>
          <w:szCs w:val="32"/>
        </w:rPr>
        <w:fldChar w:fldCharType="end"/>
      </w:r>
    </w:p>
    <w:p w14:paraId="0FAEC955">
      <w:pPr>
        <w:pStyle w:val="9"/>
        <w:tabs>
          <w:tab w:val="right" w:leader="dot" w:pos="9070"/>
        </w:tabs>
        <w:rPr>
          <w:rFonts w:hint="eastAsia" w:ascii="Times New Roman" w:hAnsi="Times New Roman" w:eastAsia="仿宋" w:cs="Times New Roman"/>
          <w:b w:val="0"/>
          <w:bCs w:val="0"/>
          <w:sz w:val="32"/>
          <w:szCs w:val="32"/>
        </w:rPr>
      </w:pP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HYPERLINK \l _Toc4257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lang w:val="en-US" w:eastAsia="zh-CN"/>
        </w:rPr>
        <w:t>附件：</w:t>
      </w:r>
      <w:r>
        <w:rPr>
          <w:rFonts w:hint="eastAsia" w:ascii="Times New Roman" w:hAnsi="Times New Roman" w:eastAsia="仿宋" w:cs="Times New Roman"/>
          <w:b w:val="0"/>
          <w:bCs w:val="0"/>
          <w:sz w:val="32"/>
          <w:szCs w:val="32"/>
        </w:rPr>
        <w:tab/>
      </w: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PAGEREF _Toc4257 \h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rPr>
        <w:t>23</w:t>
      </w:r>
      <w:r>
        <w:rPr>
          <w:rFonts w:hint="eastAsia" w:ascii="Times New Roman" w:hAnsi="Times New Roman" w:eastAsia="仿宋" w:cs="Times New Roman"/>
          <w:b w:val="0"/>
          <w:bCs w:val="0"/>
          <w:sz w:val="32"/>
          <w:szCs w:val="32"/>
        </w:rPr>
        <w:fldChar w:fldCharType="end"/>
      </w:r>
      <w:r>
        <w:rPr>
          <w:rFonts w:hint="eastAsia" w:ascii="Times New Roman" w:hAnsi="Times New Roman" w:eastAsia="仿宋" w:cs="Times New Roman"/>
          <w:b w:val="0"/>
          <w:bCs w:val="0"/>
          <w:sz w:val="32"/>
          <w:szCs w:val="32"/>
        </w:rPr>
        <w:fldChar w:fldCharType="end"/>
      </w:r>
    </w:p>
    <w:p w14:paraId="56878301">
      <w:pPr>
        <w:pStyle w:val="9"/>
        <w:tabs>
          <w:tab w:val="right" w:leader="dot" w:pos="9070"/>
        </w:tabs>
        <w:rPr>
          <w:rFonts w:hint="eastAsia" w:ascii="Times New Roman" w:hAnsi="Times New Roman" w:eastAsia="仿宋" w:cs="Times New Roman"/>
          <w:b w:val="0"/>
          <w:bCs w:val="0"/>
          <w:sz w:val="32"/>
          <w:szCs w:val="32"/>
        </w:rPr>
      </w:pP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HYPERLINK \l _Toc15860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rPr>
        <w:t>第</w:t>
      </w:r>
      <w:r>
        <w:rPr>
          <w:rFonts w:hint="eastAsia" w:ascii="Times New Roman" w:hAnsi="Times New Roman" w:eastAsia="仿宋" w:cs="Times New Roman"/>
          <w:b w:val="0"/>
          <w:bCs w:val="0"/>
          <w:sz w:val="32"/>
          <w:szCs w:val="32"/>
          <w:lang w:eastAsia="zh-CN"/>
        </w:rPr>
        <w:t>五</w:t>
      </w:r>
      <w:r>
        <w:rPr>
          <w:rFonts w:hint="eastAsia" w:ascii="Times New Roman" w:hAnsi="Times New Roman" w:eastAsia="仿宋" w:cs="Times New Roman"/>
          <w:b w:val="0"/>
          <w:bCs w:val="0"/>
          <w:sz w:val="32"/>
          <w:szCs w:val="32"/>
        </w:rPr>
        <w:t>部分   报价文件格式</w:t>
      </w:r>
      <w:r>
        <w:rPr>
          <w:rFonts w:hint="eastAsia" w:ascii="Times New Roman" w:hAnsi="Times New Roman" w:eastAsia="仿宋" w:cs="Times New Roman"/>
          <w:b w:val="0"/>
          <w:bCs w:val="0"/>
          <w:sz w:val="32"/>
          <w:szCs w:val="32"/>
        </w:rPr>
        <w:tab/>
      </w: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PAGEREF _Toc15860 \h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rPr>
        <w:t>26</w:t>
      </w:r>
      <w:r>
        <w:rPr>
          <w:rFonts w:hint="eastAsia" w:ascii="Times New Roman" w:hAnsi="Times New Roman" w:eastAsia="仿宋" w:cs="Times New Roman"/>
          <w:b w:val="0"/>
          <w:bCs w:val="0"/>
          <w:sz w:val="32"/>
          <w:szCs w:val="32"/>
        </w:rPr>
        <w:fldChar w:fldCharType="end"/>
      </w:r>
      <w:r>
        <w:rPr>
          <w:rFonts w:hint="eastAsia" w:ascii="Times New Roman" w:hAnsi="Times New Roman" w:eastAsia="仿宋" w:cs="Times New Roman"/>
          <w:b w:val="0"/>
          <w:bCs w:val="0"/>
          <w:sz w:val="32"/>
          <w:szCs w:val="32"/>
        </w:rPr>
        <w:fldChar w:fldCharType="end"/>
      </w:r>
    </w:p>
    <w:p w14:paraId="23F36ADA">
      <w:pPr>
        <w:pStyle w:val="9"/>
        <w:tabs>
          <w:tab w:val="right" w:leader="dot" w:pos="9070"/>
        </w:tabs>
        <w:rPr>
          <w:rFonts w:hint="eastAsia" w:ascii="Times New Roman" w:hAnsi="Times New Roman" w:eastAsia="仿宋" w:cs="Times New Roman"/>
          <w:b w:val="0"/>
          <w:bCs w:val="0"/>
          <w:sz w:val="32"/>
          <w:szCs w:val="32"/>
        </w:rPr>
      </w:pP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HYPERLINK \l _Toc21948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rPr>
        <w:t>附件一：</w:t>
      </w:r>
      <w:r>
        <w:rPr>
          <w:rFonts w:hint="eastAsia" w:ascii="Times New Roman" w:hAnsi="Times New Roman" w:eastAsia="仿宋" w:cs="Times New Roman"/>
          <w:b w:val="0"/>
          <w:bCs w:val="0"/>
          <w:sz w:val="32"/>
          <w:szCs w:val="32"/>
        </w:rPr>
        <w:tab/>
      </w: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PAGEREF _Toc21948 \h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rPr>
        <w:t>27</w:t>
      </w:r>
      <w:r>
        <w:rPr>
          <w:rFonts w:hint="eastAsia" w:ascii="Times New Roman" w:hAnsi="Times New Roman" w:eastAsia="仿宋" w:cs="Times New Roman"/>
          <w:b w:val="0"/>
          <w:bCs w:val="0"/>
          <w:sz w:val="32"/>
          <w:szCs w:val="32"/>
        </w:rPr>
        <w:fldChar w:fldCharType="end"/>
      </w:r>
      <w:r>
        <w:rPr>
          <w:rFonts w:hint="eastAsia" w:ascii="Times New Roman" w:hAnsi="Times New Roman" w:eastAsia="仿宋" w:cs="Times New Roman"/>
          <w:b w:val="0"/>
          <w:bCs w:val="0"/>
          <w:sz w:val="32"/>
          <w:szCs w:val="32"/>
        </w:rPr>
        <w:fldChar w:fldCharType="end"/>
      </w:r>
    </w:p>
    <w:p w14:paraId="2FD7B3DC">
      <w:pPr>
        <w:pStyle w:val="9"/>
        <w:tabs>
          <w:tab w:val="right" w:leader="dot" w:pos="9070"/>
        </w:tabs>
        <w:rPr>
          <w:rFonts w:hint="eastAsia" w:ascii="Times New Roman" w:hAnsi="Times New Roman" w:eastAsia="仿宋" w:cs="Times New Roman"/>
          <w:b w:val="0"/>
          <w:bCs w:val="0"/>
          <w:sz w:val="32"/>
          <w:szCs w:val="32"/>
        </w:rPr>
      </w:pP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HYPERLINK \l _Toc22798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rPr>
        <w:t>附件</w:t>
      </w:r>
      <w:r>
        <w:rPr>
          <w:rFonts w:hint="eastAsia" w:ascii="Times New Roman" w:hAnsi="Times New Roman" w:eastAsia="仿宋" w:cs="Times New Roman"/>
          <w:b w:val="0"/>
          <w:bCs w:val="0"/>
          <w:sz w:val="32"/>
          <w:szCs w:val="32"/>
          <w:lang w:val="en-US"/>
        </w:rPr>
        <w:t>二：</w:t>
      </w:r>
      <w:r>
        <w:rPr>
          <w:rFonts w:hint="eastAsia" w:ascii="Times New Roman" w:hAnsi="Times New Roman" w:eastAsia="仿宋" w:cs="Times New Roman"/>
          <w:b w:val="0"/>
          <w:bCs w:val="0"/>
          <w:sz w:val="32"/>
          <w:szCs w:val="32"/>
        </w:rPr>
        <w:tab/>
      </w: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PAGEREF _Toc22798 \h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rPr>
        <w:t>28</w:t>
      </w:r>
      <w:r>
        <w:rPr>
          <w:rFonts w:hint="eastAsia" w:ascii="Times New Roman" w:hAnsi="Times New Roman" w:eastAsia="仿宋" w:cs="Times New Roman"/>
          <w:b w:val="0"/>
          <w:bCs w:val="0"/>
          <w:sz w:val="32"/>
          <w:szCs w:val="32"/>
        </w:rPr>
        <w:fldChar w:fldCharType="end"/>
      </w:r>
      <w:r>
        <w:rPr>
          <w:rFonts w:hint="eastAsia" w:ascii="Times New Roman" w:hAnsi="Times New Roman" w:eastAsia="仿宋" w:cs="Times New Roman"/>
          <w:b w:val="0"/>
          <w:bCs w:val="0"/>
          <w:sz w:val="32"/>
          <w:szCs w:val="32"/>
        </w:rPr>
        <w:fldChar w:fldCharType="end"/>
      </w:r>
    </w:p>
    <w:p w14:paraId="5184023F">
      <w:pPr>
        <w:pStyle w:val="9"/>
        <w:tabs>
          <w:tab w:val="right" w:leader="dot" w:pos="9070"/>
        </w:tabs>
        <w:rPr>
          <w:rFonts w:hint="eastAsia" w:ascii="Times New Roman" w:hAnsi="Times New Roman" w:eastAsia="仿宋" w:cs="Times New Roman"/>
          <w:b w:val="0"/>
          <w:bCs w:val="0"/>
          <w:sz w:val="32"/>
          <w:szCs w:val="32"/>
        </w:rPr>
      </w:pP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HYPERLINK \l _Toc12615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rPr>
        <w:t>附件三：</w:t>
      </w:r>
      <w:r>
        <w:rPr>
          <w:rFonts w:hint="eastAsia" w:ascii="Times New Roman" w:hAnsi="Times New Roman" w:eastAsia="仿宋" w:cs="Times New Roman"/>
          <w:b w:val="0"/>
          <w:bCs w:val="0"/>
          <w:sz w:val="32"/>
          <w:szCs w:val="32"/>
        </w:rPr>
        <w:tab/>
      </w: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PAGEREF _Toc12615 \h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rPr>
        <w:t>32</w:t>
      </w:r>
      <w:r>
        <w:rPr>
          <w:rFonts w:hint="eastAsia" w:ascii="Times New Roman" w:hAnsi="Times New Roman" w:eastAsia="仿宋" w:cs="Times New Roman"/>
          <w:b w:val="0"/>
          <w:bCs w:val="0"/>
          <w:sz w:val="32"/>
          <w:szCs w:val="32"/>
        </w:rPr>
        <w:fldChar w:fldCharType="end"/>
      </w:r>
      <w:r>
        <w:rPr>
          <w:rFonts w:hint="eastAsia" w:ascii="Times New Roman" w:hAnsi="Times New Roman" w:eastAsia="仿宋" w:cs="Times New Roman"/>
          <w:b w:val="0"/>
          <w:bCs w:val="0"/>
          <w:sz w:val="32"/>
          <w:szCs w:val="32"/>
        </w:rPr>
        <w:fldChar w:fldCharType="end"/>
      </w:r>
    </w:p>
    <w:p w14:paraId="742DB6A3">
      <w:pPr>
        <w:pStyle w:val="9"/>
        <w:tabs>
          <w:tab w:val="right" w:leader="dot" w:pos="9070"/>
        </w:tabs>
        <w:rPr>
          <w:rFonts w:hint="eastAsia" w:ascii="仿宋" w:hAnsi="仿宋" w:eastAsia="仿宋" w:cs="仿宋"/>
          <w:b w:val="0"/>
          <w:bCs w:val="0"/>
          <w:sz w:val="32"/>
          <w:szCs w:val="32"/>
        </w:rPr>
      </w:pP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HYPERLINK \l _Toc31613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rPr>
        <w:t>附件</w:t>
      </w:r>
      <w:r>
        <w:rPr>
          <w:rFonts w:hint="eastAsia" w:ascii="Times New Roman" w:hAnsi="Times New Roman" w:eastAsia="仿宋" w:cs="Times New Roman"/>
          <w:b w:val="0"/>
          <w:bCs w:val="0"/>
          <w:sz w:val="32"/>
          <w:szCs w:val="32"/>
          <w:lang w:val="en-US"/>
        </w:rPr>
        <w:t>四：</w:t>
      </w:r>
      <w:r>
        <w:rPr>
          <w:rFonts w:hint="eastAsia" w:ascii="Times New Roman" w:hAnsi="Times New Roman" w:eastAsia="仿宋" w:cs="Times New Roman"/>
          <w:b w:val="0"/>
          <w:bCs w:val="0"/>
          <w:sz w:val="32"/>
          <w:szCs w:val="32"/>
        </w:rPr>
        <w:tab/>
      </w: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PAGEREF _Toc31613 \h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rPr>
        <w:t>35</w:t>
      </w:r>
      <w:r>
        <w:rPr>
          <w:rFonts w:hint="eastAsia" w:ascii="Times New Roman" w:hAnsi="Times New Roman" w:eastAsia="仿宋" w:cs="Times New Roman"/>
          <w:b w:val="0"/>
          <w:bCs w:val="0"/>
          <w:sz w:val="32"/>
          <w:szCs w:val="32"/>
        </w:rPr>
        <w:fldChar w:fldCharType="end"/>
      </w:r>
      <w:r>
        <w:rPr>
          <w:rFonts w:hint="eastAsia" w:ascii="Times New Roman" w:hAnsi="Times New Roman" w:eastAsia="仿宋" w:cs="Times New Roman"/>
          <w:b w:val="0"/>
          <w:bCs w:val="0"/>
          <w:sz w:val="32"/>
          <w:szCs w:val="32"/>
        </w:rPr>
        <w:fldChar w:fldCharType="end"/>
      </w:r>
    </w:p>
    <w:p w14:paraId="2CB08D88">
      <w:pPr>
        <w:rPr>
          <w:rFonts w:hint="eastAsia" w:ascii="仿宋" w:hAnsi="仿宋" w:eastAsia="仿宋" w:cs="仿宋"/>
          <w:sz w:val="56"/>
          <w:szCs w:val="32"/>
        </w:rPr>
      </w:pPr>
      <w:r>
        <w:rPr>
          <w:rFonts w:hint="eastAsia" w:ascii="仿宋" w:hAnsi="仿宋" w:eastAsia="仿宋" w:cs="仿宋"/>
          <w:b w:val="0"/>
          <w:bCs w:val="0"/>
          <w:sz w:val="32"/>
          <w:szCs w:val="32"/>
        </w:rPr>
        <w:fldChar w:fldCharType="end"/>
      </w:r>
    </w:p>
    <w:p w14:paraId="7D54F6DE">
      <w:pPr>
        <w:rPr>
          <w:rFonts w:hint="eastAsia" w:ascii="仿宋" w:hAnsi="仿宋" w:eastAsia="仿宋" w:cs="仿宋"/>
          <w:sz w:val="36"/>
        </w:rPr>
      </w:pPr>
    </w:p>
    <w:p w14:paraId="624240EE">
      <w:pPr>
        <w:snapToGrid w:val="0"/>
        <w:jc w:val="center"/>
        <w:outlineLvl w:val="0"/>
        <w:rPr>
          <w:rFonts w:hint="eastAsia" w:ascii="仿宋" w:hAnsi="仿宋" w:eastAsia="仿宋" w:cs="仿宋"/>
          <w:snapToGrid w:val="0"/>
          <w:sz w:val="30"/>
          <w:szCs w:val="30"/>
        </w:rPr>
      </w:pPr>
      <w:r>
        <w:rPr>
          <w:rFonts w:hint="eastAsia" w:ascii="仿宋" w:hAnsi="仿宋" w:eastAsia="仿宋" w:cs="仿宋"/>
          <w:sz w:val="32"/>
          <w:szCs w:val="32"/>
        </w:rPr>
        <w:br w:type="page"/>
      </w:r>
      <w:bookmarkStart w:id="4" w:name="_Toc530583921"/>
      <w:bookmarkStart w:id="5" w:name="_Toc10575"/>
      <w:bookmarkStart w:id="6" w:name="_Toc530583878"/>
      <w:r>
        <w:rPr>
          <w:rFonts w:hint="eastAsia" w:ascii="仿宋" w:hAnsi="仿宋" w:eastAsia="仿宋" w:cs="仿宋"/>
          <w:b/>
          <w:snapToGrid w:val="0"/>
          <w:color w:val="000000"/>
          <w:kern w:val="44"/>
          <w:sz w:val="44"/>
          <w:szCs w:val="44"/>
          <w:lang w:val="en-US" w:eastAsia="zh-CN" w:bidi="ar-SA"/>
        </w:rPr>
        <w:t>第一部分   询价公告</w:t>
      </w:r>
      <w:bookmarkEnd w:id="4"/>
      <w:bookmarkEnd w:id="5"/>
      <w:bookmarkEnd w:id="6"/>
    </w:p>
    <w:p w14:paraId="42A9A8C9">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rPr>
      </w:pPr>
      <w:r>
        <w:rPr>
          <w:rFonts w:hint="eastAsia" w:ascii="仿宋" w:hAnsi="仿宋" w:eastAsia="仿宋" w:cs="仿宋"/>
          <w:sz w:val="30"/>
          <w:szCs w:val="30"/>
          <w:lang w:eastAsia="zh-CN"/>
        </w:rPr>
        <w:t>绍兴市再生能源发展有限公司</w:t>
      </w:r>
      <w:r>
        <w:rPr>
          <w:rFonts w:hint="eastAsia" w:ascii="仿宋" w:hAnsi="仿宋" w:eastAsia="仿宋" w:cs="仿宋"/>
          <w:sz w:val="30"/>
          <w:szCs w:val="30"/>
        </w:rPr>
        <w:t>因日常生产需要，需</w:t>
      </w:r>
      <w:r>
        <w:rPr>
          <w:rFonts w:hint="eastAsia" w:ascii="仿宋" w:hAnsi="仿宋" w:eastAsia="仿宋" w:cs="仿宋"/>
          <w:sz w:val="30"/>
          <w:szCs w:val="30"/>
          <w:lang w:eastAsia="zh-CN"/>
        </w:rPr>
        <w:t>对</w:t>
      </w:r>
      <w:r>
        <w:rPr>
          <w:rFonts w:hint="eastAsia" w:ascii="仿宋" w:hAnsi="仿宋" w:eastAsia="仿宋" w:cs="仿宋"/>
          <w:sz w:val="30"/>
          <w:szCs w:val="30"/>
          <w:lang w:val="en-US" w:eastAsia="zh-CN"/>
        </w:rPr>
        <w:t>雾化器年度保养项目进行招标</w:t>
      </w:r>
      <w:r>
        <w:rPr>
          <w:rFonts w:hint="eastAsia" w:ascii="仿宋" w:hAnsi="仿宋" w:eastAsia="仿宋" w:cs="仿宋"/>
          <w:sz w:val="30"/>
          <w:szCs w:val="30"/>
        </w:rPr>
        <w:t>，欢迎符合要求的</w:t>
      </w:r>
      <w:r>
        <w:rPr>
          <w:rFonts w:hint="eastAsia" w:ascii="仿宋" w:hAnsi="仿宋" w:eastAsia="仿宋" w:cs="仿宋"/>
          <w:sz w:val="30"/>
          <w:szCs w:val="30"/>
          <w:lang w:val="en-US" w:eastAsia="zh-CN"/>
        </w:rPr>
        <w:t>供应商</w:t>
      </w:r>
      <w:r>
        <w:rPr>
          <w:rFonts w:hint="eastAsia" w:ascii="仿宋" w:hAnsi="仿宋" w:eastAsia="仿宋" w:cs="仿宋"/>
          <w:sz w:val="30"/>
          <w:szCs w:val="30"/>
          <w:lang w:eastAsia="zh-CN"/>
        </w:rPr>
        <w:t>（以下简称“报价人”）积极参与</w:t>
      </w:r>
      <w:r>
        <w:rPr>
          <w:rFonts w:hint="eastAsia" w:ascii="仿宋" w:hAnsi="仿宋" w:eastAsia="仿宋" w:cs="仿宋"/>
          <w:sz w:val="30"/>
          <w:szCs w:val="30"/>
        </w:rPr>
        <w:t>。</w:t>
      </w:r>
    </w:p>
    <w:p w14:paraId="429406BA">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outlineLvl w:val="1"/>
        <w:rPr>
          <w:rFonts w:hint="eastAsia" w:ascii="仿宋_GB2312" w:eastAsia="仿宋_GB2312"/>
          <w:b/>
          <w:bCs/>
          <w:sz w:val="30"/>
          <w:szCs w:val="30"/>
          <w:lang w:eastAsia="zh-CN"/>
        </w:rPr>
      </w:pPr>
      <w:r>
        <w:rPr>
          <w:rFonts w:hint="eastAsia" w:ascii="仿宋_GB2312" w:eastAsia="仿宋_GB2312"/>
          <w:b/>
          <w:bCs/>
          <w:sz w:val="30"/>
          <w:szCs w:val="30"/>
          <w:lang w:eastAsia="zh-CN"/>
        </w:rPr>
        <w:t>一、采购内容及相关说明。</w:t>
      </w:r>
    </w:p>
    <w:p w14:paraId="3B611723">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lang w:val="en-US" w:eastAsia="zh-CN"/>
        </w:rPr>
      </w:pPr>
      <w:r>
        <w:rPr>
          <w:rFonts w:hint="eastAsia" w:ascii="仿宋" w:hAnsi="仿宋" w:eastAsia="仿宋" w:cs="仿宋"/>
          <w:sz w:val="30"/>
          <w:szCs w:val="30"/>
        </w:rPr>
        <w:t>1.项目编号：</w:t>
      </w:r>
      <w:r>
        <w:rPr>
          <w:rFonts w:hint="eastAsia" w:ascii="仿宋" w:hAnsi="仿宋" w:eastAsia="仿宋" w:cs="仿宋"/>
          <w:sz w:val="30"/>
          <w:szCs w:val="30"/>
          <w:lang w:val="en-US" w:eastAsia="zh-CN"/>
        </w:rPr>
        <w:t xml:space="preserve">SX-CG-WH-2609015  </w:t>
      </w:r>
    </w:p>
    <w:p w14:paraId="4EB00A93">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rPr>
      </w:pPr>
      <w:r>
        <w:rPr>
          <w:rFonts w:hint="eastAsia" w:ascii="仿宋" w:hAnsi="仿宋" w:eastAsia="仿宋" w:cs="仿宋"/>
          <w:sz w:val="30"/>
          <w:szCs w:val="30"/>
        </w:rPr>
        <w:t>2.采购内容：</w:t>
      </w:r>
    </w:p>
    <w:tbl>
      <w:tblPr>
        <w:tblStyle w:val="13"/>
        <w:tblW w:w="4391" w:type="pct"/>
        <w:jc w:val="center"/>
        <w:tblLayout w:type="fixed"/>
        <w:tblCellMar>
          <w:top w:w="0" w:type="dxa"/>
          <w:left w:w="108" w:type="dxa"/>
          <w:bottom w:w="0" w:type="dxa"/>
          <w:right w:w="108" w:type="dxa"/>
        </w:tblCellMar>
      </w:tblPr>
      <w:tblGrid>
        <w:gridCol w:w="713"/>
        <w:gridCol w:w="2410"/>
        <w:gridCol w:w="3349"/>
        <w:gridCol w:w="866"/>
        <w:gridCol w:w="817"/>
      </w:tblGrid>
      <w:tr w14:paraId="0AC6C2D8">
        <w:tblPrEx>
          <w:tblCellMar>
            <w:top w:w="0" w:type="dxa"/>
            <w:left w:w="108" w:type="dxa"/>
            <w:bottom w:w="0" w:type="dxa"/>
            <w:right w:w="108" w:type="dxa"/>
          </w:tblCellMar>
        </w:tblPrEx>
        <w:trPr>
          <w:trHeight w:val="467" w:hRule="atLeast"/>
          <w:jc w:val="center"/>
        </w:trPr>
        <w:tc>
          <w:tcPr>
            <w:tcW w:w="713" w:type="dxa"/>
            <w:tcBorders>
              <w:top w:val="single" w:color="000000" w:sz="4" w:space="0"/>
              <w:left w:val="single" w:color="000000" w:sz="4" w:space="0"/>
              <w:bottom w:val="single" w:color="000000" w:sz="4" w:space="0"/>
              <w:right w:val="single" w:color="000000" w:sz="4" w:space="0"/>
            </w:tcBorders>
            <w:noWrap/>
            <w:vAlign w:val="center"/>
          </w:tcPr>
          <w:p w14:paraId="5ECBD0C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rPr>
            </w:pPr>
            <w:r>
              <w:rPr>
                <w:rFonts w:hint="eastAsia" w:ascii="仿宋" w:hAnsi="仿宋" w:eastAsia="仿宋" w:cs="仿宋"/>
                <w:i w:val="0"/>
                <w:iCs w:val="0"/>
                <w:strike w:val="0"/>
                <w:dstrike w:val="0"/>
                <w:color w:val="000000"/>
                <w:kern w:val="0"/>
                <w:sz w:val="24"/>
                <w:szCs w:val="24"/>
                <w:highlight w:val="none"/>
                <w:u w:val="none"/>
                <w:lang w:val="en-US" w:eastAsia="zh-CN" w:bidi="ar"/>
              </w:rPr>
              <w:t>序号</w:t>
            </w:r>
          </w:p>
        </w:tc>
        <w:tc>
          <w:tcPr>
            <w:tcW w:w="2410" w:type="dxa"/>
            <w:tcBorders>
              <w:top w:val="single" w:color="000000" w:sz="4" w:space="0"/>
              <w:left w:val="single" w:color="000000" w:sz="4" w:space="0"/>
              <w:bottom w:val="single" w:color="000000" w:sz="4" w:space="0"/>
              <w:right w:val="single" w:color="000000" w:sz="4" w:space="0"/>
            </w:tcBorders>
            <w:noWrap/>
            <w:vAlign w:val="center"/>
          </w:tcPr>
          <w:p w14:paraId="4E5AB6A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lang w:val="en-US"/>
              </w:rPr>
            </w:pPr>
            <w:r>
              <w:rPr>
                <w:rFonts w:hint="eastAsia" w:ascii="仿宋" w:hAnsi="仿宋" w:eastAsia="仿宋" w:cs="仿宋"/>
                <w:i w:val="0"/>
                <w:iCs w:val="0"/>
                <w:strike w:val="0"/>
                <w:dstrike w:val="0"/>
                <w:color w:val="000000"/>
                <w:kern w:val="0"/>
                <w:sz w:val="24"/>
                <w:szCs w:val="24"/>
                <w:highlight w:val="none"/>
                <w:u w:val="none"/>
                <w:lang w:val="en-US" w:eastAsia="zh-CN" w:bidi="ar"/>
              </w:rPr>
              <w:t>名称</w:t>
            </w:r>
          </w:p>
        </w:tc>
        <w:tc>
          <w:tcPr>
            <w:tcW w:w="3349" w:type="dxa"/>
            <w:tcBorders>
              <w:top w:val="single" w:color="000000" w:sz="4" w:space="0"/>
              <w:left w:val="single" w:color="000000" w:sz="4" w:space="0"/>
              <w:bottom w:val="single" w:color="000000" w:sz="4" w:space="0"/>
              <w:right w:val="single" w:color="000000" w:sz="4" w:space="0"/>
            </w:tcBorders>
            <w:noWrap/>
            <w:vAlign w:val="center"/>
          </w:tcPr>
          <w:p w14:paraId="26277112">
            <w:pPr>
              <w:keepNext w:val="0"/>
              <w:keepLines w:val="0"/>
              <w:pageBreakBefore w:val="0"/>
              <w:widowControl/>
              <w:suppressLineNumbers w:val="0"/>
              <w:tabs>
                <w:tab w:val="left" w:pos="222"/>
              </w:tabs>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规格与技术参数要求</w:t>
            </w:r>
          </w:p>
        </w:tc>
        <w:tc>
          <w:tcPr>
            <w:tcW w:w="866" w:type="dxa"/>
            <w:tcBorders>
              <w:top w:val="single" w:color="000000" w:sz="4" w:space="0"/>
              <w:left w:val="single" w:color="000000" w:sz="4" w:space="0"/>
              <w:bottom w:val="single" w:color="000000" w:sz="4" w:space="0"/>
              <w:right w:val="single" w:color="000000" w:sz="4" w:space="0"/>
            </w:tcBorders>
            <w:noWrap/>
            <w:vAlign w:val="center"/>
          </w:tcPr>
          <w:p w14:paraId="1EEDC61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rPr>
            </w:pPr>
            <w:r>
              <w:rPr>
                <w:rFonts w:hint="eastAsia" w:ascii="仿宋" w:hAnsi="仿宋" w:eastAsia="仿宋" w:cs="仿宋"/>
                <w:i w:val="0"/>
                <w:iCs w:val="0"/>
                <w:strike w:val="0"/>
                <w:dstrike w:val="0"/>
                <w:color w:val="000000"/>
                <w:kern w:val="0"/>
                <w:sz w:val="24"/>
                <w:szCs w:val="24"/>
                <w:highlight w:val="none"/>
                <w:u w:val="none"/>
                <w:lang w:val="en-US" w:eastAsia="zh-CN" w:bidi="ar"/>
              </w:rPr>
              <w:t>数量</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6DDD01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rPr>
            </w:pPr>
            <w:r>
              <w:rPr>
                <w:rFonts w:hint="eastAsia" w:ascii="仿宋" w:hAnsi="仿宋" w:eastAsia="仿宋" w:cs="仿宋"/>
                <w:i w:val="0"/>
                <w:iCs w:val="0"/>
                <w:strike w:val="0"/>
                <w:dstrike w:val="0"/>
                <w:color w:val="000000"/>
                <w:kern w:val="0"/>
                <w:sz w:val="24"/>
                <w:szCs w:val="24"/>
                <w:highlight w:val="none"/>
                <w:u w:val="none"/>
                <w:lang w:val="en-US" w:eastAsia="zh-CN" w:bidi="ar"/>
              </w:rPr>
              <w:t>单位</w:t>
            </w:r>
          </w:p>
        </w:tc>
      </w:tr>
      <w:tr w14:paraId="0A82C0C7">
        <w:tblPrEx>
          <w:tblCellMar>
            <w:top w:w="0" w:type="dxa"/>
            <w:left w:w="108" w:type="dxa"/>
            <w:bottom w:w="0" w:type="dxa"/>
            <w:right w:w="108" w:type="dxa"/>
          </w:tblCellMar>
        </w:tblPrEx>
        <w:trPr>
          <w:trHeight w:val="529" w:hRule="atLeast"/>
          <w:jc w:val="center"/>
        </w:trPr>
        <w:tc>
          <w:tcPr>
            <w:tcW w:w="8155" w:type="dxa"/>
            <w:gridSpan w:val="5"/>
            <w:tcBorders>
              <w:top w:val="single" w:color="000000" w:sz="4" w:space="0"/>
              <w:left w:val="single" w:color="000000" w:sz="4" w:space="0"/>
              <w:bottom w:val="single" w:color="000000" w:sz="4" w:space="0"/>
              <w:right w:val="single" w:color="000000" w:sz="4" w:space="0"/>
            </w:tcBorders>
            <w:noWrap/>
            <w:vAlign w:val="center"/>
          </w:tcPr>
          <w:p w14:paraId="456A8727">
            <w:pPr>
              <w:keepNext w:val="0"/>
              <w:keepLines w:val="0"/>
              <w:widowControl/>
              <w:suppressLineNumbers w:val="0"/>
              <w:tabs>
                <w:tab w:val="left" w:pos="431"/>
              </w:tabs>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sz w:val="24"/>
                <w:szCs w:val="24"/>
                <w:lang w:val="en-US" w:eastAsia="zh-CN"/>
              </w:rPr>
              <w:t>维护保养</w:t>
            </w:r>
          </w:p>
        </w:tc>
      </w:tr>
      <w:tr w14:paraId="386C6007">
        <w:tblPrEx>
          <w:tblCellMar>
            <w:top w:w="0" w:type="dxa"/>
            <w:left w:w="108" w:type="dxa"/>
            <w:bottom w:w="0" w:type="dxa"/>
            <w:right w:w="108" w:type="dxa"/>
          </w:tblCellMar>
        </w:tblPrEx>
        <w:trPr>
          <w:trHeight w:val="2720" w:hRule="atLeast"/>
          <w:jc w:val="center"/>
        </w:trPr>
        <w:tc>
          <w:tcPr>
            <w:tcW w:w="713" w:type="dxa"/>
            <w:tcBorders>
              <w:top w:val="single" w:color="000000" w:sz="4" w:space="0"/>
              <w:left w:val="single" w:color="000000" w:sz="4" w:space="0"/>
              <w:bottom w:val="single" w:color="000000" w:sz="4" w:space="0"/>
              <w:right w:val="single" w:color="000000" w:sz="4" w:space="0"/>
            </w:tcBorders>
            <w:noWrap/>
            <w:vAlign w:val="center"/>
          </w:tcPr>
          <w:p w14:paraId="6F5B4201">
            <w:pPr>
              <w:keepNext w:val="0"/>
              <w:keepLines w:val="0"/>
              <w:pageBreakBefore w:val="0"/>
              <w:widowControl/>
              <w:numPr>
                <w:ilvl w:val="0"/>
                <w:numId w:val="0"/>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r>
              <w:rPr>
                <w:rFonts w:hint="default" w:ascii="仿宋" w:hAnsi="仿宋" w:eastAsia="仿宋" w:cs="仿宋"/>
                <w:i w:val="0"/>
                <w:iCs w:val="0"/>
                <w:strike w:val="0"/>
                <w:dstrike w:val="0"/>
                <w:color w:val="000000"/>
                <w:kern w:val="0"/>
                <w:sz w:val="24"/>
                <w:szCs w:val="24"/>
                <w:lang w:val="en-US" w:eastAsia="zh-CN" w:bidi="ar"/>
              </w:rPr>
              <w:t>1</w:t>
            </w:r>
          </w:p>
        </w:tc>
        <w:tc>
          <w:tcPr>
            <w:tcW w:w="2410" w:type="dxa"/>
            <w:tcBorders>
              <w:top w:val="single" w:color="000000" w:sz="4" w:space="0"/>
              <w:left w:val="single" w:color="000000" w:sz="4" w:space="0"/>
              <w:bottom w:val="single" w:color="000000" w:sz="4" w:space="0"/>
              <w:right w:val="single" w:color="000000" w:sz="4" w:space="0"/>
            </w:tcBorders>
            <w:noWrap w:val="0"/>
            <w:vAlign w:val="center"/>
          </w:tcPr>
          <w:p w14:paraId="43349A67">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雾化器保养</w:t>
            </w:r>
          </w:p>
        </w:tc>
        <w:tc>
          <w:tcPr>
            <w:tcW w:w="3349" w:type="dxa"/>
            <w:tcBorders>
              <w:top w:val="single" w:color="000000" w:sz="4" w:space="0"/>
              <w:left w:val="single" w:color="000000" w:sz="4" w:space="0"/>
              <w:bottom w:val="single" w:color="000000" w:sz="4" w:space="0"/>
              <w:right w:val="single" w:color="000000" w:sz="4" w:space="0"/>
            </w:tcBorders>
            <w:noWrap w:val="0"/>
            <w:vAlign w:val="center"/>
          </w:tcPr>
          <w:p w14:paraId="55E2F144">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1.每台保养雾化器O 型圈,油封,油垫纸,滤芯,反冲垫,导向轴承及NU209、6308C3 、6305M.C3、NU308、6209-C、6006MA.C3各一只、NU306二只轴承，滤芯及导向轴承更换全由维护方提供。</w:t>
            </w:r>
          </w:p>
          <w:p w14:paraId="2D2286B6">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2.整机拆装清洗检查评估由维护方提供。</w:t>
            </w:r>
          </w:p>
        </w:tc>
        <w:tc>
          <w:tcPr>
            <w:tcW w:w="866" w:type="dxa"/>
            <w:tcBorders>
              <w:top w:val="single" w:color="000000" w:sz="4" w:space="0"/>
              <w:left w:val="single" w:color="000000" w:sz="4" w:space="0"/>
              <w:bottom w:val="single" w:color="000000" w:sz="4" w:space="0"/>
              <w:right w:val="single" w:color="000000" w:sz="4" w:space="0"/>
            </w:tcBorders>
            <w:noWrap w:val="0"/>
            <w:vAlign w:val="center"/>
          </w:tcPr>
          <w:p w14:paraId="6586EB3E">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5</w:t>
            </w:r>
          </w:p>
        </w:tc>
        <w:tc>
          <w:tcPr>
            <w:tcW w:w="817" w:type="dxa"/>
            <w:tcBorders>
              <w:top w:val="single" w:color="000000" w:sz="4" w:space="0"/>
              <w:left w:val="single" w:color="000000" w:sz="4" w:space="0"/>
              <w:bottom w:val="single" w:color="000000" w:sz="4" w:space="0"/>
              <w:right w:val="single" w:color="000000" w:sz="4" w:space="0"/>
            </w:tcBorders>
            <w:noWrap w:val="0"/>
            <w:vAlign w:val="center"/>
          </w:tcPr>
          <w:p w14:paraId="3664CCEB">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台</w:t>
            </w:r>
          </w:p>
        </w:tc>
      </w:tr>
      <w:tr w14:paraId="4C1E099A">
        <w:tblPrEx>
          <w:tblCellMar>
            <w:top w:w="0" w:type="dxa"/>
            <w:left w:w="108" w:type="dxa"/>
            <w:bottom w:w="0" w:type="dxa"/>
            <w:right w:w="108" w:type="dxa"/>
          </w:tblCellMar>
        </w:tblPrEx>
        <w:trPr>
          <w:trHeight w:val="529" w:hRule="atLeast"/>
          <w:jc w:val="center"/>
        </w:trPr>
        <w:tc>
          <w:tcPr>
            <w:tcW w:w="8155" w:type="dxa"/>
            <w:gridSpan w:val="5"/>
            <w:tcBorders>
              <w:top w:val="single" w:color="000000" w:sz="4" w:space="0"/>
              <w:left w:val="single" w:color="000000" w:sz="4" w:space="0"/>
              <w:bottom w:val="single" w:color="000000" w:sz="4" w:space="0"/>
              <w:right w:val="single" w:color="000000" w:sz="4" w:space="0"/>
            </w:tcBorders>
            <w:noWrap/>
            <w:vAlign w:val="center"/>
          </w:tcPr>
          <w:p w14:paraId="367CA7EF">
            <w:pPr>
              <w:keepNext w:val="0"/>
              <w:keepLines w:val="0"/>
              <w:widowControl/>
              <w:suppressLineNumbers w:val="0"/>
              <w:tabs>
                <w:tab w:val="left" w:pos="431"/>
              </w:tabs>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sz w:val="24"/>
                <w:szCs w:val="24"/>
                <w:lang w:val="en-US" w:eastAsia="zh-CN"/>
              </w:rPr>
              <w:t>配件供货</w:t>
            </w:r>
          </w:p>
        </w:tc>
      </w:tr>
      <w:tr w14:paraId="4B71E700">
        <w:tblPrEx>
          <w:tblCellMar>
            <w:top w:w="0" w:type="dxa"/>
            <w:left w:w="108" w:type="dxa"/>
            <w:bottom w:w="0" w:type="dxa"/>
            <w:right w:w="108" w:type="dxa"/>
          </w:tblCellMar>
        </w:tblPrEx>
        <w:trPr>
          <w:trHeight w:val="529" w:hRule="atLeast"/>
          <w:jc w:val="center"/>
        </w:trPr>
        <w:tc>
          <w:tcPr>
            <w:tcW w:w="713" w:type="dxa"/>
            <w:tcBorders>
              <w:top w:val="single" w:color="000000" w:sz="4" w:space="0"/>
              <w:left w:val="single" w:color="000000" w:sz="4" w:space="0"/>
              <w:bottom w:val="single" w:color="000000" w:sz="4" w:space="0"/>
              <w:right w:val="single" w:color="000000" w:sz="4" w:space="0"/>
            </w:tcBorders>
            <w:noWrap/>
            <w:vAlign w:val="center"/>
          </w:tcPr>
          <w:p w14:paraId="5DADCC99">
            <w:pPr>
              <w:keepNext w:val="0"/>
              <w:keepLines w:val="0"/>
              <w:pageBreakBefore w:val="0"/>
              <w:widowControl/>
              <w:numPr>
                <w:ilvl w:val="0"/>
                <w:numId w:val="0"/>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r>
              <w:rPr>
                <w:rFonts w:hint="default" w:ascii="仿宋" w:hAnsi="仿宋" w:eastAsia="仿宋" w:cs="仿宋"/>
                <w:i w:val="0"/>
                <w:iCs w:val="0"/>
                <w:strike w:val="0"/>
                <w:dstrike w:val="0"/>
                <w:color w:val="000000"/>
                <w:kern w:val="0"/>
                <w:sz w:val="24"/>
                <w:szCs w:val="24"/>
                <w:lang w:val="en-US" w:eastAsia="zh-CN" w:bidi="ar"/>
              </w:rPr>
              <w:t>2</w:t>
            </w:r>
          </w:p>
        </w:tc>
        <w:tc>
          <w:tcPr>
            <w:tcW w:w="2410" w:type="dxa"/>
            <w:tcBorders>
              <w:top w:val="single" w:color="000000" w:sz="4" w:space="0"/>
              <w:left w:val="single" w:color="000000" w:sz="4" w:space="0"/>
              <w:bottom w:val="single" w:color="000000" w:sz="4" w:space="0"/>
              <w:right w:val="single" w:color="000000" w:sz="4" w:space="0"/>
            </w:tcBorders>
            <w:noWrap w:val="0"/>
            <w:vAlign w:val="center"/>
          </w:tcPr>
          <w:p w14:paraId="2E846C0A">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sz w:val="24"/>
                <w:szCs w:val="24"/>
                <w:lang w:val="en-US" w:eastAsia="zh-CN"/>
              </w:rPr>
              <w:t>雾化器分流盘</w:t>
            </w:r>
          </w:p>
        </w:tc>
        <w:tc>
          <w:tcPr>
            <w:tcW w:w="3349" w:type="dxa"/>
            <w:tcBorders>
              <w:top w:val="single" w:color="000000" w:sz="4" w:space="0"/>
              <w:left w:val="single" w:color="000000" w:sz="4" w:space="0"/>
              <w:bottom w:val="single" w:color="000000" w:sz="4" w:space="0"/>
              <w:right w:val="single" w:color="000000" w:sz="4" w:space="0"/>
            </w:tcBorders>
            <w:noWrap w:val="0"/>
            <w:vAlign w:val="center"/>
          </w:tcPr>
          <w:p w14:paraId="1E04CA93">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sz w:val="24"/>
                <w:szCs w:val="24"/>
                <w:lang w:val="en-US" w:eastAsia="zh-CN"/>
              </w:rPr>
              <w:t>F100雾化器专用，材质：哈氏合金</w:t>
            </w:r>
          </w:p>
        </w:tc>
        <w:tc>
          <w:tcPr>
            <w:tcW w:w="866" w:type="dxa"/>
            <w:tcBorders>
              <w:top w:val="single" w:color="000000" w:sz="4" w:space="0"/>
              <w:left w:val="single" w:color="000000" w:sz="4" w:space="0"/>
              <w:bottom w:val="single" w:color="000000" w:sz="4" w:space="0"/>
              <w:right w:val="single" w:color="000000" w:sz="4" w:space="0"/>
            </w:tcBorders>
            <w:noWrap w:val="0"/>
            <w:vAlign w:val="center"/>
          </w:tcPr>
          <w:p w14:paraId="08DF7622">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strike w:val="0"/>
                <w:dstrike w:val="0"/>
                <w:color w:val="000000"/>
                <w:sz w:val="24"/>
                <w:szCs w:val="24"/>
                <w:highlight w:val="none"/>
                <w:u w:val="none"/>
                <w:lang w:val="en-US" w:eastAsia="zh-CN"/>
              </w:rPr>
            </w:pPr>
            <w:r>
              <w:rPr>
                <w:rFonts w:hint="eastAsia" w:ascii="仿宋" w:hAnsi="仿宋" w:eastAsia="仿宋" w:cs="仿宋"/>
                <w:sz w:val="24"/>
                <w:szCs w:val="24"/>
                <w:lang w:val="en-US" w:eastAsia="zh-CN"/>
              </w:rPr>
              <w:t>3</w:t>
            </w:r>
          </w:p>
        </w:tc>
        <w:tc>
          <w:tcPr>
            <w:tcW w:w="817" w:type="dxa"/>
            <w:tcBorders>
              <w:top w:val="single" w:color="000000" w:sz="4" w:space="0"/>
              <w:left w:val="single" w:color="000000" w:sz="4" w:space="0"/>
              <w:bottom w:val="single" w:color="000000" w:sz="4" w:space="0"/>
              <w:right w:val="single" w:color="000000" w:sz="4" w:space="0"/>
            </w:tcBorders>
            <w:noWrap w:val="0"/>
            <w:vAlign w:val="center"/>
          </w:tcPr>
          <w:p w14:paraId="33D73F08">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strike w:val="0"/>
                <w:dstrike w:val="0"/>
                <w:color w:val="000000"/>
                <w:sz w:val="24"/>
                <w:szCs w:val="24"/>
                <w:highlight w:val="none"/>
                <w:u w:val="none"/>
                <w:lang w:val="en-US" w:eastAsia="zh-CN"/>
              </w:rPr>
            </w:pPr>
            <w:r>
              <w:rPr>
                <w:rFonts w:hint="eastAsia" w:ascii="仿宋" w:hAnsi="仿宋" w:eastAsia="仿宋" w:cs="仿宋"/>
                <w:sz w:val="24"/>
                <w:szCs w:val="24"/>
                <w:lang w:val="en-US" w:eastAsia="zh-CN"/>
              </w:rPr>
              <w:t>个</w:t>
            </w:r>
          </w:p>
        </w:tc>
      </w:tr>
      <w:tr w14:paraId="4D29C2A6">
        <w:tblPrEx>
          <w:tblCellMar>
            <w:top w:w="0" w:type="dxa"/>
            <w:left w:w="108" w:type="dxa"/>
            <w:bottom w:w="0" w:type="dxa"/>
            <w:right w:w="108" w:type="dxa"/>
          </w:tblCellMar>
        </w:tblPrEx>
        <w:trPr>
          <w:trHeight w:val="529" w:hRule="atLeast"/>
          <w:jc w:val="center"/>
        </w:trPr>
        <w:tc>
          <w:tcPr>
            <w:tcW w:w="713" w:type="dxa"/>
            <w:tcBorders>
              <w:top w:val="single" w:color="000000" w:sz="4" w:space="0"/>
              <w:left w:val="single" w:color="000000" w:sz="4" w:space="0"/>
              <w:bottom w:val="single" w:color="000000" w:sz="4" w:space="0"/>
              <w:right w:val="single" w:color="000000" w:sz="4" w:space="0"/>
            </w:tcBorders>
            <w:noWrap/>
            <w:vAlign w:val="center"/>
          </w:tcPr>
          <w:p w14:paraId="7F081104">
            <w:pPr>
              <w:keepNext w:val="0"/>
              <w:keepLines w:val="0"/>
              <w:pageBreakBefore w:val="0"/>
              <w:widowControl/>
              <w:numPr>
                <w:ilvl w:val="0"/>
                <w:numId w:val="0"/>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r>
              <w:rPr>
                <w:rFonts w:hint="default" w:ascii="仿宋" w:hAnsi="仿宋" w:eastAsia="仿宋" w:cs="仿宋"/>
                <w:i w:val="0"/>
                <w:iCs w:val="0"/>
                <w:strike w:val="0"/>
                <w:dstrike w:val="0"/>
                <w:color w:val="000000"/>
                <w:kern w:val="0"/>
                <w:sz w:val="24"/>
                <w:szCs w:val="24"/>
                <w:lang w:val="en-US" w:eastAsia="zh-CN" w:bidi="ar"/>
              </w:rPr>
              <w:t>3</w:t>
            </w:r>
          </w:p>
        </w:tc>
        <w:tc>
          <w:tcPr>
            <w:tcW w:w="2410" w:type="dxa"/>
            <w:tcBorders>
              <w:top w:val="single" w:color="000000" w:sz="4" w:space="0"/>
              <w:left w:val="single" w:color="000000" w:sz="4" w:space="0"/>
              <w:bottom w:val="single" w:color="000000" w:sz="4" w:space="0"/>
              <w:right w:val="single" w:color="000000" w:sz="4" w:space="0"/>
            </w:tcBorders>
            <w:noWrap w:val="0"/>
            <w:vAlign w:val="center"/>
          </w:tcPr>
          <w:p w14:paraId="0AE92080">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sz w:val="24"/>
                <w:szCs w:val="24"/>
                <w:lang w:val="en-US" w:eastAsia="zh-CN"/>
              </w:rPr>
              <w:t>雾化器导流盘</w:t>
            </w:r>
          </w:p>
        </w:tc>
        <w:tc>
          <w:tcPr>
            <w:tcW w:w="3349" w:type="dxa"/>
            <w:tcBorders>
              <w:top w:val="single" w:color="000000" w:sz="4" w:space="0"/>
              <w:left w:val="single" w:color="000000" w:sz="4" w:space="0"/>
              <w:bottom w:val="single" w:color="000000" w:sz="4" w:space="0"/>
              <w:right w:val="single" w:color="000000" w:sz="4" w:space="0"/>
            </w:tcBorders>
            <w:noWrap w:val="0"/>
            <w:vAlign w:val="center"/>
          </w:tcPr>
          <w:p w14:paraId="0CC4EB32">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sz w:val="24"/>
                <w:szCs w:val="24"/>
                <w:lang w:val="en-US" w:eastAsia="zh-CN"/>
              </w:rPr>
              <w:t>F100雾化器专用，材质：哈氏合金</w:t>
            </w:r>
          </w:p>
        </w:tc>
        <w:tc>
          <w:tcPr>
            <w:tcW w:w="866" w:type="dxa"/>
            <w:tcBorders>
              <w:top w:val="single" w:color="000000" w:sz="4" w:space="0"/>
              <w:left w:val="single" w:color="000000" w:sz="4" w:space="0"/>
              <w:bottom w:val="single" w:color="000000" w:sz="4" w:space="0"/>
              <w:right w:val="single" w:color="000000" w:sz="4" w:space="0"/>
            </w:tcBorders>
            <w:noWrap w:val="0"/>
            <w:vAlign w:val="center"/>
          </w:tcPr>
          <w:p w14:paraId="7E1D3F15">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sz w:val="24"/>
                <w:szCs w:val="24"/>
                <w:lang w:val="en-US" w:eastAsia="zh-CN"/>
              </w:rPr>
              <w:t>4</w:t>
            </w:r>
          </w:p>
        </w:tc>
        <w:tc>
          <w:tcPr>
            <w:tcW w:w="817" w:type="dxa"/>
            <w:tcBorders>
              <w:top w:val="single" w:color="000000" w:sz="4" w:space="0"/>
              <w:left w:val="single" w:color="000000" w:sz="4" w:space="0"/>
              <w:bottom w:val="single" w:color="000000" w:sz="4" w:space="0"/>
              <w:right w:val="single" w:color="000000" w:sz="4" w:space="0"/>
            </w:tcBorders>
            <w:noWrap w:val="0"/>
            <w:vAlign w:val="center"/>
          </w:tcPr>
          <w:p w14:paraId="093F2D4C">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sz w:val="24"/>
                <w:szCs w:val="24"/>
                <w:lang w:val="en-US" w:eastAsia="zh-CN"/>
              </w:rPr>
              <w:t>个</w:t>
            </w:r>
          </w:p>
        </w:tc>
      </w:tr>
      <w:tr w14:paraId="1FF814FD">
        <w:tblPrEx>
          <w:tblCellMar>
            <w:top w:w="0" w:type="dxa"/>
            <w:left w:w="108" w:type="dxa"/>
            <w:bottom w:w="0" w:type="dxa"/>
            <w:right w:w="108" w:type="dxa"/>
          </w:tblCellMar>
        </w:tblPrEx>
        <w:trPr>
          <w:trHeight w:val="529" w:hRule="atLeast"/>
          <w:jc w:val="center"/>
        </w:trPr>
        <w:tc>
          <w:tcPr>
            <w:tcW w:w="713" w:type="dxa"/>
            <w:tcBorders>
              <w:top w:val="single" w:color="000000" w:sz="4" w:space="0"/>
              <w:left w:val="single" w:color="000000" w:sz="4" w:space="0"/>
              <w:bottom w:val="single" w:color="000000" w:sz="4" w:space="0"/>
              <w:right w:val="single" w:color="000000" w:sz="4" w:space="0"/>
            </w:tcBorders>
            <w:noWrap/>
            <w:vAlign w:val="center"/>
          </w:tcPr>
          <w:p w14:paraId="18CC72A5">
            <w:pPr>
              <w:keepNext w:val="0"/>
              <w:keepLines w:val="0"/>
              <w:pageBreakBefore w:val="0"/>
              <w:widowControl/>
              <w:numPr>
                <w:ilvl w:val="0"/>
                <w:numId w:val="0"/>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r>
              <w:rPr>
                <w:rFonts w:hint="default" w:ascii="仿宋" w:hAnsi="仿宋" w:eastAsia="仿宋" w:cs="仿宋"/>
                <w:i w:val="0"/>
                <w:iCs w:val="0"/>
                <w:strike w:val="0"/>
                <w:dstrike w:val="0"/>
                <w:color w:val="000000"/>
                <w:kern w:val="0"/>
                <w:sz w:val="24"/>
                <w:szCs w:val="24"/>
                <w:lang w:val="en-US" w:eastAsia="zh-CN" w:bidi="ar"/>
              </w:rPr>
              <w:t>4</w:t>
            </w:r>
          </w:p>
        </w:tc>
        <w:tc>
          <w:tcPr>
            <w:tcW w:w="2410" w:type="dxa"/>
            <w:tcBorders>
              <w:top w:val="single" w:color="000000" w:sz="4" w:space="0"/>
              <w:left w:val="single" w:color="000000" w:sz="4" w:space="0"/>
              <w:bottom w:val="single" w:color="000000" w:sz="4" w:space="0"/>
              <w:right w:val="single" w:color="000000" w:sz="4" w:space="0"/>
            </w:tcBorders>
            <w:noWrap w:val="0"/>
            <w:vAlign w:val="center"/>
          </w:tcPr>
          <w:p w14:paraId="76918CBE">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sz w:val="24"/>
                <w:szCs w:val="24"/>
                <w:lang w:val="en-US" w:eastAsia="zh-CN"/>
              </w:rPr>
              <w:t>雾化器分配器内衬</w:t>
            </w:r>
          </w:p>
        </w:tc>
        <w:tc>
          <w:tcPr>
            <w:tcW w:w="3349" w:type="dxa"/>
            <w:tcBorders>
              <w:top w:val="single" w:color="000000" w:sz="4" w:space="0"/>
              <w:left w:val="single" w:color="000000" w:sz="4" w:space="0"/>
              <w:bottom w:val="single" w:color="000000" w:sz="4" w:space="0"/>
              <w:right w:val="single" w:color="000000" w:sz="4" w:space="0"/>
            </w:tcBorders>
            <w:noWrap w:val="0"/>
            <w:vAlign w:val="center"/>
          </w:tcPr>
          <w:p w14:paraId="24E0EDC3">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sz w:val="24"/>
                <w:szCs w:val="24"/>
                <w:lang w:val="en-US" w:eastAsia="zh-CN"/>
              </w:rPr>
              <w:t>F100雾化器专用，材质：哈氏合金</w:t>
            </w:r>
          </w:p>
        </w:tc>
        <w:tc>
          <w:tcPr>
            <w:tcW w:w="866" w:type="dxa"/>
            <w:tcBorders>
              <w:top w:val="single" w:color="000000" w:sz="4" w:space="0"/>
              <w:left w:val="single" w:color="000000" w:sz="4" w:space="0"/>
              <w:bottom w:val="single" w:color="000000" w:sz="4" w:space="0"/>
              <w:right w:val="single" w:color="000000" w:sz="4" w:space="0"/>
            </w:tcBorders>
            <w:noWrap w:val="0"/>
            <w:vAlign w:val="center"/>
          </w:tcPr>
          <w:p w14:paraId="264AFED6">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sz w:val="24"/>
                <w:szCs w:val="24"/>
                <w:lang w:val="en-US" w:eastAsia="zh-CN"/>
              </w:rPr>
              <w:t>3</w:t>
            </w:r>
          </w:p>
        </w:tc>
        <w:tc>
          <w:tcPr>
            <w:tcW w:w="817" w:type="dxa"/>
            <w:tcBorders>
              <w:top w:val="single" w:color="000000" w:sz="4" w:space="0"/>
              <w:left w:val="single" w:color="000000" w:sz="4" w:space="0"/>
              <w:bottom w:val="single" w:color="000000" w:sz="4" w:space="0"/>
              <w:right w:val="single" w:color="000000" w:sz="4" w:space="0"/>
            </w:tcBorders>
            <w:noWrap w:val="0"/>
            <w:vAlign w:val="center"/>
          </w:tcPr>
          <w:p w14:paraId="0A8AA712">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sz w:val="24"/>
                <w:szCs w:val="24"/>
                <w:lang w:val="en-US" w:eastAsia="zh-CN"/>
              </w:rPr>
              <w:t>个</w:t>
            </w:r>
          </w:p>
        </w:tc>
      </w:tr>
      <w:tr w14:paraId="4A1CF1EE">
        <w:tblPrEx>
          <w:tblCellMar>
            <w:top w:w="0" w:type="dxa"/>
            <w:left w:w="108" w:type="dxa"/>
            <w:bottom w:w="0" w:type="dxa"/>
            <w:right w:w="108" w:type="dxa"/>
          </w:tblCellMar>
        </w:tblPrEx>
        <w:trPr>
          <w:trHeight w:val="529" w:hRule="atLeast"/>
          <w:jc w:val="center"/>
        </w:trPr>
        <w:tc>
          <w:tcPr>
            <w:tcW w:w="713" w:type="dxa"/>
            <w:tcBorders>
              <w:top w:val="single" w:color="000000" w:sz="4" w:space="0"/>
              <w:left w:val="single" w:color="000000" w:sz="4" w:space="0"/>
              <w:bottom w:val="single" w:color="000000" w:sz="4" w:space="0"/>
              <w:right w:val="single" w:color="000000" w:sz="4" w:space="0"/>
            </w:tcBorders>
            <w:noWrap/>
            <w:vAlign w:val="center"/>
          </w:tcPr>
          <w:p w14:paraId="00E7519B">
            <w:pPr>
              <w:keepNext w:val="0"/>
              <w:keepLines w:val="0"/>
              <w:pageBreakBefore w:val="0"/>
              <w:widowControl/>
              <w:numPr>
                <w:ilvl w:val="0"/>
                <w:numId w:val="0"/>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r>
              <w:rPr>
                <w:rFonts w:hint="default" w:ascii="仿宋" w:hAnsi="仿宋" w:eastAsia="仿宋" w:cs="仿宋"/>
                <w:i w:val="0"/>
                <w:iCs w:val="0"/>
                <w:strike w:val="0"/>
                <w:dstrike w:val="0"/>
                <w:color w:val="000000"/>
                <w:kern w:val="0"/>
                <w:sz w:val="24"/>
                <w:szCs w:val="24"/>
                <w:lang w:val="en-US" w:eastAsia="zh-CN" w:bidi="ar"/>
              </w:rPr>
              <w:t>5</w:t>
            </w:r>
          </w:p>
        </w:tc>
        <w:tc>
          <w:tcPr>
            <w:tcW w:w="2410" w:type="dxa"/>
            <w:tcBorders>
              <w:top w:val="single" w:color="000000" w:sz="4" w:space="0"/>
              <w:left w:val="single" w:color="000000" w:sz="4" w:space="0"/>
              <w:bottom w:val="single" w:color="000000" w:sz="4" w:space="0"/>
              <w:right w:val="single" w:color="000000" w:sz="4" w:space="0"/>
            </w:tcBorders>
            <w:noWrap w:val="0"/>
            <w:vAlign w:val="center"/>
          </w:tcPr>
          <w:p w14:paraId="0BB5D55D">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sz w:val="24"/>
                <w:szCs w:val="24"/>
                <w:lang w:val="en-US" w:eastAsia="zh-CN"/>
              </w:rPr>
              <w:t>雾化器分配器</w:t>
            </w:r>
          </w:p>
        </w:tc>
        <w:tc>
          <w:tcPr>
            <w:tcW w:w="3349" w:type="dxa"/>
            <w:tcBorders>
              <w:top w:val="single" w:color="000000" w:sz="4" w:space="0"/>
              <w:left w:val="single" w:color="000000" w:sz="4" w:space="0"/>
              <w:bottom w:val="single" w:color="000000" w:sz="4" w:space="0"/>
              <w:right w:val="single" w:color="000000" w:sz="4" w:space="0"/>
            </w:tcBorders>
            <w:noWrap w:val="0"/>
            <w:vAlign w:val="center"/>
          </w:tcPr>
          <w:p w14:paraId="563F88FB">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sz w:val="24"/>
                <w:szCs w:val="24"/>
                <w:lang w:val="en-US" w:eastAsia="zh-CN"/>
              </w:rPr>
              <w:t>F100雾化器专用，材质：哈氏合金</w:t>
            </w:r>
          </w:p>
        </w:tc>
        <w:tc>
          <w:tcPr>
            <w:tcW w:w="866" w:type="dxa"/>
            <w:tcBorders>
              <w:top w:val="single" w:color="000000" w:sz="4" w:space="0"/>
              <w:left w:val="single" w:color="000000" w:sz="4" w:space="0"/>
              <w:bottom w:val="single" w:color="000000" w:sz="4" w:space="0"/>
              <w:right w:val="single" w:color="000000" w:sz="4" w:space="0"/>
            </w:tcBorders>
            <w:noWrap w:val="0"/>
            <w:vAlign w:val="center"/>
          </w:tcPr>
          <w:p w14:paraId="79AD29EB">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sz w:val="24"/>
                <w:szCs w:val="24"/>
                <w:lang w:val="en-US" w:eastAsia="zh-CN"/>
              </w:rPr>
              <w:t>4</w:t>
            </w:r>
          </w:p>
        </w:tc>
        <w:tc>
          <w:tcPr>
            <w:tcW w:w="817" w:type="dxa"/>
            <w:tcBorders>
              <w:top w:val="single" w:color="000000" w:sz="4" w:space="0"/>
              <w:left w:val="single" w:color="000000" w:sz="4" w:space="0"/>
              <w:bottom w:val="single" w:color="000000" w:sz="4" w:space="0"/>
              <w:right w:val="single" w:color="000000" w:sz="4" w:space="0"/>
            </w:tcBorders>
            <w:noWrap w:val="0"/>
            <w:vAlign w:val="center"/>
          </w:tcPr>
          <w:p w14:paraId="587D4A99">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sz w:val="24"/>
                <w:szCs w:val="24"/>
                <w:lang w:val="en-US" w:eastAsia="zh-CN"/>
              </w:rPr>
              <w:t>个</w:t>
            </w:r>
          </w:p>
        </w:tc>
      </w:tr>
      <w:tr w14:paraId="0CB20AF9">
        <w:tblPrEx>
          <w:tblCellMar>
            <w:top w:w="0" w:type="dxa"/>
            <w:left w:w="108" w:type="dxa"/>
            <w:bottom w:w="0" w:type="dxa"/>
            <w:right w:w="108" w:type="dxa"/>
          </w:tblCellMar>
        </w:tblPrEx>
        <w:trPr>
          <w:trHeight w:val="529" w:hRule="atLeast"/>
          <w:jc w:val="center"/>
        </w:trPr>
        <w:tc>
          <w:tcPr>
            <w:tcW w:w="713" w:type="dxa"/>
            <w:tcBorders>
              <w:top w:val="single" w:color="000000" w:sz="4" w:space="0"/>
              <w:left w:val="single" w:color="000000" w:sz="4" w:space="0"/>
              <w:bottom w:val="single" w:color="000000" w:sz="4" w:space="0"/>
              <w:right w:val="single" w:color="000000" w:sz="4" w:space="0"/>
            </w:tcBorders>
            <w:noWrap/>
            <w:vAlign w:val="center"/>
          </w:tcPr>
          <w:p w14:paraId="1F469A38">
            <w:pPr>
              <w:keepNext w:val="0"/>
              <w:keepLines w:val="0"/>
              <w:pageBreakBefore w:val="0"/>
              <w:widowControl/>
              <w:numPr>
                <w:ilvl w:val="0"/>
                <w:numId w:val="0"/>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r>
              <w:rPr>
                <w:rFonts w:hint="default" w:ascii="仿宋" w:hAnsi="仿宋" w:eastAsia="仿宋" w:cs="仿宋"/>
                <w:i w:val="0"/>
                <w:iCs w:val="0"/>
                <w:strike w:val="0"/>
                <w:dstrike w:val="0"/>
                <w:color w:val="000000"/>
                <w:kern w:val="0"/>
                <w:sz w:val="24"/>
                <w:szCs w:val="24"/>
                <w:lang w:val="en-US" w:eastAsia="zh-CN" w:bidi="ar"/>
              </w:rPr>
              <w:t>6</w:t>
            </w:r>
          </w:p>
        </w:tc>
        <w:tc>
          <w:tcPr>
            <w:tcW w:w="2410" w:type="dxa"/>
            <w:tcBorders>
              <w:top w:val="single" w:color="000000" w:sz="4" w:space="0"/>
              <w:left w:val="single" w:color="000000" w:sz="4" w:space="0"/>
              <w:bottom w:val="single" w:color="000000" w:sz="4" w:space="0"/>
              <w:right w:val="single" w:color="000000" w:sz="4" w:space="0"/>
            </w:tcBorders>
            <w:noWrap w:val="0"/>
            <w:vAlign w:val="center"/>
          </w:tcPr>
          <w:p w14:paraId="2EC3F650">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sz w:val="24"/>
                <w:szCs w:val="24"/>
                <w:lang w:val="en-US" w:eastAsia="zh-CN"/>
              </w:rPr>
              <w:t>雾化器隔板</w:t>
            </w:r>
          </w:p>
        </w:tc>
        <w:tc>
          <w:tcPr>
            <w:tcW w:w="3349" w:type="dxa"/>
            <w:tcBorders>
              <w:top w:val="single" w:color="000000" w:sz="4" w:space="0"/>
              <w:left w:val="single" w:color="000000" w:sz="4" w:space="0"/>
              <w:bottom w:val="single" w:color="000000" w:sz="4" w:space="0"/>
              <w:right w:val="single" w:color="000000" w:sz="4" w:space="0"/>
            </w:tcBorders>
            <w:noWrap w:val="0"/>
            <w:vAlign w:val="center"/>
          </w:tcPr>
          <w:p w14:paraId="275F497B">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sz w:val="24"/>
                <w:szCs w:val="24"/>
                <w:lang w:val="en-US" w:eastAsia="zh-CN"/>
              </w:rPr>
              <w:t>F100雾化器专用，材质：哈氏合金</w:t>
            </w:r>
          </w:p>
        </w:tc>
        <w:tc>
          <w:tcPr>
            <w:tcW w:w="866" w:type="dxa"/>
            <w:tcBorders>
              <w:top w:val="single" w:color="000000" w:sz="4" w:space="0"/>
              <w:left w:val="single" w:color="000000" w:sz="4" w:space="0"/>
              <w:bottom w:val="single" w:color="000000" w:sz="4" w:space="0"/>
              <w:right w:val="single" w:color="000000" w:sz="4" w:space="0"/>
            </w:tcBorders>
            <w:noWrap w:val="0"/>
            <w:vAlign w:val="center"/>
          </w:tcPr>
          <w:p w14:paraId="2A3E34BE">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sz w:val="24"/>
                <w:szCs w:val="24"/>
                <w:lang w:val="en-US" w:eastAsia="zh-CN"/>
              </w:rPr>
              <w:t>4</w:t>
            </w:r>
          </w:p>
        </w:tc>
        <w:tc>
          <w:tcPr>
            <w:tcW w:w="817" w:type="dxa"/>
            <w:tcBorders>
              <w:top w:val="single" w:color="000000" w:sz="4" w:space="0"/>
              <w:left w:val="single" w:color="000000" w:sz="4" w:space="0"/>
              <w:bottom w:val="single" w:color="000000" w:sz="4" w:space="0"/>
              <w:right w:val="single" w:color="000000" w:sz="4" w:space="0"/>
            </w:tcBorders>
            <w:noWrap w:val="0"/>
            <w:vAlign w:val="center"/>
          </w:tcPr>
          <w:p w14:paraId="36599EB4">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sz w:val="24"/>
                <w:szCs w:val="24"/>
                <w:lang w:val="en-US" w:eastAsia="zh-CN"/>
              </w:rPr>
              <w:t>个</w:t>
            </w:r>
          </w:p>
        </w:tc>
      </w:tr>
      <w:tr w14:paraId="7C32373F">
        <w:tblPrEx>
          <w:tblCellMar>
            <w:top w:w="0" w:type="dxa"/>
            <w:left w:w="108" w:type="dxa"/>
            <w:bottom w:w="0" w:type="dxa"/>
            <w:right w:w="108" w:type="dxa"/>
          </w:tblCellMar>
        </w:tblPrEx>
        <w:trPr>
          <w:trHeight w:val="529" w:hRule="atLeast"/>
          <w:jc w:val="center"/>
        </w:trPr>
        <w:tc>
          <w:tcPr>
            <w:tcW w:w="713" w:type="dxa"/>
            <w:tcBorders>
              <w:top w:val="single" w:color="000000" w:sz="4" w:space="0"/>
              <w:left w:val="single" w:color="000000" w:sz="4" w:space="0"/>
              <w:bottom w:val="single" w:color="000000" w:sz="4" w:space="0"/>
              <w:right w:val="single" w:color="000000" w:sz="4" w:space="0"/>
            </w:tcBorders>
            <w:noWrap/>
            <w:vAlign w:val="center"/>
          </w:tcPr>
          <w:p w14:paraId="67D6930E">
            <w:pPr>
              <w:keepNext w:val="0"/>
              <w:keepLines w:val="0"/>
              <w:pageBreakBefore w:val="0"/>
              <w:widowControl/>
              <w:numPr>
                <w:ilvl w:val="0"/>
                <w:numId w:val="0"/>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r>
              <w:rPr>
                <w:rFonts w:hint="default" w:ascii="仿宋" w:hAnsi="仿宋" w:eastAsia="仿宋" w:cs="仿宋"/>
                <w:i w:val="0"/>
                <w:iCs w:val="0"/>
                <w:strike w:val="0"/>
                <w:dstrike w:val="0"/>
                <w:color w:val="000000"/>
                <w:kern w:val="0"/>
                <w:sz w:val="24"/>
                <w:szCs w:val="24"/>
                <w:lang w:val="en-US" w:eastAsia="zh-CN" w:bidi="ar"/>
              </w:rPr>
              <w:t>7</w:t>
            </w:r>
          </w:p>
        </w:tc>
        <w:tc>
          <w:tcPr>
            <w:tcW w:w="2410" w:type="dxa"/>
            <w:tcBorders>
              <w:top w:val="single" w:color="000000" w:sz="4" w:space="0"/>
              <w:left w:val="single" w:color="000000" w:sz="4" w:space="0"/>
              <w:bottom w:val="single" w:color="000000" w:sz="4" w:space="0"/>
              <w:right w:val="single" w:color="000000" w:sz="4" w:space="0"/>
            </w:tcBorders>
            <w:noWrap w:val="0"/>
            <w:vAlign w:val="center"/>
          </w:tcPr>
          <w:p w14:paraId="7F5C787B">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sz w:val="24"/>
                <w:szCs w:val="24"/>
                <w:lang w:val="en-US" w:eastAsia="zh-CN"/>
              </w:rPr>
              <w:t>雾化器分配盘螺栓</w:t>
            </w:r>
          </w:p>
        </w:tc>
        <w:tc>
          <w:tcPr>
            <w:tcW w:w="3349" w:type="dxa"/>
            <w:tcBorders>
              <w:top w:val="single" w:color="000000" w:sz="4" w:space="0"/>
              <w:left w:val="single" w:color="000000" w:sz="4" w:space="0"/>
              <w:bottom w:val="single" w:color="000000" w:sz="4" w:space="0"/>
              <w:right w:val="single" w:color="000000" w:sz="4" w:space="0"/>
            </w:tcBorders>
            <w:noWrap w:val="0"/>
            <w:vAlign w:val="center"/>
          </w:tcPr>
          <w:p w14:paraId="37DAA360">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sz w:val="24"/>
                <w:szCs w:val="24"/>
                <w:lang w:val="en-US" w:eastAsia="zh-CN"/>
              </w:rPr>
              <w:t>M8*70材质：哈氏合金C276</w:t>
            </w:r>
          </w:p>
        </w:tc>
        <w:tc>
          <w:tcPr>
            <w:tcW w:w="866" w:type="dxa"/>
            <w:tcBorders>
              <w:top w:val="single" w:color="000000" w:sz="4" w:space="0"/>
              <w:left w:val="single" w:color="000000" w:sz="4" w:space="0"/>
              <w:bottom w:val="single" w:color="000000" w:sz="4" w:space="0"/>
              <w:right w:val="single" w:color="000000" w:sz="4" w:space="0"/>
            </w:tcBorders>
            <w:noWrap w:val="0"/>
            <w:vAlign w:val="center"/>
          </w:tcPr>
          <w:p w14:paraId="07C7C6BA">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sz w:val="24"/>
                <w:szCs w:val="24"/>
                <w:lang w:val="en-US" w:eastAsia="zh-CN"/>
              </w:rPr>
              <w:t>10</w:t>
            </w:r>
          </w:p>
        </w:tc>
        <w:tc>
          <w:tcPr>
            <w:tcW w:w="817" w:type="dxa"/>
            <w:tcBorders>
              <w:top w:val="single" w:color="000000" w:sz="4" w:space="0"/>
              <w:left w:val="single" w:color="000000" w:sz="4" w:space="0"/>
              <w:bottom w:val="single" w:color="000000" w:sz="4" w:space="0"/>
              <w:right w:val="single" w:color="000000" w:sz="4" w:space="0"/>
            </w:tcBorders>
            <w:noWrap w:val="0"/>
            <w:vAlign w:val="center"/>
          </w:tcPr>
          <w:p w14:paraId="749CC6B6">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sz w:val="24"/>
                <w:szCs w:val="24"/>
                <w:lang w:val="en-US" w:eastAsia="zh-CN"/>
              </w:rPr>
              <w:t>颗</w:t>
            </w:r>
          </w:p>
        </w:tc>
      </w:tr>
      <w:tr w14:paraId="1D930D80">
        <w:tblPrEx>
          <w:tblCellMar>
            <w:top w:w="0" w:type="dxa"/>
            <w:left w:w="108" w:type="dxa"/>
            <w:bottom w:w="0" w:type="dxa"/>
            <w:right w:w="108" w:type="dxa"/>
          </w:tblCellMar>
        </w:tblPrEx>
        <w:trPr>
          <w:trHeight w:val="529" w:hRule="atLeast"/>
          <w:jc w:val="center"/>
        </w:trPr>
        <w:tc>
          <w:tcPr>
            <w:tcW w:w="713" w:type="dxa"/>
            <w:tcBorders>
              <w:top w:val="single" w:color="000000" w:sz="4" w:space="0"/>
              <w:left w:val="single" w:color="000000" w:sz="4" w:space="0"/>
              <w:bottom w:val="single" w:color="000000" w:sz="4" w:space="0"/>
              <w:right w:val="single" w:color="000000" w:sz="4" w:space="0"/>
            </w:tcBorders>
            <w:noWrap/>
            <w:vAlign w:val="center"/>
          </w:tcPr>
          <w:p w14:paraId="016B835B">
            <w:pPr>
              <w:keepNext w:val="0"/>
              <w:keepLines w:val="0"/>
              <w:pageBreakBefore w:val="0"/>
              <w:widowControl/>
              <w:numPr>
                <w:ilvl w:val="0"/>
                <w:numId w:val="0"/>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r>
              <w:rPr>
                <w:rFonts w:hint="default" w:ascii="仿宋" w:hAnsi="仿宋" w:eastAsia="仿宋" w:cs="仿宋"/>
                <w:i w:val="0"/>
                <w:iCs w:val="0"/>
                <w:strike w:val="0"/>
                <w:dstrike w:val="0"/>
                <w:color w:val="000000"/>
                <w:kern w:val="0"/>
                <w:sz w:val="24"/>
                <w:szCs w:val="24"/>
                <w:lang w:val="en-US" w:eastAsia="zh-CN" w:bidi="ar"/>
              </w:rPr>
              <w:t>8</w:t>
            </w:r>
          </w:p>
        </w:tc>
        <w:tc>
          <w:tcPr>
            <w:tcW w:w="2410" w:type="dxa"/>
            <w:tcBorders>
              <w:top w:val="single" w:color="000000" w:sz="4" w:space="0"/>
              <w:left w:val="single" w:color="000000" w:sz="4" w:space="0"/>
              <w:bottom w:val="single" w:color="000000" w:sz="4" w:space="0"/>
              <w:right w:val="single" w:color="000000" w:sz="4" w:space="0"/>
            </w:tcBorders>
            <w:noWrap w:val="0"/>
            <w:vAlign w:val="center"/>
          </w:tcPr>
          <w:p w14:paraId="3692B9B6">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sz w:val="24"/>
                <w:szCs w:val="24"/>
                <w:lang w:val="en-US" w:eastAsia="zh-CN"/>
              </w:rPr>
              <w:t>雾化器分配盘螺栓</w:t>
            </w:r>
          </w:p>
        </w:tc>
        <w:tc>
          <w:tcPr>
            <w:tcW w:w="3349" w:type="dxa"/>
            <w:tcBorders>
              <w:top w:val="single" w:color="000000" w:sz="4" w:space="0"/>
              <w:left w:val="single" w:color="000000" w:sz="4" w:space="0"/>
              <w:bottom w:val="single" w:color="000000" w:sz="4" w:space="0"/>
              <w:right w:val="single" w:color="000000" w:sz="4" w:space="0"/>
            </w:tcBorders>
            <w:noWrap w:val="0"/>
            <w:vAlign w:val="center"/>
          </w:tcPr>
          <w:p w14:paraId="5DF4C3B6">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sz w:val="24"/>
                <w:szCs w:val="24"/>
                <w:lang w:val="en-US" w:eastAsia="zh-CN"/>
              </w:rPr>
              <w:t>M10*70材质：哈氏合金C276</w:t>
            </w:r>
          </w:p>
        </w:tc>
        <w:tc>
          <w:tcPr>
            <w:tcW w:w="866" w:type="dxa"/>
            <w:tcBorders>
              <w:top w:val="single" w:color="000000" w:sz="4" w:space="0"/>
              <w:left w:val="single" w:color="000000" w:sz="4" w:space="0"/>
              <w:bottom w:val="single" w:color="000000" w:sz="4" w:space="0"/>
              <w:right w:val="single" w:color="000000" w:sz="4" w:space="0"/>
            </w:tcBorders>
            <w:noWrap w:val="0"/>
            <w:vAlign w:val="center"/>
          </w:tcPr>
          <w:p w14:paraId="2FE5B46F">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sz w:val="24"/>
                <w:szCs w:val="24"/>
                <w:lang w:val="en-US" w:eastAsia="zh-CN"/>
              </w:rPr>
              <w:t>28</w:t>
            </w:r>
          </w:p>
        </w:tc>
        <w:tc>
          <w:tcPr>
            <w:tcW w:w="817" w:type="dxa"/>
            <w:tcBorders>
              <w:top w:val="single" w:color="000000" w:sz="4" w:space="0"/>
              <w:left w:val="single" w:color="000000" w:sz="4" w:space="0"/>
              <w:bottom w:val="single" w:color="000000" w:sz="4" w:space="0"/>
              <w:right w:val="single" w:color="000000" w:sz="4" w:space="0"/>
            </w:tcBorders>
            <w:noWrap w:val="0"/>
            <w:vAlign w:val="center"/>
          </w:tcPr>
          <w:p w14:paraId="08B22DFE">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sz w:val="24"/>
                <w:szCs w:val="24"/>
                <w:lang w:val="en-US" w:eastAsia="zh-CN"/>
              </w:rPr>
              <w:t>颗</w:t>
            </w:r>
          </w:p>
        </w:tc>
      </w:tr>
      <w:tr w14:paraId="76649AFB">
        <w:tblPrEx>
          <w:tblCellMar>
            <w:top w:w="0" w:type="dxa"/>
            <w:left w:w="108" w:type="dxa"/>
            <w:bottom w:w="0" w:type="dxa"/>
            <w:right w:w="108" w:type="dxa"/>
          </w:tblCellMar>
        </w:tblPrEx>
        <w:trPr>
          <w:trHeight w:val="529" w:hRule="atLeast"/>
          <w:jc w:val="center"/>
        </w:trPr>
        <w:tc>
          <w:tcPr>
            <w:tcW w:w="713" w:type="dxa"/>
            <w:tcBorders>
              <w:top w:val="single" w:color="000000" w:sz="4" w:space="0"/>
              <w:left w:val="single" w:color="000000" w:sz="4" w:space="0"/>
              <w:bottom w:val="single" w:color="000000" w:sz="4" w:space="0"/>
              <w:right w:val="single" w:color="000000" w:sz="4" w:space="0"/>
            </w:tcBorders>
            <w:noWrap/>
            <w:vAlign w:val="center"/>
          </w:tcPr>
          <w:p w14:paraId="02EC3400">
            <w:pPr>
              <w:keepNext w:val="0"/>
              <w:keepLines w:val="0"/>
              <w:pageBreakBefore w:val="0"/>
              <w:widowControl/>
              <w:numPr>
                <w:ilvl w:val="0"/>
                <w:numId w:val="0"/>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r>
              <w:rPr>
                <w:rFonts w:hint="default" w:ascii="仿宋" w:hAnsi="仿宋" w:eastAsia="仿宋" w:cs="仿宋"/>
                <w:i w:val="0"/>
                <w:iCs w:val="0"/>
                <w:strike w:val="0"/>
                <w:dstrike w:val="0"/>
                <w:color w:val="000000"/>
                <w:kern w:val="0"/>
                <w:sz w:val="24"/>
                <w:szCs w:val="24"/>
                <w:lang w:val="en-US" w:eastAsia="zh-CN" w:bidi="ar"/>
              </w:rPr>
              <w:t>9</w:t>
            </w:r>
          </w:p>
        </w:tc>
        <w:tc>
          <w:tcPr>
            <w:tcW w:w="2410" w:type="dxa"/>
            <w:tcBorders>
              <w:top w:val="single" w:color="000000" w:sz="4" w:space="0"/>
              <w:left w:val="single" w:color="000000" w:sz="4" w:space="0"/>
              <w:bottom w:val="single" w:color="000000" w:sz="4" w:space="0"/>
              <w:right w:val="single" w:color="000000" w:sz="4" w:space="0"/>
            </w:tcBorders>
            <w:noWrap w:val="0"/>
            <w:vAlign w:val="center"/>
          </w:tcPr>
          <w:p w14:paraId="6C647F39">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sz w:val="24"/>
                <w:szCs w:val="24"/>
                <w:lang w:val="en-US" w:eastAsia="zh-CN"/>
              </w:rPr>
              <w:t>雾化盘螺栓</w:t>
            </w:r>
          </w:p>
        </w:tc>
        <w:tc>
          <w:tcPr>
            <w:tcW w:w="3349" w:type="dxa"/>
            <w:tcBorders>
              <w:top w:val="single" w:color="000000" w:sz="4" w:space="0"/>
              <w:left w:val="single" w:color="000000" w:sz="4" w:space="0"/>
              <w:bottom w:val="single" w:color="000000" w:sz="4" w:space="0"/>
              <w:right w:val="single" w:color="000000" w:sz="4" w:space="0"/>
            </w:tcBorders>
            <w:noWrap w:val="0"/>
            <w:vAlign w:val="center"/>
          </w:tcPr>
          <w:p w14:paraId="5405C279">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sz w:val="24"/>
                <w:szCs w:val="24"/>
                <w:lang w:val="en-US" w:eastAsia="zh-CN"/>
              </w:rPr>
              <w:t>M8*35材质：哈氏合金C276</w:t>
            </w:r>
          </w:p>
        </w:tc>
        <w:tc>
          <w:tcPr>
            <w:tcW w:w="866" w:type="dxa"/>
            <w:tcBorders>
              <w:top w:val="single" w:color="000000" w:sz="4" w:space="0"/>
              <w:left w:val="single" w:color="000000" w:sz="4" w:space="0"/>
              <w:bottom w:val="single" w:color="000000" w:sz="4" w:space="0"/>
              <w:right w:val="single" w:color="000000" w:sz="4" w:space="0"/>
            </w:tcBorders>
            <w:noWrap w:val="0"/>
            <w:vAlign w:val="center"/>
          </w:tcPr>
          <w:p w14:paraId="5E89D517">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sz w:val="24"/>
                <w:szCs w:val="24"/>
                <w:lang w:val="en-US" w:eastAsia="zh-CN"/>
              </w:rPr>
              <w:t>5</w:t>
            </w:r>
          </w:p>
        </w:tc>
        <w:tc>
          <w:tcPr>
            <w:tcW w:w="817" w:type="dxa"/>
            <w:tcBorders>
              <w:top w:val="single" w:color="000000" w:sz="4" w:space="0"/>
              <w:left w:val="single" w:color="000000" w:sz="4" w:space="0"/>
              <w:bottom w:val="single" w:color="000000" w:sz="4" w:space="0"/>
              <w:right w:val="single" w:color="000000" w:sz="4" w:space="0"/>
            </w:tcBorders>
            <w:noWrap w:val="0"/>
            <w:vAlign w:val="center"/>
          </w:tcPr>
          <w:p w14:paraId="526C3A76">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sz w:val="24"/>
                <w:szCs w:val="24"/>
                <w:lang w:val="en-US" w:eastAsia="zh-CN"/>
              </w:rPr>
              <w:t>颗</w:t>
            </w:r>
          </w:p>
        </w:tc>
      </w:tr>
      <w:tr w14:paraId="279C62FE">
        <w:tblPrEx>
          <w:tblCellMar>
            <w:top w:w="0" w:type="dxa"/>
            <w:left w:w="108" w:type="dxa"/>
            <w:bottom w:w="0" w:type="dxa"/>
            <w:right w:w="108" w:type="dxa"/>
          </w:tblCellMar>
        </w:tblPrEx>
        <w:trPr>
          <w:trHeight w:val="529" w:hRule="atLeast"/>
          <w:jc w:val="center"/>
        </w:trPr>
        <w:tc>
          <w:tcPr>
            <w:tcW w:w="713" w:type="dxa"/>
            <w:tcBorders>
              <w:top w:val="single" w:color="000000" w:sz="4" w:space="0"/>
              <w:left w:val="single" w:color="000000" w:sz="4" w:space="0"/>
              <w:bottom w:val="single" w:color="000000" w:sz="4" w:space="0"/>
              <w:right w:val="single" w:color="000000" w:sz="4" w:space="0"/>
            </w:tcBorders>
            <w:noWrap/>
            <w:vAlign w:val="center"/>
          </w:tcPr>
          <w:p w14:paraId="5F207C0E">
            <w:pPr>
              <w:keepNext w:val="0"/>
              <w:keepLines w:val="0"/>
              <w:pageBreakBefore w:val="0"/>
              <w:widowControl/>
              <w:numPr>
                <w:ilvl w:val="0"/>
                <w:numId w:val="0"/>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r>
              <w:rPr>
                <w:rFonts w:hint="default" w:ascii="仿宋" w:hAnsi="仿宋" w:eastAsia="仿宋" w:cs="仿宋"/>
                <w:i w:val="0"/>
                <w:iCs w:val="0"/>
                <w:strike w:val="0"/>
                <w:dstrike w:val="0"/>
                <w:color w:val="000000"/>
                <w:kern w:val="0"/>
                <w:sz w:val="24"/>
                <w:szCs w:val="24"/>
                <w:lang w:val="en-US" w:eastAsia="zh-CN" w:bidi="ar"/>
              </w:rPr>
              <w:t>10</w:t>
            </w:r>
          </w:p>
        </w:tc>
        <w:tc>
          <w:tcPr>
            <w:tcW w:w="2410" w:type="dxa"/>
            <w:tcBorders>
              <w:top w:val="single" w:color="000000" w:sz="4" w:space="0"/>
              <w:left w:val="single" w:color="000000" w:sz="4" w:space="0"/>
              <w:bottom w:val="single" w:color="000000" w:sz="4" w:space="0"/>
              <w:right w:val="single" w:color="000000" w:sz="4" w:space="0"/>
            </w:tcBorders>
            <w:noWrap w:val="0"/>
            <w:vAlign w:val="center"/>
          </w:tcPr>
          <w:p w14:paraId="0CF582E5">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sz w:val="24"/>
                <w:szCs w:val="24"/>
                <w:lang w:val="en-US" w:eastAsia="zh-CN"/>
              </w:rPr>
              <w:t>雾化盘螺栓</w:t>
            </w:r>
          </w:p>
        </w:tc>
        <w:tc>
          <w:tcPr>
            <w:tcW w:w="3349" w:type="dxa"/>
            <w:tcBorders>
              <w:top w:val="single" w:color="000000" w:sz="4" w:space="0"/>
              <w:left w:val="single" w:color="000000" w:sz="4" w:space="0"/>
              <w:bottom w:val="single" w:color="000000" w:sz="4" w:space="0"/>
              <w:right w:val="single" w:color="000000" w:sz="4" w:space="0"/>
            </w:tcBorders>
            <w:noWrap w:val="0"/>
            <w:vAlign w:val="center"/>
          </w:tcPr>
          <w:p w14:paraId="5A838419">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sz w:val="24"/>
                <w:szCs w:val="24"/>
                <w:lang w:val="en-US" w:eastAsia="zh-CN"/>
              </w:rPr>
              <w:t>M8*10材质：哈氏合金C276</w:t>
            </w:r>
          </w:p>
        </w:tc>
        <w:tc>
          <w:tcPr>
            <w:tcW w:w="866" w:type="dxa"/>
            <w:tcBorders>
              <w:top w:val="single" w:color="000000" w:sz="4" w:space="0"/>
              <w:left w:val="single" w:color="000000" w:sz="4" w:space="0"/>
              <w:bottom w:val="single" w:color="000000" w:sz="4" w:space="0"/>
              <w:right w:val="single" w:color="000000" w:sz="4" w:space="0"/>
            </w:tcBorders>
            <w:noWrap w:val="0"/>
            <w:vAlign w:val="center"/>
          </w:tcPr>
          <w:p w14:paraId="2537D696">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sz w:val="24"/>
                <w:szCs w:val="24"/>
                <w:lang w:val="en-US" w:eastAsia="zh-CN"/>
              </w:rPr>
              <w:t>16</w:t>
            </w:r>
          </w:p>
        </w:tc>
        <w:tc>
          <w:tcPr>
            <w:tcW w:w="817" w:type="dxa"/>
            <w:tcBorders>
              <w:top w:val="single" w:color="000000" w:sz="4" w:space="0"/>
              <w:left w:val="single" w:color="000000" w:sz="4" w:space="0"/>
              <w:bottom w:val="single" w:color="000000" w:sz="4" w:space="0"/>
              <w:right w:val="single" w:color="000000" w:sz="4" w:space="0"/>
            </w:tcBorders>
            <w:noWrap w:val="0"/>
            <w:vAlign w:val="center"/>
          </w:tcPr>
          <w:p w14:paraId="57185E04">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sz w:val="24"/>
                <w:szCs w:val="24"/>
                <w:lang w:val="en-US" w:eastAsia="zh-CN"/>
              </w:rPr>
              <w:t>颗</w:t>
            </w:r>
          </w:p>
        </w:tc>
      </w:tr>
      <w:tr w14:paraId="3038404D">
        <w:tblPrEx>
          <w:tblCellMar>
            <w:top w:w="0" w:type="dxa"/>
            <w:left w:w="108" w:type="dxa"/>
            <w:bottom w:w="0" w:type="dxa"/>
            <w:right w:w="108" w:type="dxa"/>
          </w:tblCellMar>
        </w:tblPrEx>
        <w:trPr>
          <w:trHeight w:val="529" w:hRule="atLeast"/>
          <w:jc w:val="center"/>
        </w:trPr>
        <w:tc>
          <w:tcPr>
            <w:tcW w:w="713" w:type="dxa"/>
            <w:tcBorders>
              <w:top w:val="single" w:color="000000" w:sz="4" w:space="0"/>
              <w:left w:val="single" w:color="000000" w:sz="4" w:space="0"/>
              <w:bottom w:val="single" w:color="000000" w:sz="4" w:space="0"/>
              <w:right w:val="single" w:color="000000" w:sz="4" w:space="0"/>
            </w:tcBorders>
            <w:noWrap/>
            <w:vAlign w:val="center"/>
          </w:tcPr>
          <w:p w14:paraId="04B0CCAB">
            <w:pPr>
              <w:keepNext w:val="0"/>
              <w:keepLines w:val="0"/>
              <w:pageBreakBefore w:val="0"/>
              <w:widowControl/>
              <w:numPr>
                <w:ilvl w:val="0"/>
                <w:numId w:val="0"/>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r>
              <w:rPr>
                <w:rFonts w:hint="default" w:ascii="仿宋" w:hAnsi="仿宋" w:eastAsia="仿宋" w:cs="仿宋"/>
                <w:i w:val="0"/>
                <w:iCs w:val="0"/>
                <w:strike w:val="0"/>
                <w:dstrike w:val="0"/>
                <w:color w:val="000000"/>
                <w:kern w:val="0"/>
                <w:sz w:val="24"/>
                <w:szCs w:val="24"/>
                <w:lang w:val="en-US" w:eastAsia="zh-CN" w:bidi="ar"/>
              </w:rPr>
              <w:t>11</w:t>
            </w:r>
          </w:p>
        </w:tc>
        <w:tc>
          <w:tcPr>
            <w:tcW w:w="2410" w:type="dxa"/>
            <w:tcBorders>
              <w:top w:val="single" w:color="000000" w:sz="4" w:space="0"/>
              <w:left w:val="single" w:color="000000" w:sz="4" w:space="0"/>
              <w:bottom w:val="single" w:color="000000" w:sz="4" w:space="0"/>
              <w:right w:val="single" w:color="000000" w:sz="4" w:space="0"/>
            </w:tcBorders>
            <w:noWrap w:val="0"/>
            <w:vAlign w:val="center"/>
          </w:tcPr>
          <w:p w14:paraId="3D4CA715">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sz w:val="24"/>
                <w:szCs w:val="24"/>
                <w:lang w:val="en-US" w:eastAsia="zh-CN"/>
              </w:rPr>
              <w:t>雾化器隔热桶螺栓</w:t>
            </w:r>
          </w:p>
        </w:tc>
        <w:tc>
          <w:tcPr>
            <w:tcW w:w="3349" w:type="dxa"/>
            <w:tcBorders>
              <w:top w:val="single" w:color="000000" w:sz="4" w:space="0"/>
              <w:left w:val="single" w:color="000000" w:sz="4" w:space="0"/>
              <w:bottom w:val="single" w:color="000000" w:sz="4" w:space="0"/>
              <w:right w:val="single" w:color="000000" w:sz="4" w:space="0"/>
            </w:tcBorders>
            <w:noWrap w:val="0"/>
            <w:vAlign w:val="center"/>
          </w:tcPr>
          <w:p w14:paraId="2281ECC3">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sz w:val="24"/>
                <w:szCs w:val="24"/>
                <w:lang w:val="en-US" w:eastAsia="zh-CN"/>
              </w:rPr>
              <w:t>M12*17.5*16MM材质：哈氏合金316L</w:t>
            </w:r>
          </w:p>
        </w:tc>
        <w:tc>
          <w:tcPr>
            <w:tcW w:w="866" w:type="dxa"/>
            <w:tcBorders>
              <w:top w:val="single" w:color="000000" w:sz="4" w:space="0"/>
              <w:left w:val="single" w:color="000000" w:sz="4" w:space="0"/>
              <w:bottom w:val="single" w:color="000000" w:sz="4" w:space="0"/>
              <w:right w:val="single" w:color="000000" w:sz="4" w:space="0"/>
            </w:tcBorders>
            <w:noWrap w:val="0"/>
            <w:vAlign w:val="center"/>
          </w:tcPr>
          <w:p w14:paraId="427EBB88">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sz w:val="24"/>
                <w:szCs w:val="24"/>
                <w:lang w:val="en-US" w:eastAsia="zh-CN"/>
              </w:rPr>
              <w:t>12</w:t>
            </w:r>
          </w:p>
        </w:tc>
        <w:tc>
          <w:tcPr>
            <w:tcW w:w="817" w:type="dxa"/>
            <w:tcBorders>
              <w:top w:val="single" w:color="000000" w:sz="4" w:space="0"/>
              <w:left w:val="single" w:color="000000" w:sz="4" w:space="0"/>
              <w:bottom w:val="single" w:color="000000" w:sz="4" w:space="0"/>
              <w:right w:val="single" w:color="000000" w:sz="4" w:space="0"/>
            </w:tcBorders>
            <w:noWrap w:val="0"/>
            <w:vAlign w:val="center"/>
          </w:tcPr>
          <w:p w14:paraId="7A0C8ED3">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sz w:val="24"/>
                <w:szCs w:val="24"/>
                <w:lang w:val="en-US" w:eastAsia="zh-CN"/>
              </w:rPr>
              <w:t>颗</w:t>
            </w:r>
          </w:p>
        </w:tc>
      </w:tr>
      <w:tr w14:paraId="3D2A1006">
        <w:tblPrEx>
          <w:tblCellMar>
            <w:top w:w="0" w:type="dxa"/>
            <w:left w:w="108" w:type="dxa"/>
            <w:bottom w:w="0" w:type="dxa"/>
            <w:right w:w="108" w:type="dxa"/>
          </w:tblCellMar>
        </w:tblPrEx>
        <w:trPr>
          <w:trHeight w:val="529" w:hRule="atLeast"/>
          <w:jc w:val="center"/>
        </w:trPr>
        <w:tc>
          <w:tcPr>
            <w:tcW w:w="713" w:type="dxa"/>
            <w:tcBorders>
              <w:top w:val="single" w:color="000000" w:sz="4" w:space="0"/>
              <w:left w:val="single" w:color="000000" w:sz="4" w:space="0"/>
              <w:bottom w:val="single" w:color="000000" w:sz="4" w:space="0"/>
              <w:right w:val="single" w:color="000000" w:sz="4" w:space="0"/>
            </w:tcBorders>
            <w:noWrap/>
            <w:vAlign w:val="center"/>
          </w:tcPr>
          <w:p w14:paraId="030F2772">
            <w:pPr>
              <w:keepNext w:val="0"/>
              <w:keepLines w:val="0"/>
              <w:pageBreakBefore w:val="0"/>
              <w:widowControl/>
              <w:numPr>
                <w:ilvl w:val="0"/>
                <w:numId w:val="0"/>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r>
              <w:rPr>
                <w:rFonts w:hint="default" w:ascii="仿宋" w:hAnsi="仿宋" w:eastAsia="仿宋" w:cs="仿宋"/>
                <w:i w:val="0"/>
                <w:iCs w:val="0"/>
                <w:strike w:val="0"/>
                <w:dstrike w:val="0"/>
                <w:color w:val="000000"/>
                <w:kern w:val="0"/>
                <w:sz w:val="24"/>
                <w:szCs w:val="24"/>
                <w:lang w:val="en-US" w:eastAsia="zh-CN" w:bidi="ar"/>
              </w:rPr>
              <w:t>12</w:t>
            </w:r>
          </w:p>
        </w:tc>
        <w:tc>
          <w:tcPr>
            <w:tcW w:w="2410" w:type="dxa"/>
            <w:tcBorders>
              <w:top w:val="single" w:color="000000" w:sz="4" w:space="0"/>
              <w:left w:val="single" w:color="000000" w:sz="4" w:space="0"/>
              <w:bottom w:val="single" w:color="000000" w:sz="4" w:space="0"/>
              <w:right w:val="single" w:color="000000" w:sz="4" w:space="0"/>
            </w:tcBorders>
            <w:noWrap w:val="0"/>
            <w:vAlign w:val="center"/>
          </w:tcPr>
          <w:p w14:paraId="56AB6B8B">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sz w:val="24"/>
                <w:szCs w:val="24"/>
                <w:lang w:val="en-US" w:eastAsia="zh-CN"/>
              </w:rPr>
              <w:t>雾化器轴心校正</w:t>
            </w:r>
          </w:p>
        </w:tc>
        <w:tc>
          <w:tcPr>
            <w:tcW w:w="3349" w:type="dxa"/>
            <w:tcBorders>
              <w:top w:val="single" w:color="000000" w:sz="4" w:space="0"/>
              <w:left w:val="single" w:color="000000" w:sz="4" w:space="0"/>
              <w:bottom w:val="single" w:color="000000" w:sz="4" w:space="0"/>
              <w:right w:val="single" w:color="000000" w:sz="4" w:space="0"/>
            </w:tcBorders>
            <w:noWrap w:val="0"/>
            <w:vAlign w:val="center"/>
          </w:tcPr>
          <w:p w14:paraId="6584A857">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sz w:val="24"/>
                <w:szCs w:val="24"/>
                <w:lang w:val="en-US" w:eastAsia="zh-CN"/>
              </w:rPr>
              <w:t>超过10丝不能用油压校正，校正后弯曲度≦0.03丝。</w:t>
            </w:r>
          </w:p>
        </w:tc>
        <w:tc>
          <w:tcPr>
            <w:tcW w:w="866" w:type="dxa"/>
            <w:tcBorders>
              <w:top w:val="single" w:color="000000" w:sz="4" w:space="0"/>
              <w:left w:val="single" w:color="000000" w:sz="4" w:space="0"/>
              <w:bottom w:val="single" w:color="000000" w:sz="4" w:space="0"/>
              <w:right w:val="single" w:color="000000" w:sz="4" w:space="0"/>
            </w:tcBorders>
            <w:noWrap w:val="0"/>
            <w:vAlign w:val="center"/>
          </w:tcPr>
          <w:p w14:paraId="755D5876">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sz w:val="24"/>
                <w:szCs w:val="24"/>
                <w:lang w:val="en-US" w:eastAsia="zh-CN"/>
              </w:rPr>
              <w:t>2</w:t>
            </w:r>
          </w:p>
        </w:tc>
        <w:tc>
          <w:tcPr>
            <w:tcW w:w="817" w:type="dxa"/>
            <w:tcBorders>
              <w:top w:val="single" w:color="000000" w:sz="4" w:space="0"/>
              <w:left w:val="single" w:color="000000" w:sz="4" w:space="0"/>
              <w:bottom w:val="single" w:color="000000" w:sz="4" w:space="0"/>
              <w:right w:val="single" w:color="000000" w:sz="4" w:space="0"/>
            </w:tcBorders>
            <w:noWrap w:val="0"/>
            <w:vAlign w:val="center"/>
          </w:tcPr>
          <w:p w14:paraId="35E231F0">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sz w:val="24"/>
                <w:szCs w:val="24"/>
                <w:lang w:val="en-US" w:eastAsia="zh-CN"/>
              </w:rPr>
              <w:t>支</w:t>
            </w:r>
          </w:p>
        </w:tc>
      </w:tr>
      <w:tr w14:paraId="5AEEFD4E">
        <w:tblPrEx>
          <w:tblCellMar>
            <w:top w:w="0" w:type="dxa"/>
            <w:left w:w="108" w:type="dxa"/>
            <w:bottom w:w="0" w:type="dxa"/>
            <w:right w:w="108" w:type="dxa"/>
          </w:tblCellMar>
        </w:tblPrEx>
        <w:trPr>
          <w:trHeight w:val="529" w:hRule="atLeast"/>
          <w:jc w:val="center"/>
        </w:trPr>
        <w:tc>
          <w:tcPr>
            <w:tcW w:w="713" w:type="dxa"/>
            <w:tcBorders>
              <w:top w:val="single" w:color="000000" w:sz="4" w:space="0"/>
              <w:left w:val="single" w:color="000000" w:sz="4" w:space="0"/>
              <w:bottom w:val="single" w:color="000000" w:sz="4" w:space="0"/>
              <w:right w:val="single" w:color="000000" w:sz="4" w:space="0"/>
            </w:tcBorders>
            <w:noWrap/>
            <w:vAlign w:val="center"/>
          </w:tcPr>
          <w:p w14:paraId="7113A0D0">
            <w:pPr>
              <w:keepNext w:val="0"/>
              <w:keepLines w:val="0"/>
              <w:pageBreakBefore w:val="0"/>
              <w:widowControl/>
              <w:numPr>
                <w:ilvl w:val="0"/>
                <w:numId w:val="0"/>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r>
              <w:rPr>
                <w:rFonts w:hint="default" w:ascii="仿宋" w:hAnsi="仿宋" w:eastAsia="仿宋" w:cs="仿宋"/>
                <w:i w:val="0"/>
                <w:iCs w:val="0"/>
                <w:strike w:val="0"/>
                <w:dstrike w:val="0"/>
                <w:color w:val="000000"/>
                <w:kern w:val="0"/>
                <w:sz w:val="24"/>
                <w:szCs w:val="24"/>
                <w:lang w:val="en-US" w:eastAsia="zh-CN" w:bidi="ar"/>
              </w:rPr>
              <w:t>13</w:t>
            </w:r>
          </w:p>
        </w:tc>
        <w:tc>
          <w:tcPr>
            <w:tcW w:w="2410" w:type="dxa"/>
            <w:tcBorders>
              <w:top w:val="single" w:color="000000" w:sz="4" w:space="0"/>
              <w:left w:val="single" w:color="000000" w:sz="4" w:space="0"/>
              <w:bottom w:val="single" w:color="000000" w:sz="4" w:space="0"/>
              <w:right w:val="single" w:color="000000" w:sz="4" w:space="0"/>
            </w:tcBorders>
            <w:noWrap w:val="0"/>
            <w:vAlign w:val="center"/>
          </w:tcPr>
          <w:p w14:paraId="6018E373">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sz w:val="24"/>
                <w:szCs w:val="24"/>
                <w:lang w:val="en-US" w:eastAsia="zh-CN"/>
              </w:rPr>
              <w:t>雾化器轴心</w:t>
            </w:r>
          </w:p>
        </w:tc>
        <w:tc>
          <w:tcPr>
            <w:tcW w:w="3349" w:type="dxa"/>
            <w:tcBorders>
              <w:top w:val="single" w:color="000000" w:sz="4" w:space="0"/>
              <w:left w:val="single" w:color="000000" w:sz="4" w:space="0"/>
              <w:bottom w:val="single" w:color="000000" w:sz="4" w:space="0"/>
              <w:right w:val="single" w:color="000000" w:sz="4" w:space="0"/>
            </w:tcBorders>
            <w:noWrap w:val="0"/>
            <w:vAlign w:val="center"/>
          </w:tcPr>
          <w:p w14:paraId="4CA33C64">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sz w:val="24"/>
                <w:szCs w:val="24"/>
                <w:lang w:val="en-US" w:eastAsia="zh-CN"/>
              </w:rPr>
              <w:t>0D45*1017LMM（材质：SUS630)弯曲度在≦0.02丝。做G0.4最高等级，测试转速在1500rpm以上，减重测试必须做到0.05g以内，要求有动平衡校正报告。</w:t>
            </w:r>
          </w:p>
        </w:tc>
        <w:tc>
          <w:tcPr>
            <w:tcW w:w="866" w:type="dxa"/>
            <w:tcBorders>
              <w:top w:val="single" w:color="000000" w:sz="4" w:space="0"/>
              <w:left w:val="single" w:color="000000" w:sz="4" w:space="0"/>
              <w:bottom w:val="single" w:color="000000" w:sz="4" w:space="0"/>
              <w:right w:val="single" w:color="000000" w:sz="4" w:space="0"/>
            </w:tcBorders>
            <w:noWrap w:val="0"/>
            <w:vAlign w:val="center"/>
          </w:tcPr>
          <w:p w14:paraId="25DC4ACA">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sz w:val="24"/>
                <w:szCs w:val="24"/>
                <w:lang w:val="en-US" w:eastAsia="zh-CN"/>
              </w:rPr>
              <w:t>1</w:t>
            </w:r>
          </w:p>
        </w:tc>
        <w:tc>
          <w:tcPr>
            <w:tcW w:w="817" w:type="dxa"/>
            <w:tcBorders>
              <w:top w:val="single" w:color="000000" w:sz="4" w:space="0"/>
              <w:left w:val="single" w:color="000000" w:sz="4" w:space="0"/>
              <w:bottom w:val="single" w:color="000000" w:sz="4" w:space="0"/>
              <w:right w:val="single" w:color="000000" w:sz="4" w:space="0"/>
            </w:tcBorders>
            <w:noWrap w:val="0"/>
            <w:vAlign w:val="center"/>
          </w:tcPr>
          <w:p w14:paraId="5F3C306B">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sz w:val="24"/>
                <w:szCs w:val="24"/>
                <w:lang w:val="en-US" w:eastAsia="zh-CN"/>
              </w:rPr>
              <w:t>支</w:t>
            </w:r>
          </w:p>
        </w:tc>
      </w:tr>
      <w:tr w14:paraId="0B17836A">
        <w:tblPrEx>
          <w:tblCellMar>
            <w:top w:w="0" w:type="dxa"/>
            <w:left w:w="108" w:type="dxa"/>
            <w:bottom w:w="0" w:type="dxa"/>
            <w:right w:w="108" w:type="dxa"/>
          </w:tblCellMar>
        </w:tblPrEx>
        <w:trPr>
          <w:trHeight w:val="529" w:hRule="atLeast"/>
          <w:jc w:val="center"/>
        </w:trPr>
        <w:tc>
          <w:tcPr>
            <w:tcW w:w="713" w:type="dxa"/>
            <w:tcBorders>
              <w:top w:val="single" w:color="000000" w:sz="4" w:space="0"/>
              <w:left w:val="single" w:color="000000" w:sz="4" w:space="0"/>
              <w:bottom w:val="single" w:color="000000" w:sz="4" w:space="0"/>
              <w:right w:val="single" w:color="000000" w:sz="4" w:space="0"/>
            </w:tcBorders>
            <w:noWrap/>
            <w:vAlign w:val="center"/>
          </w:tcPr>
          <w:p w14:paraId="6155153A">
            <w:pPr>
              <w:keepNext w:val="0"/>
              <w:keepLines w:val="0"/>
              <w:pageBreakBefore w:val="0"/>
              <w:widowControl/>
              <w:numPr>
                <w:ilvl w:val="0"/>
                <w:numId w:val="0"/>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r>
              <w:rPr>
                <w:rFonts w:hint="default" w:ascii="仿宋" w:hAnsi="仿宋" w:eastAsia="仿宋" w:cs="仿宋"/>
                <w:i w:val="0"/>
                <w:iCs w:val="0"/>
                <w:strike w:val="0"/>
                <w:dstrike w:val="0"/>
                <w:color w:val="000000"/>
                <w:kern w:val="0"/>
                <w:sz w:val="24"/>
                <w:szCs w:val="24"/>
                <w:lang w:val="en-US" w:eastAsia="zh-CN" w:bidi="ar"/>
              </w:rPr>
              <w:t>14</w:t>
            </w:r>
          </w:p>
        </w:tc>
        <w:tc>
          <w:tcPr>
            <w:tcW w:w="2410" w:type="dxa"/>
            <w:tcBorders>
              <w:top w:val="single" w:color="000000" w:sz="4" w:space="0"/>
              <w:left w:val="single" w:color="000000" w:sz="4" w:space="0"/>
              <w:bottom w:val="single" w:color="000000" w:sz="4" w:space="0"/>
              <w:right w:val="single" w:color="000000" w:sz="4" w:space="0"/>
            </w:tcBorders>
            <w:noWrap w:val="0"/>
            <w:vAlign w:val="center"/>
          </w:tcPr>
          <w:p w14:paraId="0F5218D8">
            <w:pPr>
              <w:pStyle w:val="12"/>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sz w:val="24"/>
                <w:szCs w:val="24"/>
                <w:lang w:val="en-US" w:eastAsia="zh-CN"/>
              </w:rPr>
              <w:t>雾化盘动平衡校正</w:t>
            </w:r>
          </w:p>
        </w:tc>
        <w:tc>
          <w:tcPr>
            <w:tcW w:w="3349" w:type="dxa"/>
            <w:tcBorders>
              <w:top w:val="single" w:color="000000" w:sz="4" w:space="0"/>
              <w:left w:val="single" w:color="000000" w:sz="4" w:space="0"/>
              <w:bottom w:val="single" w:color="000000" w:sz="4" w:space="0"/>
              <w:right w:val="single" w:color="000000" w:sz="4" w:space="0"/>
            </w:tcBorders>
            <w:noWrap w:val="0"/>
            <w:vAlign w:val="center"/>
          </w:tcPr>
          <w:p w14:paraId="63C438D9">
            <w:pPr>
              <w:pStyle w:val="12"/>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sz w:val="24"/>
                <w:szCs w:val="24"/>
                <w:lang w:val="en-US" w:eastAsia="zh-CN"/>
              </w:rPr>
              <w:t>做G0.4最高等级，测试转速在1500rpm以上，减重测试必须做到0.05g以内，要求有动平衡校正报告。</w:t>
            </w:r>
          </w:p>
        </w:tc>
        <w:tc>
          <w:tcPr>
            <w:tcW w:w="866" w:type="dxa"/>
            <w:tcBorders>
              <w:top w:val="single" w:color="000000" w:sz="4" w:space="0"/>
              <w:left w:val="single" w:color="000000" w:sz="4" w:space="0"/>
              <w:bottom w:val="single" w:color="000000" w:sz="4" w:space="0"/>
              <w:right w:val="single" w:color="000000" w:sz="4" w:space="0"/>
            </w:tcBorders>
            <w:noWrap w:val="0"/>
            <w:vAlign w:val="center"/>
          </w:tcPr>
          <w:p w14:paraId="4A23D145">
            <w:pPr>
              <w:pStyle w:val="12"/>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sz w:val="24"/>
                <w:szCs w:val="24"/>
                <w:lang w:val="en-US" w:eastAsia="zh-CN"/>
              </w:rPr>
              <w:t>3</w:t>
            </w:r>
          </w:p>
        </w:tc>
        <w:tc>
          <w:tcPr>
            <w:tcW w:w="817" w:type="dxa"/>
            <w:tcBorders>
              <w:top w:val="single" w:color="000000" w:sz="4" w:space="0"/>
              <w:left w:val="single" w:color="000000" w:sz="4" w:space="0"/>
              <w:bottom w:val="single" w:color="000000" w:sz="4" w:space="0"/>
              <w:right w:val="single" w:color="000000" w:sz="4" w:space="0"/>
            </w:tcBorders>
            <w:noWrap w:val="0"/>
            <w:vAlign w:val="center"/>
          </w:tcPr>
          <w:p w14:paraId="261683E8">
            <w:pPr>
              <w:pStyle w:val="12"/>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sz w:val="24"/>
                <w:szCs w:val="24"/>
                <w:lang w:val="en-US" w:eastAsia="zh-CN"/>
              </w:rPr>
              <w:t>个</w:t>
            </w:r>
          </w:p>
        </w:tc>
      </w:tr>
      <w:tr w14:paraId="4E6455F2">
        <w:tblPrEx>
          <w:tblCellMar>
            <w:top w:w="0" w:type="dxa"/>
            <w:left w:w="108" w:type="dxa"/>
            <w:bottom w:w="0" w:type="dxa"/>
            <w:right w:w="108" w:type="dxa"/>
          </w:tblCellMar>
        </w:tblPrEx>
        <w:trPr>
          <w:trHeight w:val="529" w:hRule="atLeast"/>
          <w:jc w:val="center"/>
        </w:trPr>
        <w:tc>
          <w:tcPr>
            <w:tcW w:w="713" w:type="dxa"/>
            <w:tcBorders>
              <w:top w:val="single" w:color="000000" w:sz="4" w:space="0"/>
              <w:left w:val="single" w:color="000000" w:sz="4" w:space="0"/>
              <w:bottom w:val="single" w:color="000000" w:sz="4" w:space="0"/>
              <w:right w:val="single" w:color="000000" w:sz="4" w:space="0"/>
            </w:tcBorders>
            <w:noWrap/>
            <w:vAlign w:val="center"/>
          </w:tcPr>
          <w:p w14:paraId="46DA9FA1">
            <w:pPr>
              <w:keepNext w:val="0"/>
              <w:keepLines w:val="0"/>
              <w:pageBreakBefore w:val="0"/>
              <w:widowControl/>
              <w:numPr>
                <w:ilvl w:val="0"/>
                <w:numId w:val="0"/>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r>
              <w:rPr>
                <w:rFonts w:hint="default" w:ascii="仿宋" w:hAnsi="仿宋" w:eastAsia="仿宋" w:cs="仿宋"/>
                <w:i w:val="0"/>
                <w:iCs w:val="0"/>
                <w:strike w:val="0"/>
                <w:dstrike w:val="0"/>
                <w:color w:val="000000"/>
                <w:kern w:val="0"/>
                <w:sz w:val="24"/>
                <w:szCs w:val="24"/>
                <w:lang w:val="en-US" w:eastAsia="zh-CN" w:bidi="ar"/>
              </w:rPr>
              <w:t>15</w:t>
            </w:r>
          </w:p>
        </w:tc>
        <w:tc>
          <w:tcPr>
            <w:tcW w:w="2410" w:type="dxa"/>
            <w:tcBorders>
              <w:top w:val="single" w:color="000000" w:sz="4" w:space="0"/>
              <w:left w:val="single" w:color="000000" w:sz="4" w:space="0"/>
              <w:bottom w:val="single" w:color="000000" w:sz="4" w:space="0"/>
              <w:right w:val="single" w:color="000000" w:sz="4" w:space="0"/>
            </w:tcBorders>
            <w:noWrap w:val="0"/>
            <w:vAlign w:val="center"/>
          </w:tcPr>
          <w:p w14:paraId="12F3C9D3">
            <w:pPr>
              <w:pStyle w:val="12"/>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sz w:val="24"/>
                <w:szCs w:val="24"/>
                <w:lang w:val="en-US" w:eastAsia="zh-CN"/>
              </w:rPr>
              <w:t>雾化器隔热筒修复</w:t>
            </w:r>
          </w:p>
        </w:tc>
        <w:tc>
          <w:tcPr>
            <w:tcW w:w="3349" w:type="dxa"/>
            <w:tcBorders>
              <w:top w:val="single" w:color="000000" w:sz="4" w:space="0"/>
              <w:left w:val="single" w:color="000000" w:sz="4" w:space="0"/>
              <w:bottom w:val="single" w:color="000000" w:sz="4" w:space="0"/>
              <w:right w:val="single" w:color="000000" w:sz="4" w:space="0"/>
            </w:tcBorders>
            <w:noWrap w:val="0"/>
            <w:vAlign w:val="center"/>
          </w:tcPr>
          <w:p w14:paraId="252B37CB">
            <w:pPr>
              <w:pStyle w:val="12"/>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sz w:val="24"/>
                <w:szCs w:val="24"/>
                <w:lang w:val="en-US" w:eastAsia="zh-CN"/>
              </w:rPr>
              <w:t>椎体更换及喷涂0.3mm厚度的铁氟龙涂层，椎体材质为316L不锈钢。</w:t>
            </w:r>
          </w:p>
        </w:tc>
        <w:tc>
          <w:tcPr>
            <w:tcW w:w="866" w:type="dxa"/>
            <w:tcBorders>
              <w:top w:val="single" w:color="000000" w:sz="4" w:space="0"/>
              <w:left w:val="single" w:color="000000" w:sz="4" w:space="0"/>
              <w:bottom w:val="single" w:color="000000" w:sz="4" w:space="0"/>
              <w:right w:val="single" w:color="000000" w:sz="4" w:space="0"/>
            </w:tcBorders>
            <w:noWrap w:val="0"/>
            <w:vAlign w:val="center"/>
          </w:tcPr>
          <w:p w14:paraId="1A0ADB23">
            <w:pPr>
              <w:pStyle w:val="12"/>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sz w:val="24"/>
                <w:szCs w:val="24"/>
                <w:lang w:val="en-US" w:eastAsia="zh-CN"/>
              </w:rPr>
              <w:t>2</w:t>
            </w:r>
          </w:p>
        </w:tc>
        <w:tc>
          <w:tcPr>
            <w:tcW w:w="817" w:type="dxa"/>
            <w:tcBorders>
              <w:top w:val="single" w:color="000000" w:sz="4" w:space="0"/>
              <w:left w:val="single" w:color="000000" w:sz="4" w:space="0"/>
              <w:bottom w:val="single" w:color="000000" w:sz="4" w:space="0"/>
              <w:right w:val="single" w:color="000000" w:sz="4" w:space="0"/>
            </w:tcBorders>
            <w:noWrap w:val="0"/>
            <w:vAlign w:val="center"/>
          </w:tcPr>
          <w:p w14:paraId="1D234ECA">
            <w:pPr>
              <w:pStyle w:val="12"/>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sz w:val="24"/>
                <w:szCs w:val="24"/>
                <w:lang w:val="en-US" w:eastAsia="zh-CN"/>
              </w:rPr>
              <w:t>个</w:t>
            </w:r>
          </w:p>
        </w:tc>
      </w:tr>
      <w:tr w14:paraId="3AE3A346">
        <w:tblPrEx>
          <w:tblCellMar>
            <w:top w:w="0" w:type="dxa"/>
            <w:left w:w="108" w:type="dxa"/>
            <w:bottom w:w="0" w:type="dxa"/>
            <w:right w:w="108" w:type="dxa"/>
          </w:tblCellMar>
        </w:tblPrEx>
        <w:trPr>
          <w:trHeight w:val="529" w:hRule="atLeast"/>
          <w:jc w:val="center"/>
        </w:trPr>
        <w:tc>
          <w:tcPr>
            <w:tcW w:w="713" w:type="dxa"/>
            <w:tcBorders>
              <w:top w:val="single" w:color="000000" w:sz="4" w:space="0"/>
              <w:left w:val="single" w:color="000000" w:sz="4" w:space="0"/>
              <w:bottom w:val="single" w:color="000000" w:sz="4" w:space="0"/>
              <w:right w:val="single" w:color="000000" w:sz="4" w:space="0"/>
            </w:tcBorders>
            <w:noWrap/>
            <w:vAlign w:val="center"/>
          </w:tcPr>
          <w:p w14:paraId="7DC24D7C">
            <w:pPr>
              <w:keepNext w:val="0"/>
              <w:keepLines w:val="0"/>
              <w:pageBreakBefore w:val="0"/>
              <w:widowControl/>
              <w:numPr>
                <w:ilvl w:val="0"/>
                <w:numId w:val="0"/>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r>
              <w:rPr>
                <w:rFonts w:hint="default" w:ascii="仿宋" w:hAnsi="仿宋" w:eastAsia="仿宋" w:cs="仿宋"/>
                <w:i w:val="0"/>
                <w:iCs w:val="0"/>
                <w:strike w:val="0"/>
                <w:dstrike w:val="0"/>
                <w:color w:val="000000"/>
                <w:kern w:val="0"/>
                <w:sz w:val="24"/>
                <w:szCs w:val="24"/>
                <w:lang w:val="en-US" w:eastAsia="zh-CN" w:bidi="ar"/>
              </w:rPr>
              <w:t>16</w:t>
            </w:r>
          </w:p>
        </w:tc>
        <w:tc>
          <w:tcPr>
            <w:tcW w:w="2410" w:type="dxa"/>
            <w:tcBorders>
              <w:top w:val="single" w:color="000000" w:sz="4" w:space="0"/>
              <w:left w:val="single" w:color="000000" w:sz="4" w:space="0"/>
              <w:bottom w:val="single" w:color="000000" w:sz="4" w:space="0"/>
              <w:right w:val="single" w:color="000000" w:sz="4" w:space="0"/>
            </w:tcBorders>
            <w:noWrap w:val="0"/>
            <w:vAlign w:val="center"/>
          </w:tcPr>
          <w:p w14:paraId="4A81C089">
            <w:pPr>
              <w:pStyle w:val="12"/>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sz w:val="24"/>
                <w:szCs w:val="24"/>
                <w:lang w:val="en-US" w:eastAsia="zh-CN"/>
              </w:rPr>
              <w:t>雾化盘防磨盘修复</w:t>
            </w:r>
          </w:p>
        </w:tc>
        <w:tc>
          <w:tcPr>
            <w:tcW w:w="3349" w:type="dxa"/>
            <w:tcBorders>
              <w:top w:val="single" w:color="000000" w:sz="4" w:space="0"/>
              <w:left w:val="single" w:color="000000" w:sz="4" w:space="0"/>
              <w:bottom w:val="single" w:color="000000" w:sz="4" w:space="0"/>
              <w:right w:val="single" w:color="000000" w:sz="4" w:space="0"/>
            </w:tcBorders>
            <w:noWrap w:val="0"/>
            <w:vAlign w:val="center"/>
          </w:tcPr>
          <w:p w14:paraId="7CECECE0">
            <w:pPr>
              <w:pStyle w:val="12"/>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kern w:val="2"/>
                <w:sz w:val="24"/>
                <w:szCs w:val="24"/>
                <w:lang w:val="en-US" w:eastAsia="zh-CN" w:bidi="ar-SA"/>
              </w:rPr>
              <w:t>1.</w:t>
            </w:r>
            <w:r>
              <w:rPr>
                <w:rFonts w:hint="eastAsia" w:ascii="仿宋" w:hAnsi="仿宋" w:eastAsia="仿宋" w:cs="仿宋"/>
                <w:sz w:val="24"/>
                <w:szCs w:val="24"/>
                <w:lang w:val="en-US" w:eastAsia="zh-CN"/>
              </w:rPr>
              <w:t>雾化盘耐磨盘修复材料材质要求为碳化硅材质，外侧固定环材质要求SUS630材质，以上材质要求附材质证明。</w:t>
            </w:r>
          </w:p>
          <w:p w14:paraId="62A9E34D">
            <w:pPr>
              <w:pStyle w:val="12"/>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sz w:val="24"/>
                <w:szCs w:val="24"/>
                <w:lang w:val="en-US" w:eastAsia="zh-CN"/>
              </w:rPr>
              <w:t>2.动平衡要求：做G0.4最高等级，测试转速在1500rpm以上，减重测试必须做到0.05g以内，要求有动平衡校正报告。</w:t>
            </w:r>
          </w:p>
        </w:tc>
        <w:tc>
          <w:tcPr>
            <w:tcW w:w="866" w:type="dxa"/>
            <w:tcBorders>
              <w:top w:val="single" w:color="000000" w:sz="4" w:space="0"/>
              <w:left w:val="single" w:color="000000" w:sz="4" w:space="0"/>
              <w:bottom w:val="single" w:color="000000" w:sz="4" w:space="0"/>
              <w:right w:val="single" w:color="000000" w:sz="4" w:space="0"/>
            </w:tcBorders>
            <w:noWrap w:val="0"/>
            <w:vAlign w:val="center"/>
          </w:tcPr>
          <w:p w14:paraId="423DA88C">
            <w:pPr>
              <w:pStyle w:val="12"/>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sz w:val="24"/>
                <w:szCs w:val="24"/>
                <w:lang w:val="en-US" w:eastAsia="zh-CN"/>
              </w:rPr>
              <w:t>2</w:t>
            </w:r>
          </w:p>
        </w:tc>
        <w:tc>
          <w:tcPr>
            <w:tcW w:w="817" w:type="dxa"/>
            <w:tcBorders>
              <w:top w:val="single" w:color="000000" w:sz="4" w:space="0"/>
              <w:left w:val="single" w:color="000000" w:sz="4" w:space="0"/>
              <w:bottom w:val="single" w:color="000000" w:sz="4" w:space="0"/>
              <w:right w:val="single" w:color="000000" w:sz="4" w:space="0"/>
            </w:tcBorders>
            <w:noWrap w:val="0"/>
            <w:vAlign w:val="center"/>
          </w:tcPr>
          <w:p w14:paraId="05EF1350">
            <w:pPr>
              <w:pStyle w:val="12"/>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sz w:val="24"/>
                <w:szCs w:val="24"/>
                <w:lang w:val="en-US" w:eastAsia="zh-CN"/>
              </w:rPr>
              <w:t>个</w:t>
            </w:r>
          </w:p>
        </w:tc>
      </w:tr>
      <w:tr w14:paraId="5EF12981">
        <w:tblPrEx>
          <w:tblCellMar>
            <w:top w:w="0" w:type="dxa"/>
            <w:left w:w="108" w:type="dxa"/>
            <w:bottom w:w="0" w:type="dxa"/>
            <w:right w:w="108" w:type="dxa"/>
          </w:tblCellMar>
        </w:tblPrEx>
        <w:trPr>
          <w:trHeight w:val="529" w:hRule="atLeast"/>
          <w:jc w:val="center"/>
        </w:trPr>
        <w:tc>
          <w:tcPr>
            <w:tcW w:w="713" w:type="dxa"/>
            <w:tcBorders>
              <w:top w:val="single" w:color="000000" w:sz="4" w:space="0"/>
              <w:left w:val="single" w:color="000000" w:sz="4" w:space="0"/>
              <w:bottom w:val="single" w:color="000000" w:sz="4" w:space="0"/>
              <w:right w:val="single" w:color="000000" w:sz="4" w:space="0"/>
            </w:tcBorders>
            <w:noWrap/>
            <w:vAlign w:val="center"/>
          </w:tcPr>
          <w:p w14:paraId="547C9FAC">
            <w:pPr>
              <w:keepNext w:val="0"/>
              <w:keepLines w:val="0"/>
              <w:pageBreakBefore w:val="0"/>
              <w:widowControl/>
              <w:numPr>
                <w:ilvl w:val="0"/>
                <w:numId w:val="0"/>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r>
              <w:rPr>
                <w:rFonts w:hint="default" w:ascii="仿宋" w:hAnsi="仿宋" w:eastAsia="仿宋" w:cs="仿宋"/>
                <w:i w:val="0"/>
                <w:iCs w:val="0"/>
                <w:strike w:val="0"/>
                <w:dstrike w:val="0"/>
                <w:color w:val="000000"/>
                <w:kern w:val="0"/>
                <w:sz w:val="24"/>
                <w:szCs w:val="24"/>
                <w:lang w:val="en-US" w:eastAsia="zh-CN" w:bidi="ar"/>
              </w:rPr>
              <w:t>17</w:t>
            </w:r>
          </w:p>
        </w:tc>
        <w:tc>
          <w:tcPr>
            <w:tcW w:w="2410" w:type="dxa"/>
            <w:tcBorders>
              <w:top w:val="single" w:color="000000" w:sz="4" w:space="0"/>
              <w:left w:val="single" w:color="000000" w:sz="4" w:space="0"/>
              <w:bottom w:val="single" w:color="000000" w:sz="4" w:space="0"/>
              <w:right w:val="single" w:color="000000" w:sz="4" w:space="0"/>
            </w:tcBorders>
            <w:noWrap w:val="0"/>
            <w:vAlign w:val="center"/>
          </w:tcPr>
          <w:p w14:paraId="50B1812A">
            <w:pPr>
              <w:pStyle w:val="12"/>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sz w:val="24"/>
                <w:szCs w:val="24"/>
                <w:lang w:val="en-US" w:eastAsia="zh-CN"/>
              </w:rPr>
              <w:t>雾化盘防磨盘更换</w:t>
            </w:r>
          </w:p>
        </w:tc>
        <w:tc>
          <w:tcPr>
            <w:tcW w:w="3349" w:type="dxa"/>
            <w:tcBorders>
              <w:top w:val="single" w:color="000000" w:sz="4" w:space="0"/>
              <w:left w:val="single" w:color="000000" w:sz="4" w:space="0"/>
              <w:bottom w:val="single" w:color="000000" w:sz="4" w:space="0"/>
              <w:right w:val="single" w:color="000000" w:sz="4" w:space="0"/>
            </w:tcBorders>
            <w:noWrap w:val="0"/>
            <w:vAlign w:val="center"/>
          </w:tcPr>
          <w:p w14:paraId="30A7D663">
            <w:pPr>
              <w:pStyle w:val="12"/>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kern w:val="2"/>
                <w:sz w:val="24"/>
                <w:szCs w:val="24"/>
                <w:lang w:val="en-US" w:eastAsia="zh-CN" w:bidi="ar-SA"/>
              </w:rPr>
              <w:t>1.</w:t>
            </w:r>
            <w:r>
              <w:rPr>
                <w:rFonts w:hint="eastAsia" w:ascii="仿宋" w:hAnsi="仿宋" w:eastAsia="仿宋" w:cs="仿宋"/>
                <w:sz w:val="24"/>
                <w:szCs w:val="24"/>
                <w:lang w:val="en-US" w:eastAsia="zh-CN"/>
              </w:rPr>
              <w:t>雾化盘耐磨盘材质要求为碳化硅材质，外侧固定环材质要求SUS630材质，以上材质要求附材质证明。</w:t>
            </w:r>
          </w:p>
          <w:p w14:paraId="7CD674B8">
            <w:pPr>
              <w:pStyle w:val="12"/>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lang w:val="en-US" w:eastAsia="zh-CN" w:bidi="ar"/>
              </w:rPr>
              <w:t>2.</w:t>
            </w:r>
            <w:r>
              <w:rPr>
                <w:rFonts w:hint="eastAsia" w:ascii="仿宋" w:hAnsi="仿宋" w:eastAsia="仿宋" w:cs="仿宋"/>
                <w:sz w:val="24"/>
                <w:szCs w:val="24"/>
                <w:lang w:val="en-US" w:eastAsia="zh-CN"/>
              </w:rPr>
              <w:t>动平衡要求：做G0.4最高等级，测试转速在1500rpm以上，减重测试必须做到0.05g以内，要求有动平衡校正报告。</w:t>
            </w:r>
          </w:p>
        </w:tc>
        <w:tc>
          <w:tcPr>
            <w:tcW w:w="866" w:type="dxa"/>
            <w:tcBorders>
              <w:top w:val="single" w:color="000000" w:sz="4" w:space="0"/>
              <w:left w:val="single" w:color="000000" w:sz="4" w:space="0"/>
              <w:bottom w:val="single" w:color="000000" w:sz="4" w:space="0"/>
              <w:right w:val="single" w:color="000000" w:sz="4" w:space="0"/>
            </w:tcBorders>
            <w:noWrap w:val="0"/>
            <w:vAlign w:val="center"/>
          </w:tcPr>
          <w:p w14:paraId="1D69D794">
            <w:pPr>
              <w:pStyle w:val="12"/>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sz w:val="24"/>
                <w:szCs w:val="24"/>
                <w:lang w:val="en-US" w:eastAsia="zh-CN"/>
              </w:rPr>
              <w:t>2</w:t>
            </w:r>
          </w:p>
        </w:tc>
        <w:tc>
          <w:tcPr>
            <w:tcW w:w="817" w:type="dxa"/>
            <w:tcBorders>
              <w:top w:val="single" w:color="000000" w:sz="4" w:space="0"/>
              <w:left w:val="single" w:color="000000" w:sz="4" w:space="0"/>
              <w:bottom w:val="single" w:color="000000" w:sz="4" w:space="0"/>
              <w:right w:val="single" w:color="000000" w:sz="4" w:space="0"/>
            </w:tcBorders>
            <w:noWrap w:val="0"/>
            <w:vAlign w:val="center"/>
          </w:tcPr>
          <w:p w14:paraId="009F62BF">
            <w:pPr>
              <w:pStyle w:val="12"/>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sz w:val="24"/>
                <w:szCs w:val="24"/>
                <w:lang w:val="en-US" w:eastAsia="zh-CN"/>
              </w:rPr>
              <w:t>个</w:t>
            </w:r>
          </w:p>
        </w:tc>
      </w:tr>
      <w:tr w14:paraId="32180AFC">
        <w:tblPrEx>
          <w:tblCellMar>
            <w:top w:w="0" w:type="dxa"/>
            <w:left w:w="108" w:type="dxa"/>
            <w:bottom w:w="0" w:type="dxa"/>
            <w:right w:w="108" w:type="dxa"/>
          </w:tblCellMar>
        </w:tblPrEx>
        <w:trPr>
          <w:trHeight w:val="529" w:hRule="atLeast"/>
          <w:jc w:val="center"/>
        </w:trPr>
        <w:tc>
          <w:tcPr>
            <w:tcW w:w="713" w:type="dxa"/>
            <w:tcBorders>
              <w:top w:val="single" w:color="000000" w:sz="4" w:space="0"/>
              <w:left w:val="single" w:color="000000" w:sz="4" w:space="0"/>
              <w:bottom w:val="single" w:color="000000" w:sz="4" w:space="0"/>
              <w:right w:val="single" w:color="000000" w:sz="4" w:space="0"/>
            </w:tcBorders>
            <w:noWrap/>
            <w:vAlign w:val="center"/>
          </w:tcPr>
          <w:p w14:paraId="317AD8CE">
            <w:pPr>
              <w:keepNext w:val="0"/>
              <w:keepLines w:val="0"/>
              <w:pageBreakBefore w:val="0"/>
              <w:widowControl/>
              <w:numPr>
                <w:ilvl w:val="0"/>
                <w:numId w:val="0"/>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r>
              <w:rPr>
                <w:rFonts w:hint="default" w:ascii="仿宋" w:hAnsi="仿宋" w:eastAsia="仿宋" w:cs="仿宋"/>
                <w:i w:val="0"/>
                <w:iCs w:val="0"/>
                <w:strike w:val="0"/>
                <w:dstrike w:val="0"/>
                <w:color w:val="000000"/>
                <w:kern w:val="0"/>
                <w:sz w:val="24"/>
                <w:szCs w:val="24"/>
                <w:lang w:val="en-US" w:eastAsia="zh-CN" w:bidi="ar"/>
              </w:rPr>
              <w:t>18</w:t>
            </w:r>
          </w:p>
        </w:tc>
        <w:tc>
          <w:tcPr>
            <w:tcW w:w="2410" w:type="dxa"/>
            <w:tcBorders>
              <w:top w:val="single" w:color="000000" w:sz="4" w:space="0"/>
              <w:left w:val="single" w:color="000000" w:sz="4" w:space="0"/>
              <w:bottom w:val="single" w:color="000000" w:sz="4" w:space="0"/>
              <w:right w:val="single" w:color="000000" w:sz="4" w:space="0"/>
            </w:tcBorders>
            <w:noWrap w:val="0"/>
            <w:vAlign w:val="center"/>
          </w:tcPr>
          <w:p w14:paraId="15A4122B">
            <w:pPr>
              <w:pStyle w:val="12"/>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sz w:val="24"/>
                <w:szCs w:val="24"/>
                <w:lang w:val="en-US" w:eastAsia="zh-CN"/>
              </w:rPr>
              <w:t>雾化器拆装工具</w:t>
            </w:r>
          </w:p>
        </w:tc>
        <w:tc>
          <w:tcPr>
            <w:tcW w:w="3349" w:type="dxa"/>
            <w:tcBorders>
              <w:top w:val="single" w:color="000000" w:sz="4" w:space="0"/>
              <w:left w:val="single" w:color="000000" w:sz="4" w:space="0"/>
              <w:bottom w:val="single" w:color="000000" w:sz="4" w:space="0"/>
              <w:right w:val="single" w:color="000000" w:sz="4" w:space="0"/>
            </w:tcBorders>
            <w:noWrap w:val="0"/>
            <w:vAlign w:val="center"/>
          </w:tcPr>
          <w:p w14:paraId="24E10AD0">
            <w:pPr>
              <w:pStyle w:val="12"/>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sz w:val="24"/>
                <w:szCs w:val="24"/>
                <w:lang w:val="en-US" w:eastAsia="zh-CN"/>
              </w:rPr>
              <w:t>雾化器专用工具共16件（包含内六角扳手，轴芯轴承拆卸工具2件，拉拔器，轴芯上逆牙拆卸工具，联轴器拆卸工具2件，齿轮间隙调整螺栓，雾化器拆装工具4件，特制短头内六角，开口扳手2把，轴套紧固电热吹风机）。</w:t>
            </w:r>
          </w:p>
        </w:tc>
        <w:tc>
          <w:tcPr>
            <w:tcW w:w="866" w:type="dxa"/>
            <w:tcBorders>
              <w:top w:val="single" w:color="000000" w:sz="4" w:space="0"/>
              <w:left w:val="single" w:color="000000" w:sz="4" w:space="0"/>
              <w:bottom w:val="single" w:color="000000" w:sz="4" w:space="0"/>
              <w:right w:val="single" w:color="000000" w:sz="4" w:space="0"/>
            </w:tcBorders>
            <w:noWrap w:val="0"/>
            <w:vAlign w:val="center"/>
          </w:tcPr>
          <w:p w14:paraId="774E9AFF">
            <w:pPr>
              <w:pStyle w:val="12"/>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sz w:val="24"/>
                <w:szCs w:val="24"/>
                <w:lang w:val="en-US" w:eastAsia="zh-CN"/>
              </w:rPr>
              <w:t>1</w:t>
            </w:r>
          </w:p>
        </w:tc>
        <w:tc>
          <w:tcPr>
            <w:tcW w:w="817" w:type="dxa"/>
            <w:tcBorders>
              <w:top w:val="single" w:color="000000" w:sz="4" w:space="0"/>
              <w:left w:val="single" w:color="000000" w:sz="4" w:space="0"/>
              <w:bottom w:val="single" w:color="000000" w:sz="4" w:space="0"/>
              <w:right w:val="single" w:color="000000" w:sz="4" w:space="0"/>
            </w:tcBorders>
            <w:noWrap w:val="0"/>
            <w:vAlign w:val="center"/>
          </w:tcPr>
          <w:p w14:paraId="650DA799">
            <w:pPr>
              <w:pStyle w:val="12"/>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sz w:val="24"/>
                <w:szCs w:val="24"/>
                <w:lang w:val="en-US" w:eastAsia="zh-CN"/>
              </w:rPr>
              <w:t>套</w:t>
            </w:r>
          </w:p>
        </w:tc>
      </w:tr>
      <w:tr w14:paraId="12A012F4">
        <w:tblPrEx>
          <w:tblCellMar>
            <w:top w:w="0" w:type="dxa"/>
            <w:left w:w="108" w:type="dxa"/>
            <w:bottom w:w="0" w:type="dxa"/>
            <w:right w:w="108" w:type="dxa"/>
          </w:tblCellMar>
        </w:tblPrEx>
        <w:trPr>
          <w:trHeight w:val="529" w:hRule="atLeast"/>
          <w:jc w:val="center"/>
        </w:trPr>
        <w:tc>
          <w:tcPr>
            <w:tcW w:w="8155" w:type="dxa"/>
            <w:gridSpan w:val="5"/>
            <w:tcBorders>
              <w:top w:val="single" w:color="000000" w:sz="4" w:space="0"/>
              <w:left w:val="single" w:color="000000" w:sz="4" w:space="0"/>
              <w:bottom w:val="single" w:color="000000" w:sz="4" w:space="0"/>
              <w:right w:val="single" w:color="000000" w:sz="4" w:space="0"/>
            </w:tcBorders>
            <w:noWrap/>
            <w:vAlign w:val="center"/>
          </w:tcPr>
          <w:p w14:paraId="3C94DFB3">
            <w:pPr>
              <w:pStyle w:val="12"/>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240" w:lineRule="exact"/>
              <w:ind w:left="0" w:lef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备注：配件按实际需求供货结算，供货时间规定在接到需供货信息后3个自然日内必须送到（所有产生的运费由供货方支付）</w:t>
            </w:r>
          </w:p>
        </w:tc>
      </w:tr>
    </w:tbl>
    <w:p w14:paraId="47E30BEA">
      <w:pPr>
        <w:pStyle w:val="12"/>
        <w:snapToGrid/>
        <w:spacing w:line="360" w:lineRule="auto"/>
        <w:ind w:left="0" w:leftChars="0" w:firstLine="0" w:firstLineChars="0"/>
        <w:rPr>
          <w:rFonts w:hint="default"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t xml:space="preserve"> </w:t>
      </w:r>
    </w:p>
    <w:p w14:paraId="4F7C6727">
      <w:pPr>
        <w:pStyle w:val="12"/>
        <w:numPr>
          <w:ilvl w:val="0"/>
          <w:numId w:val="0"/>
        </w:numPr>
        <w:snapToGrid/>
        <w:spacing w:line="360" w:lineRule="auto"/>
        <w:ind w:firstLine="600" w:firstLineChars="200"/>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t>3.技术要求及工作量</w:t>
      </w:r>
    </w:p>
    <w:p w14:paraId="0AA06BC5">
      <w:pPr>
        <w:pStyle w:val="12"/>
        <w:numPr>
          <w:ilvl w:val="0"/>
          <w:numId w:val="0"/>
        </w:numPr>
        <w:snapToGrid/>
        <w:spacing w:line="360" w:lineRule="auto"/>
        <w:ind w:left="596" w:leftChars="284" w:firstLine="0" w:firstLineChars="0"/>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t>①雾化盘回装后量测-下圆 0.022至/上圆 0.035 至 0.038mm。</w:t>
      </w:r>
      <w:r>
        <w:rPr>
          <w:rFonts w:hint="eastAsia" w:ascii="仿宋" w:hAnsi="仿宋" w:eastAsia="仿宋" w:cs="仿宋"/>
          <w:sz w:val="30"/>
          <w:szCs w:val="30"/>
          <w:highlight w:val="none"/>
          <w:lang w:val="en-US" w:eastAsia="zh-CN"/>
        </w:rPr>
        <w:br w:type="textWrapping"/>
      </w:r>
      <w:r>
        <w:rPr>
          <w:rFonts w:hint="eastAsia" w:ascii="仿宋" w:hAnsi="仿宋" w:eastAsia="仿宋" w:cs="仿宋"/>
          <w:sz w:val="30"/>
          <w:szCs w:val="30"/>
          <w:highlight w:val="none"/>
          <w:lang w:val="en-US" w:eastAsia="zh-CN"/>
        </w:rPr>
        <w:t>②轴心量测-偏摆 0.02 至 0.022mm。</w:t>
      </w:r>
      <w:r>
        <w:rPr>
          <w:rFonts w:hint="eastAsia" w:ascii="仿宋" w:hAnsi="仿宋" w:eastAsia="仿宋" w:cs="仿宋"/>
          <w:sz w:val="30"/>
          <w:szCs w:val="30"/>
          <w:highlight w:val="none"/>
          <w:lang w:val="en-US" w:eastAsia="zh-CN"/>
        </w:rPr>
        <w:br w:type="textWrapping"/>
      </w:r>
      <w:r>
        <w:rPr>
          <w:rFonts w:hint="eastAsia" w:ascii="仿宋" w:hAnsi="仿宋" w:eastAsia="仿宋" w:cs="仿宋"/>
          <w:sz w:val="30"/>
          <w:szCs w:val="30"/>
          <w:highlight w:val="none"/>
          <w:lang w:val="en-US" w:eastAsia="zh-CN"/>
        </w:rPr>
        <w:t>③轴心联轴器间隙-1.20 至 1.35mm。</w:t>
      </w:r>
      <w:r>
        <w:rPr>
          <w:rFonts w:hint="eastAsia" w:ascii="仿宋" w:hAnsi="仿宋" w:eastAsia="仿宋" w:cs="仿宋"/>
          <w:sz w:val="30"/>
          <w:szCs w:val="30"/>
          <w:highlight w:val="none"/>
          <w:lang w:val="en-US" w:eastAsia="zh-CN"/>
        </w:rPr>
        <w:br w:type="textWrapping"/>
      </w:r>
      <w:r>
        <w:rPr>
          <w:rFonts w:hint="eastAsia" w:ascii="仿宋" w:hAnsi="仿宋" w:eastAsia="仿宋" w:cs="仿宋"/>
          <w:sz w:val="30"/>
          <w:szCs w:val="30"/>
          <w:highlight w:val="none"/>
          <w:lang w:val="en-US" w:eastAsia="zh-CN"/>
        </w:rPr>
        <w:t>④振动偏移检测-10.5V。</w:t>
      </w:r>
      <w:r>
        <w:rPr>
          <w:rFonts w:hint="eastAsia" w:ascii="仿宋" w:hAnsi="仿宋" w:eastAsia="仿宋" w:cs="仿宋"/>
          <w:sz w:val="30"/>
          <w:szCs w:val="30"/>
          <w:highlight w:val="none"/>
          <w:lang w:val="en-US" w:eastAsia="zh-CN"/>
        </w:rPr>
        <w:br w:type="textWrapping"/>
      </w:r>
      <w:r>
        <w:rPr>
          <w:rFonts w:hint="eastAsia" w:ascii="仿宋" w:hAnsi="仿宋" w:eastAsia="仿宋" w:cs="仿宋"/>
          <w:sz w:val="30"/>
          <w:szCs w:val="30"/>
          <w:highlight w:val="none"/>
          <w:lang w:val="en-US" w:eastAsia="zh-CN"/>
        </w:rPr>
        <w:t>⑤油泵运行正常,吸排油正常，油温温度器检测测点 110 至 112奥姆,溢油开关， 油位开关，油流量检测需正常。</w:t>
      </w:r>
      <w:r>
        <w:rPr>
          <w:rFonts w:hint="eastAsia" w:ascii="仿宋" w:hAnsi="仿宋" w:eastAsia="仿宋" w:cs="仿宋"/>
          <w:sz w:val="30"/>
          <w:szCs w:val="30"/>
          <w:highlight w:val="none"/>
          <w:lang w:val="en-US" w:eastAsia="zh-CN"/>
        </w:rPr>
        <w:br w:type="textWrapping"/>
      </w:r>
      <w:r>
        <w:rPr>
          <w:rFonts w:hint="eastAsia" w:ascii="仿宋" w:hAnsi="仿宋" w:eastAsia="仿宋" w:cs="仿宋"/>
          <w:sz w:val="30"/>
          <w:szCs w:val="30"/>
          <w:highlight w:val="none"/>
          <w:lang w:val="en-US" w:eastAsia="zh-CN"/>
        </w:rPr>
        <w:t>⑥整机运行 1 周后,振动值在合格范围内,运行平稳，整机无漏油渗油点，达到合同验收标准。</w:t>
      </w:r>
    </w:p>
    <w:p w14:paraId="7D1069DF">
      <w:pPr>
        <w:pStyle w:val="12"/>
        <w:numPr>
          <w:ilvl w:val="0"/>
          <w:numId w:val="0"/>
        </w:numPr>
        <w:snapToGrid/>
        <w:spacing w:line="360" w:lineRule="auto"/>
        <w:ind w:firstLine="600" w:firstLineChars="200"/>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t>⑦质保期为一年（从验收之日起计算），在质保期内如果因维护保养不当或维护方提供更换的备件因质量原因而造成雾化器故障或损坏的由维护方负责处理正常，并经验收合格后方能认可，一年质保期也因此需重新开始计算。</w:t>
      </w:r>
    </w:p>
    <w:p w14:paraId="2E87830B">
      <w:pPr>
        <w:pStyle w:val="12"/>
        <w:numPr>
          <w:ilvl w:val="0"/>
          <w:numId w:val="0"/>
        </w:numPr>
        <w:snapToGrid/>
        <w:spacing w:line="360" w:lineRule="auto"/>
        <w:ind w:firstLine="600" w:firstLineChars="200"/>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t>工作量：</w:t>
      </w:r>
    </w:p>
    <w:p w14:paraId="497DE796">
      <w:pPr>
        <w:pStyle w:val="12"/>
        <w:numPr>
          <w:ilvl w:val="0"/>
          <w:numId w:val="0"/>
        </w:numPr>
        <w:snapToGrid/>
        <w:spacing w:line="360" w:lineRule="auto"/>
        <w:ind w:firstLine="600" w:firstLineChars="200"/>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t>①整机及零部件的拆卸检查，清洗及组装由维护方负责。</w:t>
      </w:r>
    </w:p>
    <w:p w14:paraId="432DDFBC">
      <w:pPr>
        <w:pStyle w:val="12"/>
        <w:numPr>
          <w:ilvl w:val="0"/>
          <w:numId w:val="0"/>
        </w:numPr>
        <w:snapToGrid/>
        <w:spacing w:line="360" w:lineRule="auto"/>
        <w:ind w:firstLine="600" w:firstLineChars="200"/>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t>②合同约定由维护方提供备件及更换的由维护方负责。</w:t>
      </w:r>
    </w:p>
    <w:p w14:paraId="4F6F3EFD">
      <w:pPr>
        <w:pStyle w:val="12"/>
        <w:numPr>
          <w:ilvl w:val="0"/>
          <w:numId w:val="0"/>
        </w:numPr>
        <w:snapToGrid/>
        <w:spacing w:line="360" w:lineRule="auto"/>
        <w:ind w:firstLine="600" w:firstLineChars="200"/>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t>③所要保养雾化器编号：</w:t>
      </w:r>
    </w:p>
    <w:p w14:paraId="6DCADC65">
      <w:pPr>
        <w:pStyle w:val="12"/>
        <w:numPr>
          <w:ilvl w:val="0"/>
          <w:numId w:val="0"/>
        </w:numPr>
        <w:snapToGrid/>
        <w:spacing w:line="360" w:lineRule="auto"/>
        <w:ind w:firstLine="600" w:firstLineChars="200"/>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t xml:space="preserve">(1)761044-0015-S45-0117-1(2060)  </w:t>
      </w:r>
    </w:p>
    <w:p w14:paraId="4BEF114C">
      <w:pPr>
        <w:pStyle w:val="12"/>
        <w:numPr>
          <w:ilvl w:val="0"/>
          <w:numId w:val="0"/>
        </w:numPr>
        <w:snapToGrid/>
        <w:spacing w:line="360" w:lineRule="auto"/>
        <w:ind w:firstLine="600" w:firstLineChars="200"/>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t xml:space="preserve">(2)761044-0015-S45-0117-3(2062)   </w:t>
      </w:r>
    </w:p>
    <w:p w14:paraId="12381B63">
      <w:pPr>
        <w:pStyle w:val="12"/>
        <w:numPr>
          <w:ilvl w:val="0"/>
          <w:numId w:val="0"/>
        </w:numPr>
        <w:snapToGrid/>
        <w:spacing w:line="360" w:lineRule="auto"/>
        <w:ind w:firstLine="600" w:firstLineChars="200"/>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t xml:space="preserve">(3)761044-0015-S45-0117-4(2063)  </w:t>
      </w:r>
    </w:p>
    <w:p w14:paraId="78AE445C">
      <w:pPr>
        <w:pStyle w:val="12"/>
        <w:numPr>
          <w:ilvl w:val="0"/>
          <w:numId w:val="0"/>
        </w:numPr>
        <w:snapToGrid/>
        <w:spacing w:line="360" w:lineRule="auto"/>
        <w:ind w:firstLine="600" w:firstLineChars="200"/>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t xml:space="preserve">(4)761044-0015-S45-0117-5(2061)   </w:t>
      </w:r>
    </w:p>
    <w:p w14:paraId="0D80D439">
      <w:pPr>
        <w:pStyle w:val="12"/>
        <w:numPr>
          <w:ilvl w:val="0"/>
          <w:numId w:val="2"/>
        </w:numPr>
        <w:snapToGrid/>
        <w:spacing w:line="360" w:lineRule="auto"/>
        <w:ind w:firstLine="600" w:firstLineChars="200"/>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t>#UCM（重庆铀桦产）。</w:t>
      </w:r>
    </w:p>
    <w:p w14:paraId="6E3B1D49">
      <w:pPr>
        <w:pStyle w:val="12"/>
        <w:numPr>
          <w:ilvl w:val="0"/>
          <w:numId w:val="0"/>
        </w:numPr>
        <w:snapToGrid/>
        <w:spacing w:line="360" w:lineRule="auto"/>
        <w:ind w:firstLine="600" w:firstLineChars="200"/>
        <w:rPr>
          <w:rFonts w:hint="eastAsia" w:ascii="仿宋" w:hAnsi="仿宋" w:eastAsia="仿宋" w:cs="仿宋"/>
          <w:sz w:val="30"/>
          <w:szCs w:val="30"/>
          <w:highlight w:val="none"/>
          <w:lang w:val="en-US" w:eastAsia="zh-CN"/>
        </w:rPr>
      </w:pPr>
      <w:r>
        <w:rPr>
          <w:rFonts w:hint="eastAsia" w:ascii="仿宋" w:hAnsi="仿宋" w:eastAsia="仿宋" w:cs="仿宋"/>
          <w:kern w:val="2"/>
          <w:sz w:val="30"/>
          <w:szCs w:val="30"/>
          <w:lang w:val="en-US" w:eastAsia="zh-CN" w:bidi="ar-SA"/>
        </w:rPr>
        <w:t>4.</w:t>
      </w:r>
      <w:r>
        <w:rPr>
          <w:rFonts w:hint="eastAsia" w:ascii="仿宋" w:hAnsi="仿宋" w:eastAsia="仿宋" w:cs="仿宋"/>
          <w:sz w:val="30"/>
          <w:szCs w:val="30"/>
          <w:highlight w:val="none"/>
          <w:lang w:val="en-US" w:eastAsia="zh-CN"/>
        </w:rPr>
        <w:t>其他要求：</w:t>
      </w:r>
    </w:p>
    <w:p w14:paraId="6FB16180">
      <w:pPr>
        <w:pStyle w:val="12"/>
        <w:numPr>
          <w:ilvl w:val="0"/>
          <w:numId w:val="0"/>
        </w:numPr>
        <w:snapToGrid/>
        <w:spacing w:line="360" w:lineRule="auto"/>
        <w:ind w:firstLine="600" w:firstLineChars="200"/>
        <w:rPr>
          <w:rFonts w:hint="default" w:ascii="仿宋" w:hAnsi="仿宋" w:eastAsia="仿宋" w:cs="仿宋"/>
          <w:sz w:val="30"/>
          <w:szCs w:val="30"/>
          <w:highlight w:val="none"/>
          <w:lang w:val="en-US" w:eastAsia="zh-CN"/>
        </w:rPr>
      </w:pPr>
      <w:r>
        <w:rPr>
          <w:rFonts w:hint="default" w:ascii="仿宋" w:hAnsi="仿宋" w:eastAsia="仿宋" w:cs="仿宋"/>
          <w:sz w:val="30"/>
          <w:szCs w:val="30"/>
          <w:highlight w:val="none"/>
          <w:lang w:val="en-US" w:eastAsia="zh-CN"/>
        </w:rPr>
        <w:t>（一）雾化器保养</w:t>
      </w:r>
    </w:p>
    <w:p w14:paraId="1F543222">
      <w:pPr>
        <w:pStyle w:val="12"/>
        <w:numPr>
          <w:ilvl w:val="0"/>
          <w:numId w:val="0"/>
        </w:numPr>
        <w:snapToGrid/>
        <w:spacing w:line="360" w:lineRule="auto"/>
        <w:ind w:firstLine="600" w:firstLineChars="200"/>
        <w:rPr>
          <w:rFonts w:hint="default" w:ascii="仿宋" w:hAnsi="仿宋" w:eastAsia="仿宋" w:cs="仿宋"/>
          <w:sz w:val="30"/>
          <w:szCs w:val="30"/>
          <w:highlight w:val="none"/>
          <w:lang w:val="en-US" w:eastAsia="zh-CN"/>
        </w:rPr>
      </w:pPr>
      <w:r>
        <w:rPr>
          <w:rFonts w:hint="default" w:ascii="仿宋" w:hAnsi="仿宋" w:eastAsia="仿宋" w:cs="仿宋"/>
          <w:sz w:val="30"/>
          <w:szCs w:val="30"/>
          <w:highlight w:val="none"/>
          <w:lang w:val="en-US" w:eastAsia="zh-CN"/>
        </w:rPr>
        <w:t>（1）雾化器下油箱解体，检查油泵、浮球阀、进油滤芯、管道及密封。</w:t>
      </w:r>
    </w:p>
    <w:p w14:paraId="16D98EFC">
      <w:pPr>
        <w:pStyle w:val="12"/>
        <w:numPr>
          <w:ilvl w:val="0"/>
          <w:numId w:val="0"/>
        </w:numPr>
        <w:snapToGrid/>
        <w:spacing w:line="360" w:lineRule="auto"/>
        <w:ind w:firstLine="600" w:firstLineChars="200"/>
        <w:rPr>
          <w:rFonts w:hint="default" w:ascii="仿宋" w:hAnsi="仿宋" w:eastAsia="仿宋" w:cs="仿宋"/>
          <w:sz w:val="30"/>
          <w:szCs w:val="30"/>
          <w:highlight w:val="none"/>
          <w:lang w:val="en-US" w:eastAsia="zh-CN"/>
        </w:rPr>
      </w:pPr>
      <w:r>
        <w:rPr>
          <w:rFonts w:hint="default" w:ascii="仿宋" w:hAnsi="仿宋" w:eastAsia="仿宋" w:cs="仿宋"/>
          <w:sz w:val="30"/>
          <w:szCs w:val="30"/>
          <w:highlight w:val="none"/>
          <w:lang w:val="en-US" w:eastAsia="zh-CN"/>
        </w:rPr>
        <w:t>（2）雾化器上油箱解体、检查齿轮、轴承、管道密封。</w:t>
      </w:r>
    </w:p>
    <w:p w14:paraId="2A581555">
      <w:pPr>
        <w:pStyle w:val="12"/>
        <w:numPr>
          <w:ilvl w:val="0"/>
          <w:numId w:val="0"/>
        </w:numPr>
        <w:snapToGrid/>
        <w:spacing w:line="360" w:lineRule="auto"/>
        <w:ind w:firstLine="600" w:firstLineChars="200"/>
        <w:rPr>
          <w:rFonts w:hint="default" w:ascii="仿宋" w:hAnsi="仿宋" w:eastAsia="仿宋" w:cs="仿宋"/>
          <w:sz w:val="30"/>
          <w:szCs w:val="30"/>
          <w:highlight w:val="none"/>
          <w:lang w:val="en-US" w:eastAsia="zh-CN"/>
        </w:rPr>
      </w:pPr>
      <w:r>
        <w:rPr>
          <w:rFonts w:hint="default" w:ascii="仿宋" w:hAnsi="仿宋" w:eastAsia="仿宋" w:cs="仿宋"/>
          <w:sz w:val="30"/>
          <w:szCs w:val="30"/>
          <w:highlight w:val="none"/>
          <w:lang w:val="en-US" w:eastAsia="zh-CN"/>
        </w:rPr>
        <w:t>（3）雾化器滤芯、保护、雾化盘、料液分配器等检查清理更换。</w:t>
      </w:r>
    </w:p>
    <w:p w14:paraId="1932C7D7">
      <w:pPr>
        <w:pStyle w:val="12"/>
        <w:numPr>
          <w:ilvl w:val="0"/>
          <w:numId w:val="0"/>
        </w:numPr>
        <w:snapToGrid/>
        <w:spacing w:line="360" w:lineRule="auto"/>
        <w:ind w:firstLine="600" w:firstLineChars="200"/>
        <w:rPr>
          <w:rFonts w:hint="default" w:ascii="仿宋" w:hAnsi="仿宋" w:eastAsia="仿宋" w:cs="仿宋"/>
          <w:sz w:val="30"/>
          <w:szCs w:val="30"/>
          <w:highlight w:val="none"/>
          <w:lang w:val="en-US" w:eastAsia="zh-CN"/>
        </w:rPr>
      </w:pPr>
      <w:r>
        <w:rPr>
          <w:rFonts w:hint="default" w:ascii="仿宋" w:hAnsi="仿宋" w:eastAsia="仿宋" w:cs="仿宋"/>
          <w:sz w:val="30"/>
          <w:szCs w:val="30"/>
          <w:highlight w:val="none"/>
          <w:lang w:val="en-US" w:eastAsia="zh-CN"/>
        </w:rPr>
        <w:t>（4）雾化器密封及相关轴承更换（O 型圈,油封,油垫纸,滤芯,反冲垫,导向轴承及NU209、6308C3 、6305M.C3、NU308、6209-C、6006MA.C3各一只、NU306二只轴承全由维护方提供）。</w:t>
      </w:r>
    </w:p>
    <w:p w14:paraId="076F80BC">
      <w:pPr>
        <w:pStyle w:val="12"/>
        <w:numPr>
          <w:ilvl w:val="0"/>
          <w:numId w:val="0"/>
        </w:numPr>
        <w:snapToGrid/>
        <w:spacing w:line="360" w:lineRule="auto"/>
        <w:ind w:firstLine="600" w:firstLineChars="200"/>
        <w:rPr>
          <w:rFonts w:hint="default" w:ascii="仿宋" w:hAnsi="仿宋" w:eastAsia="仿宋" w:cs="仿宋"/>
          <w:sz w:val="30"/>
          <w:szCs w:val="30"/>
          <w:highlight w:val="none"/>
          <w:lang w:val="en-US" w:eastAsia="zh-CN"/>
        </w:rPr>
      </w:pPr>
      <w:r>
        <w:rPr>
          <w:rFonts w:hint="default" w:ascii="仿宋" w:hAnsi="仿宋" w:eastAsia="仿宋" w:cs="仿宋"/>
          <w:sz w:val="30"/>
          <w:szCs w:val="30"/>
          <w:highlight w:val="none"/>
          <w:lang w:val="en-US" w:eastAsia="zh-CN"/>
        </w:rPr>
        <w:t>（5）雾化器滤芯及导向轴承更换配件由维护方提供。</w:t>
      </w:r>
    </w:p>
    <w:p w14:paraId="080CD2A4">
      <w:pPr>
        <w:pStyle w:val="12"/>
        <w:numPr>
          <w:ilvl w:val="0"/>
          <w:numId w:val="0"/>
        </w:numPr>
        <w:snapToGrid/>
        <w:spacing w:line="360" w:lineRule="auto"/>
        <w:ind w:firstLine="600" w:firstLineChars="200"/>
        <w:rPr>
          <w:rFonts w:hint="default" w:ascii="仿宋" w:hAnsi="仿宋" w:eastAsia="仿宋" w:cs="仿宋"/>
          <w:sz w:val="30"/>
          <w:szCs w:val="30"/>
          <w:highlight w:val="none"/>
          <w:lang w:val="en-US" w:eastAsia="zh-CN"/>
        </w:rPr>
      </w:pPr>
      <w:r>
        <w:rPr>
          <w:rFonts w:hint="default" w:ascii="仿宋" w:hAnsi="仿宋" w:eastAsia="仿宋" w:cs="仿宋"/>
          <w:sz w:val="30"/>
          <w:szCs w:val="30"/>
          <w:highlight w:val="none"/>
          <w:lang w:val="en-US" w:eastAsia="zh-CN"/>
        </w:rPr>
        <w:t>（6）各信号线及插头更换。</w:t>
      </w:r>
    </w:p>
    <w:p w14:paraId="39B1A2F3">
      <w:pPr>
        <w:pStyle w:val="12"/>
        <w:numPr>
          <w:ilvl w:val="0"/>
          <w:numId w:val="0"/>
        </w:numPr>
        <w:snapToGrid/>
        <w:spacing w:line="360" w:lineRule="auto"/>
        <w:ind w:firstLine="600" w:firstLineChars="200"/>
        <w:rPr>
          <w:rFonts w:hint="default" w:ascii="仿宋" w:hAnsi="仿宋" w:eastAsia="仿宋" w:cs="仿宋"/>
          <w:sz w:val="30"/>
          <w:szCs w:val="30"/>
          <w:highlight w:val="none"/>
          <w:lang w:val="en-US" w:eastAsia="zh-CN"/>
        </w:rPr>
      </w:pPr>
      <w:r>
        <w:rPr>
          <w:rFonts w:hint="default" w:ascii="仿宋" w:hAnsi="仿宋" w:eastAsia="仿宋" w:cs="仿宋"/>
          <w:sz w:val="30"/>
          <w:szCs w:val="30"/>
          <w:highlight w:val="none"/>
          <w:lang w:val="en-US" w:eastAsia="zh-CN"/>
        </w:rPr>
        <w:t>（7）雾化器整机及零部件检验及清洁除锈。</w:t>
      </w:r>
    </w:p>
    <w:p w14:paraId="26673069">
      <w:pPr>
        <w:pStyle w:val="12"/>
        <w:numPr>
          <w:ilvl w:val="0"/>
          <w:numId w:val="0"/>
        </w:numPr>
        <w:snapToGrid/>
        <w:spacing w:line="360" w:lineRule="auto"/>
        <w:ind w:firstLine="600" w:firstLineChars="200"/>
        <w:rPr>
          <w:rFonts w:hint="default" w:ascii="仿宋" w:hAnsi="仿宋" w:eastAsia="仿宋" w:cs="仿宋"/>
          <w:sz w:val="30"/>
          <w:szCs w:val="30"/>
          <w:highlight w:val="none"/>
          <w:lang w:val="en-US" w:eastAsia="zh-CN"/>
        </w:rPr>
      </w:pPr>
      <w:r>
        <w:rPr>
          <w:rFonts w:hint="default" w:ascii="仿宋" w:hAnsi="仿宋" w:eastAsia="仿宋" w:cs="仿宋"/>
          <w:sz w:val="30"/>
          <w:szCs w:val="30"/>
          <w:highlight w:val="none"/>
          <w:lang w:val="en-US" w:eastAsia="zh-CN"/>
        </w:rPr>
        <w:t>（8）雾化器整机电仪保护检查及接线紧固。</w:t>
      </w:r>
    </w:p>
    <w:p w14:paraId="3B6429CF">
      <w:pPr>
        <w:pStyle w:val="12"/>
        <w:numPr>
          <w:ilvl w:val="0"/>
          <w:numId w:val="0"/>
        </w:numPr>
        <w:snapToGrid/>
        <w:spacing w:line="360" w:lineRule="auto"/>
        <w:ind w:firstLine="600" w:firstLineChars="200"/>
        <w:rPr>
          <w:rFonts w:hint="default" w:ascii="仿宋" w:hAnsi="仿宋" w:eastAsia="仿宋" w:cs="仿宋"/>
          <w:sz w:val="30"/>
          <w:szCs w:val="30"/>
          <w:highlight w:val="none"/>
          <w:lang w:val="en-US" w:eastAsia="zh-CN"/>
        </w:rPr>
      </w:pPr>
      <w:r>
        <w:rPr>
          <w:rFonts w:hint="default" w:ascii="仿宋" w:hAnsi="仿宋" w:eastAsia="仿宋" w:cs="仿宋"/>
          <w:sz w:val="30"/>
          <w:szCs w:val="30"/>
          <w:highlight w:val="none"/>
          <w:lang w:val="en-US" w:eastAsia="zh-CN"/>
        </w:rPr>
        <w:t>（9）雾化盘磨损度检查评估，磨损喷嘴更换。</w:t>
      </w:r>
    </w:p>
    <w:p w14:paraId="2DE3D950">
      <w:pPr>
        <w:pStyle w:val="12"/>
        <w:numPr>
          <w:ilvl w:val="0"/>
          <w:numId w:val="0"/>
        </w:numPr>
        <w:snapToGrid/>
        <w:spacing w:line="360" w:lineRule="auto"/>
        <w:ind w:firstLine="600" w:firstLineChars="200"/>
        <w:rPr>
          <w:rFonts w:hint="default" w:ascii="仿宋" w:hAnsi="仿宋" w:eastAsia="仿宋" w:cs="仿宋"/>
          <w:sz w:val="30"/>
          <w:szCs w:val="30"/>
          <w:highlight w:val="none"/>
          <w:lang w:val="en-US" w:eastAsia="zh-CN"/>
        </w:rPr>
      </w:pPr>
      <w:r>
        <w:rPr>
          <w:rFonts w:hint="default" w:ascii="仿宋" w:hAnsi="仿宋" w:eastAsia="仿宋" w:cs="仿宋"/>
          <w:sz w:val="30"/>
          <w:szCs w:val="30"/>
          <w:highlight w:val="none"/>
          <w:lang w:val="en-US" w:eastAsia="zh-CN"/>
        </w:rPr>
        <w:t>（10）主轴同心度检测。</w:t>
      </w:r>
    </w:p>
    <w:p w14:paraId="34857B6B">
      <w:pPr>
        <w:pStyle w:val="12"/>
        <w:numPr>
          <w:ilvl w:val="0"/>
          <w:numId w:val="0"/>
        </w:numPr>
        <w:snapToGrid/>
        <w:spacing w:line="360" w:lineRule="auto"/>
        <w:ind w:firstLine="600" w:firstLineChars="200"/>
        <w:rPr>
          <w:rFonts w:hint="default" w:ascii="仿宋" w:hAnsi="仿宋" w:eastAsia="仿宋" w:cs="仿宋"/>
          <w:sz w:val="30"/>
          <w:szCs w:val="30"/>
          <w:highlight w:val="none"/>
          <w:lang w:val="en-US" w:eastAsia="zh-CN"/>
        </w:rPr>
      </w:pPr>
      <w:r>
        <w:rPr>
          <w:rFonts w:hint="default" w:ascii="仿宋" w:hAnsi="仿宋" w:eastAsia="仿宋" w:cs="仿宋"/>
          <w:sz w:val="30"/>
          <w:szCs w:val="30"/>
          <w:highlight w:val="none"/>
          <w:lang w:val="en-US" w:eastAsia="zh-CN"/>
        </w:rPr>
        <w:t>（11）雾化器进浆管内壁清理。</w:t>
      </w:r>
    </w:p>
    <w:p w14:paraId="714DF17B">
      <w:pPr>
        <w:pStyle w:val="12"/>
        <w:numPr>
          <w:ilvl w:val="0"/>
          <w:numId w:val="0"/>
        </w:numPr>
        <w:snapToGrid/>
        <w:spacing w:line="360" w:lineRule="auto"/>
        <w:ind w:firstLine="600" w:firstLineChars="200"/>
        <w:rPr>
          <w:rFonts w:hint="default" w:ascii="仿宋" w:hAnsi="仿宋" w:eastAsia="仿宋" w:cs="仿宋"/>
          <w:sz w:val="30"/>
          <w:szCs w:val="30"/>
          <w:highlight w:val="none"/>
          <w:lang w:val="en-US" w:eastAsia="zh-CN"/>
        </w:rPr>
      </w:pPr>
      <w:r>
        <w:rPr>
          <w:rFonts w:hint="default" w:ascii="仿宋" w:hAnsi="仿宋" w:eastAsia="仿宋" w:cs="仿宋"/>
          <w:sz w:val="30"/>
          <w:szCs w:val="30"/>
          <w:highlight w:val="none"/>
          <w:lang w:val="en-US" w:eastAsia="zh-CN"/>
        </w:rPr>
        <w:t>（12）雾化器冷油器散热片检查有无渗漏。</w:t>
      </w:r>
    </w:p>
    <w:p w14:paraId="776F9CE8">
      <w:pPr>
        <w:pStyle w:val="12"/>
        <w:numPr>
          <w:ilvl w:val="0"/>
          <w:numId w:val="0"/>
        </w:numPr>
        <w:snapToGrid/>
        <w:spacing w:line="360" w:lineRule="auto"/>
        <w:ind w:firstLine="600" w:firstLineChars="200"/>
        <w:rPr>
          <w:rFonts w:hint="default"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t>（二）</w:t>
      </w:r>
      <w:r>
        <w:rPr>
          <w:rFonts w:hint="default" w:ascii="仿宋" w:hAnsi="仿宋" w:eastAsia="仿宋" w:cs="仿宋"/>
          <w:sz w:val="30"/>
          <w:szCs w:val="30"/>
          <w:highlight w:val="none"/>
          <w:lang w:val="en-US" w:eastAsia="zh-CN"/>
        </w:rPr>
        <w:t>保养过程中如果发现合同外其他部件需要更换或返厂修复的经确认同意后再另行申请核价，经审批通过后执行</w:t>
      </w:r>
      <w:r>
        <w:rPr>
          <w:rFonts w:hint="eastAsia" w:ascii="仿宋" w:hAnsi="仿宋" w:eastAsia="仿宋" w:cs="仿宋"/>
          <w:sz w:val="30"/>
          <w:szCs w:val="30"/>
          <w:highlight w:val="none"/>
          <w:lang w:val="en-US" w:eastAsia="zh-CN"/>
        </w:rPr>
        <w:t>。</w:t>
      </w:r>
    </w:p>
    <w:p w14:paraId="726C6CF1">
      <w:pPr>
        <w:pStyle w:val="12"/>
        <w:numPr>
          <w:ilvl w:val="0"/>
          <w:numId w:val="0"/>
        </w:numPr>
        <w:snapToGrid/>
        <w:spacing w:line="360" w:lineRule="auto"/>
        <w:ind w:firstLine="600" w:firstLineChars="200"/>
        <w:rPr>
          <w:rFonts w:hint="eastAsia" w:ascii="仿宋" w:hAnsi="仿宋" w:eastAsia="仿宋" w:cs="仿宋"/>
          <w:sz w:val="30"/>
          <w:szCs w:val="30"/>
          <w:highlight w:val="none"/>
        </w:rPr>
      </w:pPr>
      <w:r>
        <w:rPr>
          <w:rFonts w:hint="eastAsia" w:ascii="仿宋" w:hAnsi="仿宋" w:eastAsia="仿宋" w:cs="仿宋"/>
          <w:sz w:val="30"/>
          <w:szCs w:val="30"/>
          <w:highlight w:val="none"/>
          <w:lang w:val="en-US" w:eastAsia="zh-CN"/>
        </w:rPr>
        <w:t>5.</w:t>
      </w:r>
      <w:r>
        <w:rPr>
          <w:rFonts w:hint="eastAsia" w:ascii="仿宋" w:hAnsi="仿宋" w:eastAsia="仿宋" w:cs="仿宋"/>
          <w:sz w:val="30"/>
          <w:szCs w:val="30"/>
          <w:highlight w:val="none"/>
        </w:rPr>
        <w:t>本项目采购总金额限价为</w:t>
      </w:r>
      <w:r>
        <w:rPr>
          <w:rFonts w:hint="eastAsia" w:ascii="仿宋" w:hAnsi="仿宋" w:eastAsia="仿宋" w:cs="仿宋"/>
          <w:sz w:val="30"/>
          <w:szCs w:val="30"/>
          <w:highlight w:val="none"/>
          <w:lang w:eastAsia="zh-CN"/>
        </w:rPr>
        <w:t>人民币31</w:t>
      </w:r>
      <w:r>
        <w:rPr>
          <w:rFonts w:hint="eastAsia" w:ascii="仿宋" w:hAnsi="仿宋" w:eastAsia="仿宋" w:cs="仿宋"/>
          <w:sz w:val="30"/>
          <w:szCs w:val="30"/>
          <w:highlight w:val="none"/>
          <w:lang w:val="en-US" w:eastAsia="zh-CN"/>
        </w:rPr>
        <w:t>万</w:t>
      </w:r>
      <w:r>
        <w:rPr>
          <w:rFonts w:hint="eastAsia" w:ascii="仿宋" w:hAnsi="仿宋" w:eastAsia="仿宋" w:cs="仿宋"/>
          <w:sz w:val="30"/>
          <w:szCs w:val="30"/>
          <w:highlight w:val="none"/>
        </w:rPr>
        <w:t>元。</w:t>
      </w:r>
    </w:p>
    <w:p w14:paraId="7BFF74CF">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outlineLvl w:val="1"/>
        <w:rPr>
          <w:rFonts w:hint="eastAsia" w:ascii="仿宋_GB2312" w:eastAsia="仿宋_GB2312"/>
          <w:b/>
          <w:bCs/>
          <w:sz w:val="30"/>
          <w:szCs w:val="30"/>
          <w:highlight w:val="none"/>
          <w:lang w:eastAsia="zh-CN"/>
        </w:rPr>
      </w:pPr>
      <w:r>
        <w:rPr>
          <w:rFonts w:hint="eastAsia" w:ascii="仿宋_GB2312" w:eastAsia="仿宋_GB2312"/>
          <w:b/>
          <w:bCs/>
          <w:sz w:val="30"/>
          <w:szCs w:val="30"/>
          <w:highlight w:val="none"/>
          <w:lang w:eastAsia="zh-CN"/>
        </w:rPr>
        <w:t>二、报价人要求。</w:t>
      </w:r>
    </w:p>
    <w:p w14:paraId="3A28D202">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highlight w:val="none"/>
          <w:lang w:eastAsia="zh-CN"/>
        </w:rPr>
      </w:pPr>
      <w:r>
        <w:rPr>
          <w:rFonts w:hint="eastAsia" w:ascii="仿宋" w:hAnsi="仿宋" w:eastAsia="仿宋" w:cs="仿宋"/>
          <w:sz w:val="30"/>
          <w:szCs w:val="30"/>
          <w:highlight w:val="none"/>
          <w:lang w:val="en-US" w:eastAsia="zh-CN"/>
        </w:rPr>
        <w:t>1.报价人必须是在中华人民共和国境内注册，具有独立法人资格和独立承担民事责任的能力；投标人经营范围须包含相关的销售资质。</w:t>
      </w:r>
    </w:p>
    <w:p w14:paraId="2DFB282D">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rPr>
      </w:pPr>
      <w:r>
        <w:rPr>
          <w:rFonts w:hint="eastAsia" w:ascii="仿宋" w:hAnsi="仿宋" w:eastAsia="仿宋" w:cs="仿宋"/>
          <w:sz w:val="30"/>
          <w:szCs w:val="30"/>
        </w:rPr>
        <w:t>2.</w:t>
      </w:r>
      <w:r>
        <w:rPr>
          <w:rFonts w:hint="eastAsia" w:ascii="仿宋" w:hAnsi="仿宋" w:eastAsia="仿宋" w:cs="仿宋"/>
          <w:sz w:val="30"/>
          <w:szCs w:val="30"/>
          <w:lang w:eastAsia="zh-CN"/>
        </w:rPr>
        <w:t>报价人</w:t>
      </w:r>
      <w:r>
        <w:rPr>
          <w:rFonts w:hint="eastAsia" w:ascii="仿宋" w:hAnsi="仿宋" w:eastAsia="仿宋" w:cs="仿宋"/>
          <w:sz w:val="30"/>
          <w:szCs w:val="30"/>
        </w:rPr>
        <w:t>在“信用中国”（www.creditchina.gov.cn）、中国政府采购网（www.ccgp.gov.cn）等</w:t>
      </w:r>
      <w:r>
        <w:rPr>
          <w:rFonts w:hint="eastAsia" w:ascii="仿宋" w:hAnsi="仿宋" w:eastAsia="仿宋" w:cs="仿宋"/>
          <w:sz w:val="30"/>
          <w:szCs w:val="30"/>
          <w:lang w:eastAsia="zh-CN"/>
        </w:rPr>
        <w:t>其他</w:t>
      </w:r>
      <w:r>
        <w:rPr>
          <w:rFonts w:hint="eastAsia" w:ascii="仿宋" w:hAnsi="仿宋" w:eastAsia="仿宋" w:cs="仿宋"/>
          <w:sz w:val="30"/>
          <w:szCs w:val="30"/>
        </w:rPr>
        <w:t>官方网站没有被列入失信被执行人、重大税收违法案件当事人名单、政府采购严重违法失信行为记录名单、有责合同纠纷、重点关注名单、黑名单等不良记录；</w:t>
      </w:r>
    </w:p>
    <w:p w14:paraId="23F826D1">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 xml:space="preserve">3.报价单位负责人为同一人或者存在控股、管理关系的不同单位，不得同时参加本项目。  </w:t>
      </w:r>
    </w:p>
    <w:p w14:paraId="579EE6A5">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outlineLvl w:val="1"/>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4.</w:t>
      </w:r>
      <w:bookmarkStart w:id="7" w:name="_Toc530583922"/>
      <w:bookmarkStart w:id="8" w:name="_Toc530583879"/>
      <w:bookmarkStart w:id="9" w:name="_Toc530583923"/>
      <w:bookmarkStart w:id="10" w:name="_Toc530583880"/>
      <w:r>
        <w:rPr>
          <w:rFonts w:hint="eastAsia" w:ascii="仿宋" w:hAnsi="仿宋" w:eastAsia="仿宋" w:cs="仿宋"/>
          <w:sz w:val="30"/>
          <w:szCs w:val="30"/>
          <w:lang w:val="en-US" w:eastAsia="zh-CN"/>
        </w:rPr>
        <w:t>本项目不接受联合体报价，不接受分包。</w:t>
      </w:r>
    </w:p>
    <w:p w14:paraId="2E704592">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outlineLvl w:val="1"/>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5.报价人须提供近三年(2023年1月1日(含)至今)具有2个类似业绩(提供服务合同证明，包括但不限于合同首页、合同价格页、合同范围及规模、签字盖章页等内容的证明材料，页面清晰无信息遮蔽，时间以合同签订时间为准)。</w:t>
      </w:r>
    </w:p>
    <w:p w14:paraId="31202C61">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outlineLvl w:val="1"/>
        <w:rPr>
          <w:rFonts w:hint="eastAsia" w:ascii="仿宋_GB2312" w:eastAsia="仿宋_GB2312"/>
          <w:b/>
          <w:bCs/>
          <w:sz w:val="30"/>
          <w:szCs w:val="30"/>
        </w:rPr>
      </w:pPr>
      <w:r>
        <w:rPr>
          <w:rFonts w:hint="eastAsia" w:ascii="仿宋_GB2312" w:eastAsia="仿宋_GB2312"/>
          <w:b/>
          <w:bCs/>
          <w:sz w:val="30"/>
          <w:szCs w:val="30"/>
          <w:lang w:eastAsia="zh-CN"/>
        </w:rPr>
        <w:t>三</w:t>
      </w:r>
      <w:r>
        <w:rPr>
          <w:rFonts w:hint="eastAsia" w:ascii="仿宋_GB2312" w:eastAsia="仿宋_GB2312"/>
          <w:b/>
          <w:bCs/>
          <w:sz w:val="30"/>
          <w:szCs w:val="30"/>
        </w:rPr>
        <w:t>、</w:t>
      </w:r>
      <w:r>
        <w:rPr>
          <w:rFonts w:hint="eastAsia" w:ascii="仿宋_GB2312" w:eastAsia="仿宋_GB2312"/>
          <w:b/>
          <w:bCs/>
          <w:sz w:val="30"/>
          <w:szCs w:val="30"/>
          <w:lang w:eastAsia="zh-CN"/>
        </w:rPr>
        <w:t>开标</w:t>
      </w:r>
      <w:r>
        <w:rPr>
          <w:rFonts w:hint="eastAsia" w:ascii="仿宋_GB2312" w:eastAsia="仿宋_GB2312"/>
          <w:b/>
          <w:bCs/>
          <w:sz w:val="30"/>
          <w:szCs w:val="30"/>
        </w:rPr>
        <w:t>时间及递交方式。</w:t>
      </w:r>
    </w:p>
    <w:p w14:paraId="0AA8C9E1">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eastAsia" w:ascii="仿宋_GB2312" w:eastAsia="仿宋_GB2312"/>
          <w:sz w:val="30"/>
          <w:szCs w:val="30"/>
        </w:rPr>
      </w:pPr>
      <w:r>
        <w:rPr>
          <w:rFonts w:hint="eastAsia" w:ascii="仿宋_GB2312" w:eastAsia="仿宋_GB2312"/>
          <w:sz w:val="30"/>
          <w:szCs w:val="30"/>
        </w:rPr>
        <w:t>1.</w:t>
      </w:r>
      <w:r>
        <w:rPr>
          <w:rFonts w:hint="eastAsia" w:ascii="仿宋_GB2312" w:eastAsia="仿宋_GB2312"/>
          <w:sz w:val="30"/>
          <w:szCs w:val="30"/>
          <w:lang w:eastAsia="zh-CN"/>
        </w:rPr>
        <w:t>开标</w:t>
      </w:r>
      <w:r>
        <w:rPr>
          <w:rFonts w:hint="eastAsia" w:ascii="仿宋_GB2312" w:eastAsia="仿宋_GB2312"/>
          <w:sz w:val="30"/>
          <w:szCs w:val="30"/>
        </w:rPr>
        <w:t>时间：202</w:t>
      </w:r>
      <w:r>
        <w:rPr>
          <w:rFonts w:hint="eastAsia" w:ascii="仿宋_GB2312" w:eastAsia="仿宋_GB2312"/>
          <w:sz w:val="30"/>
          <w:szCs w:val="30"/>
          <w:lang w:val="en-US" w:eastAsia="zh-CN"/>
        </w:rPr>
        <w:t>6</w:t>
      </w:r>
      <w:r>
        <w:rPr>
          <w:rFonts w:hint="eastAsia" w:ascii="仿宋_GB2312" w:eastAsia="仿宋_GB2312"/>
          <w:sz w:val="30"/>
          <w:szCs w:val="30"/>
        </w:rPr>
        <w:t>年</w:t>
      </w:r>
      <w:r>
        <w:rPr>
          <w:rFonts w:hint="eastAsia" w:ascii="仿宋_GB2312" w:eastAsia="仿宋_GB2312"/>
          <w:sz w:val="30"/>
          <w:szCs w:val="30"/>
          <w:lang w:val="en-US" w:eastAsia="zh-CN"/>
        </w:rPr>
        <w:t>11月6</w:t>
      </w:r>
      <w:r>
        <w:rPr>
          <w:rFonts w:hint="eastAsia" w:ascii="仿宋_GB2312" w:eastAsia="仿宋_GB2312"/>
          <w:sz w:val="30"/>
          <w:szCs w:val="30"/>
        </w:rPr>
        <w:t>日。</w:t>
      </w:r>
    </w:p>
    <w:p w14:paraId="413918B7">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eastAsia" w:ascii="仿宋_GB2312" w:eastAsia="仿宋_GB2312"/>
          <w:sz w:val="30"/>
          <w:szCs w:val="30"/>
        </w:rPr>
      </w:pPr>
      <w:r>
        <w:rPr>
          <w:rFonts w:hint="eastAsia" w:ascii="仿宋_GB2312" w:eastAsia="仿宋_GB2312"/>
          <w:sz w:val="30"/>
          <w:szCs w:val="30"/>
        </w:rPr>
        <w:t>2.</w:t>
      </w:r>
      <w:r>
        <w:rPr>
          <w:rFonts w:hint="eastAsia" w:ascii="仿宋_GB2312" w:eastAsia="仿宋_GB2312"/>
          <w:sz w:val="30"/>
          <w:szCs w:val="30"/>
          <w:lang w:eastAsia="zh-CN"/>
        </w:rPr>
        <w:t>开标</w:t>
      </w:r>
      <w:r>
        <w:rPr>
          <w:rFonts w:hint="eastAsia" w:ascii="仿宋_GB2312" w:eastAsia="仿宋_GB2312"/>
          <w:sz w:val="30"/>
          <w:szCs w:val="30"/>
        </w:rPr>
        <w:t>地点：</w:t>
      </w:r>
      <w:r>
        <w:rPr>
          <w:rFonts w:hint="eastAsia" w:ascii="仿宋_GB2312" w:eastAsia="仿宋_GB2312"/>
          <w:sz w:val="30"/>
          <w:szCs w:val="30"/>
          <w:lang w:eastAsia="zh-CN"/>
        </w:rPr>
        <w:t>浙江省绍兴市柯桥区钱滨线二线海塘绍兴市再生能源发展有限公司。</w:t>
      </w:r>
    </w:p>
    <w:p w14:paraId="00939C8F">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eastAsia" w:ascii="仿宋_GB2312" w:eastAsia="仿宋_GB2312"/>
          <w:sz w:val="30"/>
          <w:szCs w:val="30"/>
        </w:rPr>
      </w:pPr>
      <w:r>
        <w:rPr>
          <w:rFonts w:hint="eastAsia" w:ascii="仿宋_GB2312" w:eastAsia="仿宋_GB2312"/>
          <w:sz w:val="30"/>
          <w:szCs w:val="30"/>
        </w:rPr>
        <w:t>3.报价文件的递交：</w:t>
      </w:r>
    </w:p>
    <w:p w14:paraId="33FF4D88">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default" w:ascii="仿宋_GB2312" w:eastAsia="仿宋_GB2312"/>
          <w:b/>
          <w:bCs/>
          <w:sz w:val="30"/>
          <w:szCs w:val="30"/>
          <w:lang w:val="en-US" w:eastAsia="zh-CN"/>
        </w:rPr>
      </w:pPr>
      <w:r>
        <w:rPr>
          <w:rFonts w:hint="eastAsia" w:ascii="仿宋_GB2312" w:eastAsia="仿宋_GB2312"/>
          <w:sz w:val="30"/>
          <w:szCs w:val="30"/>
          <w:lang w:eastAsia="zh-CN"/>
        </w:rPr>
        <w:t>（</w:t>
      </w:r>
      <w:r>
        <w:rPr>
          <w:rFonts w:hint="eastAsia" w:ascii="仿宋_GB2312" w:eastAsia="仿宋_GB2312"/>
          <w:sz w:val="30"/>
          <w:szCs w:val="30"/>
          <w:lang w:val="en-US" w:eastAsia="zh-CN"/>
        </w:rPr>
        <w:t>1</w:t>
      </w:r>
      <w:r>
        <w:rPr>
          <w:rFonts w:hint="eastAsia" w:ascii="仿宋_GB2312" w:eastAsia="仿宋_GB2312"/>
          <w:sz w:val="30"/>
          <w:szCs w:val="30"/>
          <w:lang w:eastAsia="zh-CN"/>
        </w:rPr>
        <w:t>）本次询价开标采用线</w:t>
      </w:r>
      <w:r>
        <w:rPr>
          <w:rFonts w:hint="eastAsia" w:ascii="仿宋_GB2312" w:eastAsia="仿宋_GB2312"/>
          <w:sz w:val="30"/>
          <w:szCs w:val="30"/>
          <w:lang w:val="en-US" w:eastAsia="zh-CN"/>
        </w:rPr>
        <w:t>下开标</w:t>
      </w:r>
      <w:r>
        <w:rPr>
          <w:rFonts w:hint="eastAsia" w:ascii="仿宋_GB2312" w:eastAsia="仿宋_GB2312"/>
          <w:sz w:val="30"/>
          <w:szCs w:val="30"/>
          <w:lang w:eastAsia="zh-CN"/>
        </w:rPr>
        <w:t>方式，报价人需在开标时间前将报价文件递交至绍兴市再生能源发展有限公司综合楼一楼投标箱。报价人可</w:t>
      </w:r>
      <w:r>
        <w:rPr>
          <w:rFonts w:hint="eastAsia" w:ascii="仿宋_GB2312" w:eastAsia="仿宋_GB2312"/>
          <w:sz w:val="30"/>
          <w:szCs w:val="30"/>
        </w:rPr>
        <w:t>现场提交</w:t>
      </w:r>
      <w:r>
        <w:rPr>
          <w:rFonts w:hint="eastAsia" w:ascii="仿宋_GB2312" w:eastAsia="仿宋_GB2312"/>
          <w:sz w:val="30"/>
          <w:szCs w:val="30"/>
          <w:lang w:eastAsia="zh-CN"/>
        </w:rPr>
        <w:t>报价</w:t>
      </w:r>
      <w:r>
        <w:rPr>
          <w:rFonts w:hint="eastAsia" w:ascii="仿宋_GB2312" w:eastAsia="仿宋_GB2312"/>
          <w:sz w:val="30"/>
          <w:szCs w:val="30"/>
        </w:rPr>
        <w:t>文件</w:t>
      </w:r>
      <w:r>
        <w:rPr>
          <w:rFonts w:hint="eastAsia" w:ascii="仿宋_GB2312" w:eastAsia="仿宋_GB2312"/>
          <w:sz w:val="30"/>
          <w:szCs w:val="30"/>
          <w:lang w:eastAsia="zh-CN"/>
        </w:rPr>
        <w:t>，也可以通过邮寄（快递）递交报价文件，</w:t>
      </w:r>
      <w:r>
        <w:rPr>
          <w:rFonts w:hint="eastAsia" w:ascii="仿宋" w:hAnsi="仿宋" w:eastAsia="仿宋" w:cs="仿宋"/>
          <w:color w:val="auto"/>
          <w:sz w:val="30"/>
          <w:szCs w:val="30"/>
          <w:highlight w:val="none"/>
          <w:lang w:eastAsia="zh-CN"/>
        </w:rPr>
        <w:t>报价人在报价文件寄出后，应将邮寄信息及时反馈给采购人收件人。</w:t>
      </w:r>
    </w:p>
    <w:p w14:paraId="2F8A8478">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default" w:ascii="仿宋_GB2312" w:eastAsia="仿宋_GB2312"/>
          <w:sz w:val="30"/>
          <w:szCs w:val="30"/>
          <w:lang w:val="en-US" w:eastAsia="zh-CN"/>
        </w:rPr>
      </w:pPr>
      <w:r>
        <w:rPr>
          <w:rFonts w:hint="eastAsia" w:ascii="仿宋_GB2312" w:eastAsia="仿宋_GB2312"/>
          <w:sz w:val="30"/>
          <w:szCs w:val="30"/>
          <w:lang w:eastAsia="zh-CN"/>
        </w:rPr>
        <w:t>（</w:t>
      </w:r>
      <w:r>
        <w:rPr>
          <w:rFonts w:hint="eastAsia" w:ascii="仿宋_GB2312" w:eastAsia="仿宋_GB2312"/>
          <w:sz w:val="30"/>
          <w:szCs w:val="30"/>
          <w:lang w:val="en-US" w:eastAsia="zh-CN"/>
        </w:rPr>
        <w:t>2</w:t>
      </w:r>
      <w:r>
        <w:rPr>
          <w:rFonts w:hint="eastAsia" w:ascii="仿宋_GB2312" w:eastAsia="仿宋_GB2312"/>
          <w:sz w:val="30"/>
          <w:szCs w:val="30"/>
          <w:lang w:eastAsia="zh-CN"/>
        </w:rPr>
        <w:t>）</w:t>
      </w:r>
      <w:r>
        <w:rPr>
          <w:rFonts w:hint="eastAsia" w:ascii="仿宋_GB2312" w:eastAsia="仿宋_GB2312"/>
          <w:sz w:val="30"/>
          <w:szCs w:val="30"/>
        </w:rPr>
        <w:t>邮寄地址：</w:t>
      </w:r>
      <w:r>
        <w:rPr>
          <w:rFonts w:hint="eastAsia" w:ascii="仿宋_GB2312" w:eastAsia="仿宋_GB2312"/>
          <w:sz w:val="30"/>
          <w:szCs w:val="30"/>
          <w:lang w:eastAsia="zh-CN"/>
        </w:rPr>
        <w:t>浙江省绍兴市柯桥区钱滨线二线海塘绍兴市再生能源发展有限公司</w:t>
      </w:r>
      <w:r>
        <w:rPr>
          <w:rFonts w:hint="eastAsia" w:ascii="仿宋_GB2312" w:eastAsia="仿宋_GB2312"/>
          <w:sz w:val="30"/>
          <w:szCs w:val="30"/>
        </w:rPr>
        <w:t>  </w:t>
      </w:r>
      <w:r>
        <w:rPr>
          <w:rFonts w:hint="eastAsia" w:ascii="仿宋_GB2312" w:eastAsia="仿宋_GB2312"/>
          <w:sz w:val="30"/>
          <w:szCs w:val="30"/>
          <w:lang w:eastAsia="zh-CN"/>
        </w:rPr>
        <w:t xml:space="preserve"> 采购供应部 </w:t>
      </w:r>
      <w:r>
        <w:rPr>
          <w:rFonts w:hint="eastAsia" w:ascii="仿宋_GB2312" w:eastAsia="仿宋_GB2312"/>
          <w:sz w:val="30"/>
          <w:szCs w:val="30"/>
          <w:lang w:val="en-US" w:eastAsia="zh-CN"/>
        </w:rPr>
        <w:t>0575-85791913</w:t>
      </w:r>
    </w:p>
    <w:p w14:paraId="28DF5BA6">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eastAsia" w:ascii="仿宋_GB2312" w:eastAsia="仿宋_GB2312"/>
          <w:sz w:val="30"/>
          <w:szCs w:val="30"/>
        </w:rPr>
      </w:pPr>
      <w:r>
        <w:rPr>
          <w:rFonts w:hint="eastAsia" w:ascii="仿宋_GB2312" w:eastAsia="仿宋_GB2312"/>
          <w:sz w:val="30"/>
          <w:szCs w:val="30"/>
          <w:lang w:eastAsia="zh-CN"/>
        </w:rPr>
        <w:t>（</w:t>
      </w:r>
      <w:r>
        <w:rPr>
          <w:rFonts w:hint="eastAsia" w:ascii="仿宋_GB2312" w:eastAsia="仿宋_GB2312"/>
          <w:sz w:val="30"/>
          <w:szCs w:val="30"/>
          <w:lang w:val="en-US" w:eastAsia="zh-CN"/>
        </w:rPr>
        <w:t>3</w:t>
      </w:r>
      <w:r>
        <w:rPr>
          <w:rFonts w:hint="eastAsia" w:ascii="仿宋_GB2312" w:eastAsia="仿宋_GB2312"/>
          <w:sz w:val="30"/>
          <w:szCs w:val="30"/>
          <w:lang w:eastAsia="zh-CN"/>
        </w:rPr>
        <w:t>）</w:t>
      </w:r>
      <w:r>
        <w:rPr>
          <w:rFonts w:hint="eastAsia" w:ascii="仿宋_GB2312" w:eastAsia="仿宋_GB2312"/>
          <w:sz w:val="30"/>
          <w:szCs w:val="30"/>
        </w:rPr>
        <w:t>报价文件邮寄封装要求：</w:t>
      </w:r>
      <w:r>
        <w:rPr>
          <w:rFonts w:hint="eastAsia" w:ascii="仿宋_GB2312" w:eastAsia="仿宋_GB2312"/>
          <w:sz w:val="30"/>
          <w:szCs w:val="30"/>
          <w:lang w:eastAsia="zh-CN"/>
        </w:rPr>
        <w:t>报价人</w:t>
      </w:r>
      <w:r>
        <w:rPr>
          <w:rFonts w:hint="eastAsia" w:ascii="仿宋_GB2312" w:eastAsia="仿宋_GB2312"/>
          <w:sz w:val="30"/>
          <w:szCs w:val="30"/>
        </w:rPr>
        <w:t>除按照文件要求封装报价文件外，还需在快递外包装上醒目注明项目名称、</w:t>
      </w:r>
      <w:r>
        <w:rPr>
          <w:rFonts w:hint="eastAsia" w:ascii="仿宋_GB2312" w:eastAsia="仿宋_GB2312"/>
          <w:sz w:val="30"/>
          <w:szCs w:val="30"/>
          <w:lang w:eastAsia="zh-CN"/>
        </w:rPr>
        <w:t>询价</w:t>
      </w:r>
      <w:r>
        <w:rPr>
          <w:rFonts w:hint="eastAsia" w:ascii="仿宋_GB2312" w:eastAsia="仿宋_GB2312"/>
          <w:sz w:val="30"/>
          <w:szCs w:val="30"/>
        </w:rPr>
        <w:t>编号，且注明报价人联系人、联系人电话；快递包装务必牢固可靠，因包装原因出现影响</w:t>
      </w:r>
      <w:r>
        <w:rPr>
          <w:rFonts w:hint="eastAsia" w:ascii="仿宋_GB2312" w:eastAsia="仿宋_GB2312"/>
          <w:sz w:val="30"/>
          <w:szCs w:val="30"/>
          <w:lang w:val="en-US" w:eastAsia="zh-CN"/>
        </w:rPr>
        <w:t>报价</w:t>
      </w:r>
      <w:r>
        <w:rPr>
          <w:rFonts w:hint="eastAsia" w:ascii="仿宋_GB2312" w:eastAsia="仿宋_GB2312"/>
          <w:sz w:val="30"/>
          <w:szCs w:val="30"/>
        </w:rPr>
        <w:t>文件完整性、密封性等后果由</w:t>
      </w:r>
      <w:r>
        <w:rPr>
          <w:rFonts w:hint="eastAsia" w:ascii="仿宋_GB2312" w:eastAsia="仿宋_GB2312"/>
          <w:sz w:val="30"/>
          <w:szCs w:val="30"/>
          <w:lang w:eastAsia="zh-CN"/>
        </w:rPr>
        <w:t>报价人</w:t>
      </w:r>
      <w:r>
        <w:rPr>
          <w:rFonts w:hint="eastAsia" w:ascii="仿宋_GB2312" w:eastAsia="仿宋_GB2312"/>
          <w:sz w:val="30"/>
          <w:szCs w:val="30"/>
        </w:rPr>
        <w:t>自行负责。</w:t>
      </w:r>
      <w:r>
        <w:rPr>
          <w:rFonts w:hint="eastAsia" w:ascii="仿宋_GB2312" w:eastAsia="仿宋_GB2312"/>
          <w:color w:val="FF0000"/>
          <w:sz w:val="30"/>
          <w:szCs w:val="30"/>
          <w:lang w:val="en-US" w:eastAsia="zh-CN"/>
        </w:rPr>
        <w:t>本招标文件内有资质要求，报价人需另行分装报价资格一览表，封装方式需与报价文件相同，且需在快递包装上醒目注明报价资格表、项目名称、询价编号，报价人联系人、联系人电话。</w:t>
      </w:r>
    </w:p>
    <w:p w14:paraId="69476E1C">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eastAsia" w:ascii="仿宋_GB2312" w:eastAsia="仿宋_GB2312"/>
          <w:sz w:val="30"/>
          <w:szCs w:val="30"/>
        </w:rPr>
      </w:pPr>
      <w:r>
        <w:rPr>
          <w:rFonts w:hint="eastAsia" w:ascii="仿宋_GB2312" w:eastAsia="仿宋_GB2312"/>
          <w:sz w:val="30"/>
          <w:szCs w:val="30"/>
          <w:lang w:eastAsia="zh-CN"/>
        </w:rPr>
        <w:t>（</w:t>
      </w:r>
      <w:r>
        <w:rPr>
          <w:rFonts w:hint="eastAsia" w:ascii="仿宋_GB2312" w:eastAsia="仿宋_GB2312"/>
          <w:sz w:val="30"/>
          <w:szCs w:val="30"/>
          <w:lang w:val="en-US" w:eastAsia="zh-CN"/>
        </w:rPr>
        <w:t>4</w:t>
      </w:r>
      <w:r>
        <w:rPr>
          <w:rFonts w:hint="eastAsia" w:ascii="仿宋_GB2312" w:eastAsia="仿宋_GB2312"/>
          <w:sz w:val="30"/>
          <w:szCs w:val="30"/>
          <w:lang w:eastAsia="zh-CN"/>
        </w:rPr>
        <w:t>）</w:t>
      </w:r>
      <w:r>
        <w:rPr>
          <w:rFonts w:hint="eastAsia" w:ascii="仿宋_GB2312" w:eastAsia="仿宋_GB2312"/>
          <w:sz w:val="30"/>
          <w:szCs w:val="30"/>
        </w:rPr>
        <w:t>报价文件邮递递交截止时间：截至202</w:t>
      </w:r>
      <w:r>
        <w:rPr>
          <w:rFonts w:hint="eastAsia" w:ascii="仿宋_GB2312" w:eastAsia="仿宋_GB2312"/>
          <w:sz w:val="30"/>
          <w:szCs w:val="30"/>
          <w:lang w:val="en-US" w:eastAsia="zh-CN"/>
        </w:rPr>
        <w:t>6</w:t>
      </w:r>
      <w:r>
        <w:rPr>
          <w:rFonts w:hint="eastAsia" w:ascii="仿宋_GB2312" w:eastAsia="仿宋_GB2312"/>
          <w:sz w:val="30"/>
          <w:szCs w:val="30"/>
        </w:rPr>
        <w:t>年</w:t>
      </w:r>
      <w:r>
        <w:rPr>
          <w:rFonts w:hint="eastAsia" w:ascii="仿宋_GB2312" w:eastAsia="仿宋_GB2312"/>
          <w:sz w:val="30"/>
          <w:szCs w:val="30"/>
          <w:lang w:val="en-US" w:eastAsia="zh-CN"/>
        </w:rPr>
        <w:t>11</w:t>
      </w:r>
      <w:r>
        <w:rPr>
          <w:rFonts w:hint="eastAsia" w:ascii="仿宋_GB2312" w:eastAsia="仿宋_GB2312"/>
          <w:sz w:val="30"/>
          <w:szCs w:val="30"/>
        </w:rPr>
        <w:t>月</w:t>
      </w:r>
      <w:r>
        <w:rPr>
          <w:rFonts w:hint="eastAsia" w:ascii="仿宋_GB2312" w:eastAsia="仿宋_GB2312"/>
          <w:sz w:val="30"/>
          <w:szCs w:val="30"/>
          <w:lang w:val="en-US" w:eastAsia="zh-CN"/>
        </w:rPr>
        <w:t>5</w:t>
      </w:r>
      <w:r>
        <w:rPr>
          <w:rFonts w:hint="eastAsia" w:ascii="仿宋_GB2312" w:eastAsia="仿宋_GB2312"/>
          <w:sz w:val="30"/>
          <w:szCs w:val="30"/>
        </w:rPr>
        <w:t>日，以邮寄签收时间为准，因邮寄原因导致报价文件不能如期送达等风险由</w:t>
      </w:r>
      <w:r>
        <w:rPr>
          <w:rFonts w:hint="eastAsia" w:ascii="仿宋_GB2312" w:eastAsia="仿宋_GB2312"/>
          <w:sz w:val="30"/>
          <w:szCs w:val="30"/>
          <w:lang w:eastAsia="zh-CN"/>
        </w:rPr>
        <w:t>报价人</w:t>
      </w:r>
      <w:r>
        <w:rPr>
          <w:rFonts w:hint="eastAsia" w:ascii="仿宋_GB2312" w:eastAsia="仿宋_GB2312"/>
          <w:sz w:val="30"/>
          <w:szCs w:val="30"/>
        </w:rPr>
        <w:t>自行承担。</w:t>
      </w:r>
    </w:p>
    <w:p w14:paraId="69EA963F">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outlineLvl w:val="1"/>
        <w:rPr>
          <w:rFonts w:hint="eastAsia" w:ascii="仿宋_GB2312" w:hAnsi="Times New Roman" w:eastAsia="仿宋_GB2312" w:cs="Times New Roman"/>
          <w:b/>
          <w:bCs/>
          <w:sz w:val="30"/>
          <w:szCs w:val="30"/>
          <w:lang w:val="en-US" w:eastAsia="zh-CN"/>
        </w:rPr>
      </w:pPr>
      <w:r>
        <w:rPr>
          <w:rFonts w:hint="eastAsia" w:ascii="仿宋_GB2312" w:hAnsi="Times New Roman" w:eastAsia="仿宋_GB2312" w:cs="Times New Roman"/>
          <w:b/>
          <w:bCs/>
          <w:sz w:val="30"/>
          <w:szCs w:val="30"/>
          <w:lang w:val="en-US" w:eastAsia="zh-CN"/>
        </w:rPr>
        <w:t>四、技术规范</w:t>
      </w:r>
    </w:p>
    <w:p w14:paraId="4F6C3BF4">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eastAsia" w:ascii="仿宋_GB2312" w:hAnsi="Times New Roman" w:eastAsia="仿宋_GB2312" w:cs="Times New Roman"/>
          <w:sz w:val="30"/>
          <w:szCs w:val="30"/>
          <w:lang w:val="en-US" w:eastAsia="zh-CN"/>
        </w:rPr>
      </w:pPr>
      <w:r>
        <w:rPr>
          <w:rFonts w:hint="eastAsia" w:ascii="仿宋_GB2312" w:hAnsi="Times New Roman" w:eastAsia="仿宋_GB2312" w:cs="Times New Roman"/>
          <w:sz w:val="30"/>
          <w:szCs w:val="30"/>
          <w:lang w:val="en-US" w:eastAsia="zh-CN"/>
        </w:rPr>
        <w:t>1.报价人如对询价文件中采购内容的技术规范/型号规格存在疑义，应在投标前向采购人进行咨询。开标后采购人不再回答相关问题。若报价人提供货品与供货要求不符，则由报价人自行负责。</w:t>
      </w:r>
    </w:p>
    <w:p w14:paraId="6E0CCEBB">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default" w:ascii="仿宋_GB2312" w:hAnsi="Times New Roman" w:eastAsia="仿宋_GB2312" w:cs="Times New Roman"/>
          <w:sz w:val="30"/>
          <w:szCs w:val="30"/>
          <w:lang w:val="en-US" w:eastAsia="zh-CN"/>
        </w:rPr>
      </w:pPr>
      <w:r>
        <w:rPr>
          <w:rFonts w:hint="eastAsia" w:ascii="仿宋_GB2312" w:hAnsi="Times New Roman" w:eastAsia="仿宋_GB2312" w:cs="Times New Roman"/>
          <w:sz w:val="30"/>
          <w:szCs w:val="30"/>
          <w:lang w:val="en-US" w:eastAsia="zh-CN"/>
        </w:rPr>
        <w:t>2.联系人：</w:t>
      </w:r>
      <w:r>
        <w:rPr>
          <w:rFonts w:hint="eastAsia" w:ascii="仿宋_GB2312" w:eastAsia="仿宋_GB2312" w:cs="Times New Roman"/>
          <w:sz w:val="30"/>
          <w:szCs w:val="30"/>
          <w:lang w:val="en-US" w:eastAsia="zh-CN"/>
        </w:rPr>
        <w:t>杨</w:t>
      </w:r>
      <w:r>
        <w:rPr>
          <w:rFonts w:hint="eastAsia" w:ascii="仿宋_GB2312" w:hAnsi="Times New Roman" w:eastAsia="仿宋_GB2312" w:cs="Times New Roman"/>
          <w:sz w:val="30"/>
          <w:szCs w:val="30"/>
          <w:lang w:val="en-US" w:eastAsia="zh-CN"/>
        </w:rPr>
        <w:t>工    联系电话：18</w:t>
      </w:r>
      <w:r>
        <w:rPr>
          <w:rFonts w:hint="eastAsia" w:ascii="仿宋_GB2312" w:eastAsia="仿宋_GB2312" w:cs="Times New Roman"/>
          <w:sz w:val="30"/>
          <w:szCs w:val="30"/>
          <w:lang w:val="en-US" w:eastAsia="zh-CN"/>
        </w:rPr>
        <w:t>857591913</w:t>
      </w:r>
    </w:p>
    <w:p w14:paraId="67FB8046">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outlineLvl w:val="1"/>
        <w:rPr>
          <w:rFonts w:hint="eastAsia" w:ascii="仿宋_GB2312" w:eastAsia="仿宋_GB2312"/>
          <w:b/>
          <w:bCs/>
          <w:sz w:val="30"/>
          <w:szCs w:val="30"/>
        </w:rPr>
      </w:pPr>
      <w:r>
        <w:rPr>
          <w:rFonts w:hint="eastAsia" w:ascii="仿宋_GB2312" w:eastAsia="仿宋_GB2312"/>
          <w:b/>
          <w:bCs/>
          <w:sz w:val="30"/>
          <w:szCs w:val="30"/>
          <w:lang w:eastAsia="zh-CN"/>
        </w:rPr>
        <w:t>五</w:t>
      </w:r>
      <w:r>
        <w:rPr>
          <w:rFonts w:hint="eastAsia" w:ascii="仿宋_GB2312" w:eastAsia="仿宋_GB2312"/>
          <w:b/>
          <w:bCs/>
          <w:sz w:val="30"/>
          <w:szCs w:val="30"/>
        </w:rPr>
        <w:t>、质疑。</w:t>
      </w:r>
    </w:p>
    <w:p w14:paraId="6C81090D">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eastAsia" w:ascii="仿宋_GB2312" w:eastAsia="仿宋_GB2312"/>
          <w:sz w:val="30"/>
          <w:szCs w:val="30"/>
        </w:rPr>
      </w:pPr>
      <w:r>
        <w:rPr>
          <w:rFonts w:hint="eastAsia" w:ascii="仿宋_GB2312" w:eastAsia="仿宋_GB2312"/>
          <w:sz w:val="30"/>
          <w:szCs w:val="30"/>
          <w:lang w:eastAsia="zh-CN"/>
        </w:rPr>
        <w:t>报价人</w:t>
      </w:r>
      <w:r>
        <w:rPr>
          <w:rFonts w:hint="eastAsia" w:ascii="仿宋_GB2312" w:eastAsia="仿宋_GB2312"/>
          <w:sz w:val="30"/>
          <w:szCs w:val="30"/>
        </w:rPr>
        <w:t>如认为询价文件使自身的合法权益受到损害的，应于自</w:t>
      </w:r>
      <w:r>
        <w:rPr>
          <w:rFonts w:hint="eastAsia" w:ascii="仿宋_GB2312" w:eastAsia="仿宋_GB2312"/>
          <w:sz w:val="30"/>
          <w:szCs w:val="30"/>
          <w:lang w:eastAsia="zh-CN"/>
        </w:rPr>
        <w:t>公告</w:t>
      </w:r>
      <w:r>
        <w:rPr>
          <w:rFonts w:hint="eastAsia" w:ascii="仿宋_GB2312" w:eastAsia="仿宋_GB2312"/>
          <w:sz w:val="30"/>
          <w:szCs w:val="30"/>
        </w:rPr>
        <w:t>之日起1日内以书面形式向采购人提出质疑。逾期视作无异议。</w:t>
      </w:r>
    </w:p>
    <w:p w14:paraId="483B6D10">
      <w:pPr>
        <w:keepNext w:val="0"/>
        <w:keepLines w:val="0"/>
        <w:pageBreakBefore w:val="0"/>
        <w:widowControl w:val="0"/>
        <w:numPr>
          <w:ilvl w:val="0"/>
          <w:numId w:val="3"/>
        </w:numPr>
        <w:kinsoku/>
        <w:wordWrap/>
        <w:overflowPunct/>
        <w:topLinePunct w:val="0"/>
        <w:autoSpaceDE/>
        <w:autoSpaceDN/>
        <w:bidi w:val="0"/>
        <w:adjustRightInd/>
        <w:snapToGrid w:val="0"/>
        <w:spacing w:line="360" w:lineRule="auto"/>
        <w:ind w:firstLine="585"/>
        <w:jc w:val="left"/>
        <w:textAlignment w:val="auto"/>
        <w:outlineLvl w:val="1"/>
        <w:rPr>
          <w:rFonts w:hint="eastAsia" w:ascii="仿宋_GB2312" w:eastAsia="仿宋_GB2312"/>
          <w:b/>
          <w:bCs/>
          <w:sz w:val="30"/>
          <w:szCs w:val="30"/>
          <w:lang w:eastAsia="zh-CN"/>
        </w:rPr>
      </w:pPr>
      <w:r>
        <w:rPr>
          <w:rFonts w:hint="eastAsia" w:ascii="仿宋_GB2312" w:eastAsia="仿宋_GB2312"/>
          <w:b/>
          <w:bCs/>
          <w:sz w:val="30"/>
          <w:szCs w:val="30"/>
          <w:lang w:eastAsia="zh-CN"/>
        </w:rPr>
        <w:t>其他</w:t>
      </w:r>
    </w:p>
    <w:p w14:paraId="2E58BB05">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default"/>
          <w:lang w:val="en-US" w:eastAsia="zh-CN"/>
        </w:rPr>
      </w:pPr>
      <w:r>
        <w:rPr>
          <w:rFonts w:hint="eastAsia" w:ascii="仿宋_GB2312" w:hAnsi="Times New Roman" w:eastAsia="仿宋_GB2312" w:cs="Times New Roman"/>
          <w:sz w:val="30"/>
          <w:szCs w:val="30"/>
          <w:lang w:val="en-US" w:eastAsia="zh-CN"/>
        </w:rPr>
        <w:t>本项目未委托任何招标代理进行对外询价，且禁止第三方平台用于相关经济项目活动。若未经本公司授权，直接对本项目进行二次利用，产生的相关纠纷，本公司保留追责权利。</w:t>
      </w:r>
    </w:p>
    <w:p w14:paraId="62C16CA8">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outlineLvl w:val="1"/>
        <w:rPr>
          <w:rFonts w:hint="eastAsia" w:ascii="仿宋_GB2312" w:eastAsia="仿宋_GB2312"/>
          <w:sz w:val="30"/>
          <w:szCs w:val="30"/>
        </w:rPr>
      </w:pPr>
      <w:r>
        <w:rPr>
          <w:rFonts w:hint="eastAsia" w:ascii="仿宋_GB2312" w:eastAsia="仿宋_GB2312"/>
          <w:b/>
          <w:bCs/>
          <w:sz w:val="30"/>
          <w:szCs w:val="30"/>
          <w:lang w:eastAsia="zh-CN"/>
        </w:rPr>
        <w:t>七</w:t>
      </w:r>
      <w:r>
        <w:rPr>
          <w:rFonts w:hint="eastAsia" w:ascii="仿宋_GB2312" w:eastAsia="仿宋_GB2312"/>
          <w:b/>
          <w:bCs/>
          <w:sz w:val="30"/>
          <w:szCs w:val="30"/>
        </w:rPr>
        <w:t>、监督部门</w:t>
      </w:r>
      <w:r>
        <w:rPr>
          <w:rFonts w:hint="eastAsia" w:ascii="仿宋_GB2312" w:eastAsia="仿宋_GB2312"/>
          <w:b/>
          <w:bCs/>
          <w:sz w:val="30"/>
          <w:szCs w:val="30"/>
          <w:lang w:val="en-US" w:eastAsia="zh-CN"/>
        </w:rPr>
        <w:t xml:space="preserve">  </w:t>
      </w:r>
      <w:r>
        <w:rPr>
          <w:rFonts w:hint="eastAsia" w:ascii="仿宋_GB2312" w:hAnsi="Times New Roman" w:eastAsia="仿宋_GB2312" w:cs="Times New Roman"/>
          <w:sz w:val="30"/>
          <w:szCs w:val="30"/>
          <w:lang w:val="en-US" w:eastAsia="zh-CN"/>
        </w:rPr>
        <w:t>联系电话：</w:t>
      </w:r>
      <w:r>
        <w:rPr>
          <w:rFonts w:hint="eastAsia" w:ascii="仿宋_GB2312" w:eastAsia="仿宋_GB2312" w:cs="Times New Roman"/>
          <w:color w:val="auto"/>
          <w:sz w:val="30"/>
          <w:szCs w:val="30"/>
          <w:lang w:val="en-US" w:eastAsia="zh-CN"/>
        </w:rPr>
        <w:t>0575-85791902</w:t>
      </w:r>
    </w:p>
    <w:p w14:paraId="7336D46D">
      <w:pPr>
        <w:keepNext w:val="0"/>
        <w:keepLines w:val="0"/>
        <w:pageBreakBefore w:val="0"/>
        <w:widowControl w:val="0"/>
        <w:kinsoku/>
        <w:wordWrap/>
        <w:overflowPunct/>
        <w:topLinePunct w:val="0"/>
        <w:autoSpaceDE/>
        <w:autoSpaceDN/>
        <w:bidi w:val="0"/>
        <w:adjustRightInd/>
        <w:snapToGrid w:val="0"/>
        <w:spacing w:line="360" w:lineRule="auto"/>
        <w:ind w:firstLine="585"/>
        <w:jc w:val="right"/>
        <w:textAlignment w:val="auto"/>
        <w:rPr>
          <w:rFonts w:hint="eastAsia" w:ascii="仿宋_GB2312" w:eastAsia="仿宋_GB2312"/>
          <w:sz w:val="30"/>
          <w:szCs w:val="30"/>
          <w:lang w:eastAsia="zh-CN"/>
        </w:rPr>
      </w:pPr>
      <w:r>
        <w:rPr>
          <w:rFonts w:hint="eastAsia" w:ascii="仿宋_GB2312" w:eastAsia="仿宋_GB2312"/>
          <w:sz w:val="30"/>
          <w:szCs w:val="30"/>
          <w:lang w:eastAsia="zh-CN"/>
        </w:rPr>
        <w:t>绍兴市再生能源发展有限公司</w:t>
      </w:r>
    </w:p>
    <w:p w14:paraId="10380F46">
      <w:pPr>
        <w:keepNext w:val="0"/>
        <w:keepLines w:val="0"/>
        <w:pageBreakBefore w:val="0"/>
        <w:widowControl w:val="0"/>
        <w:kinsoku/>
        <w:wordWrap/>
        <w:overflowPunct/>
        <w:topLinePunct w:val="0"/>
        <w:autoSpaceDE/>
        <w:autoSpaceDN/>
        <w:bidi w:val="0"/>
        <w:adjustRightInd/>
        <w:snapToGrid w:val="0"/>
        <w:spacing w:line="360" w:lineRule="auto"/>
        <w:ind w:firstLine="585"/>
        <w:jc w:val="right"/>
        <w:textAlignment w:val="auto"/>
        <w:rPr>
          <w:rFonts w:hint="eastAsia" w:ascii="仿宋_GB2312" w:eastAsia="仿宋_GB2312"/>
          <w:sz w:val="30"/>
          <w:szCs w:val="30"/>
        </w:rPr>
      </w:pPr>
      <w:r>
        <w:rPr>
          <w:rFonts w:hint="eastAsia" w:ascii="仿宋_GB2312" w:eastAsia="仿宋_GB2312"/>
          <w:sz w:val="30"/>
          <w:szCs w:val="30"/>
          <w:lang w:val="en-US" w:eastAsia="zh-CN"/>
        </w:rPr>
        <w:t>2026</w:t>
      </w:r>
      <w:r>
        <w:rPr>
          <w:rFonts w:hint="default" w:ascii="仿宋_GB2312" w:eastAsia="仿宋_GB2312"/>
          <w:sz w:val="30"/>
          <w:szCs w:val="30"/>
          <w:lang w:val="en-US"/>
        </w:rPr>
        <w:t>年</w:t>
      </w:r>
      <w:r>
        <w:rPr>
          <w:rFonts w:hint="eastAsia" w:ascii="仿宋_GB2312" w:eastAsia="仿宋_GB2312"/>
          <w:sz w:val="30"/>
          <w:szCs w:val="30"/>
          <w:lang w:val="en-US" w:eastAsia="zh-CN"/>
        </w:rPr>
        <w:t>10月30</w:t>
      </w:r>
      <w:r>
        <w:rPr>
          <w:rFonts w:hint="eastAsia" w:ascii="仿宋_GB2312" w:eastAsia="仿宋_GB2312"/>
          <w:sz w:val="30"/>
          <w:szCs w:val="30"/>
        </w:rPr>
        <w:t>日</w:t>
      </w:r>
    </w:p>
    <w:p w14:paraId="10E9B901">
      <w:pPr>
        <w:pStyle w:val="12"/>
        <w:rPr>
          <w:rFonts w:hint="eastAsia" w:ascii="仿宋_GB2312" w:eastAsia="仿宋_GB2312"/>
          <w:sz w:val="30"/>
          <w:szCs w:val="30"/>
        </w:rPr>
      </w:pPr>
    </w:p>
    <w:p w14:paraId="3A86D49D">
      <w:pPr>
        <w:pStyle w:val="12"/>
        <w:rPr>
          <w:rFonts w:hint="eastAsia" w:ascii="仿宋_GB2312" w:eastAsia="仿宋_GB2312"/>
          <w:sz w:val="30"/>
          <w:szCs w:val="30"/>
        </w:rPr>
      </w:pPr>
      <w:bookmarkStart w:id="33" w:name="_GoBack"/>
      <w:bookmarkEnd w:id="33"/>
    </w:p>
    <w:p w14:paraId="4EFDF728">
      <w:pPr>
        <w:pStyle w:val="12"/>
        <w:rPr>
          <w:rFonts w:hint="eastAsia" w:ascii="仿宋_GB2312" w:eastAsia="仿宋_GB2312"/>
          <w:sz w:val="30"/>
          <w:szCs w:val="30"/>
        </w:rPr>
      </w:pPr>
    </w:p>
    <w:p w14:paraId="41CF67AE">
      <w:pPr>
        <w:pStyle w:val="12"/>
        <w:rPr>
          <w:rFonts w:hint="eastAsia" w:ascii="仿宋_GB2312" w:eastAsia="仿宋_GB2312"/>
          <w:sz w:val="30"/>
          <w:szCs w:val="30"/>
        </w:rPr>
      </w:pPr>
    </w:p>
    <w:p w14:paraId="1B8DEF0A">
      <w:pPr>
        <w:pStyle w:val="12"/>
        <w:rPr>
          <w:rFonts w:hint="eastAsia" w:ascii="仿宋_GB2312" w:eastAsia="仿宋_GB2312"/>
          <w:sz w:val="30"/>
          <w:szCs w:val="30"/>
        </w:rPr>
      </w:pPr>
    </w:p>
    <w:p w14:paraId="2CCD9DA2">
      <w:pPr>
        <w:pStyle w:val="12"/>
        <w:rPr>
          <w:rFonts w:hint="eastAsia" w:ascii="仿宋_GB2312" w:eastAsia="仿宋_GB2312"/>
          <w:sz w:val="30"/>
          <w:szCs w:val="30"/>
        </w:rPr>
      </w:pPr>
    </w:p>
    <w:p w14:paraId="6BD300D3">
      <w:pPr>
        <w:pStyle w:val="12"/>
        <w:ind w:left="0" w:leftChars="0" w:firstLine="0" w:firstLineChars="0"/>
        <w:rPr>
          <w:rFonts w:hint="eastAsia" w:ascii="仿宋_GB2312" w:eastAsia="仿宋_GB2312"/>
          <w:sz w:val="30"/>
          <w:szCs w:val="30"/>
        </w:rPr>
      </w:pPr>
    </w:p>
    <w:p w14:paraId="758970A0">
      <w:pPr>
        <w:keepNext w:val="0"/>
        <w:keepLines w:val="0"/>
        <w:pageBreakBefore w:val="0"/>
        <w:widowControl w:val="0"/>
        <w:kinsoku/>
        <w:wordWrap/>
        <w:overflowPunct/>
        <w:topLinePunct w:val="0"/>
        <w:autoSpaceDE/>
        <w:autoSpaceDN/>
        <w:bidi w:val="0"/>
        <w:adjustRightInd/>
        <w:snapToGrid w:val="0"/>
        <w:spacing w:line="360" w:lineRule="auto"/>
        <w:ind w:firstLine="585"/>
        <w:jc w:val="center"/>
        <w:textAlignment w:val="auto"/>
        <w:rPr>
          <w:rFonts w:ascii="仿宋_GB2312" w:eastAsia="仿宋_GB2312"/>
          <w:snapToGrid w:val="0"/>
          <w:sz w:val="30"/>
          <w:szCs w:val="30"/>
        </w:rPr>
      </w:pPr>
      <w:r>
        <w:rPr>
          <w:rFonts w:hint="eastAsia" w:ascii="仿宋" w:hAnsi="仿宋" w:eastAsia="仿宋" w:cs="仿宋"/>
          <w:b/>
          <w:snapToGrid w:val="0"/>
          <w:color w:val="000000"/>
          <w:kern w:val="44"/>
          <w:sz w:val="44"/>
          <w:szCs w:val="44"/>
          <w:lang w:val="en-US" w:eastAsia="zh-CN" w:bidi="ar-SA"/>
        </w:rPr>
        <w:t>第二部分   采购须知</w:t>
      </w:r>
      <w:bookmarkEnd w:id="7"/>
      <w:bookmarkEnd w:id="8"/>
    </w:p>
    <w:p w14:paraId="5DF30CDF">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rPr>
      </w:pPr>
      <w:r>
        <w:rPr>
          <w:rFonts w:hint="eastAsia" w:ascii="仿宋_GB2312" w:eastAsia="仿宋_GB2312"/>
          <w:b/>
          <w:bCs/>
          <w:sz w:val="30"/>
          <w:szCs w:val="30"/>
        </w:rPr>
        <w:t>一、适用范围。</w:t>
      </w:r>
    </w:p>
    <w:p w14:paraId="43837104">
      <w:pPr>
        <w:pageBreakBefore w:val="0"/>
        <w:kinsoku/>
        <w:wordWrap/>
        <w:topLinePunct w:val="0"/>
        <w:bidi w:val="0"/>
        <w:snapToGrid w:val="0"/>
        <w:spacing w:line="360" w:lineRule="auto"/>
        <w:rPr>
          <w:rFonts w:ascii="仿宋_GB2312" w:hAnsi="宋体" w:eastAsia="仿宋_GB2312"/>
          <w:sz w:val="30"/>
          <w:szCs w:val="30"/>
        </w:rPr>
      </w:pPr>
      <w:r>
        <w:rPr>
          <w:rFonts w:hint="eastAsia" w:ascii="仿宋_GB2312" w:hAnsi="宋体" w:eastAsia="仿宋_GB2312"/>
          <w:sz w:val="30"/>
          <w:szCs w:val="30"/>
        </w:rPr>
        <w:t xml:space="preserve">    仅适用于本次询价采购所叙述的货物和服务。</w:t>
      </w:r>
      <w:r>
        <w:rPr>
          <w:rFonts w:hint="eastAsia" w:ascii="仿宋_GB2312" w:eastAsia="仿宋_GB2312"/>
          <w:sz w:val="30"/>
          <w:szCs w:val="30"/>
        </w:rPr>
        <w:t>无论询价采购过程和结果如何，</w:t>
      </w:r>
      <w:r>
        <w:rPr>
          <w:rFonts w:hint="eastAsia" w:ascii="仿宋_GB2312" w:eastAsia="仿宋_GB2312"/>
          <w:sz w:val="30"/>
          <w:szCs w:val="30"/>
          <w:lang w:val="en-US" w:eastAsia="zh-CN"/>
        </w:rPr>
        <w:t>报价人</w:t>
      </w:r>
      <w:r>
        <w:rPr>
          <w:rFonts w:hint="eastAsia" w:ascii="仿宋_GB2312" w:eastAsia="仿宋_GB2312"/>
          <w:sz w:val="30"/>
          <w:szCs w:val="30"/>
        </w:rPr>
        <w:t>自行承担全部费用。</w:t>
      </w:r>
    </w:p>
    <w:p w14:paraId="20D0069E">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rPr>
      </w:pPr>
      <w:r>
        <w:rPr>
          <w:rFonts w:hint="eastAsia" w:ascii="仿宋_GB2312" w:eastAsia="仿宋_GB2312"/>
          <w:b/>
          <w:bCs/>
          <w:sz w:val="30"/>
          <w:szCs w:val="30"/>
        </w:rPr>
        <w:t>二、定义。</w:t>
      </w:r>
    </w:p>
    <w:p w14:paraId="4007F918">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（一）“</w:t>
      </w:r>
      <w:r>
        <w:rPr>
          <w:rFonts w:hint="eastAsia" w:ascii="仿宋_GB2312" w:hAnsi="宋体" w:eastAsia="仿宋_GB2312"/>
          <w:sz w:val="30"/>
          <w:szCs w:val="30"/>
          <w:lang w:val="en-US" w:eastAsia="zh-CN"/>
        </w:rPr>
        <w:t>采购人</w:t>
      </w:r>
      <w:r>
        <w:rPr>
          <w:rFonts w:hint="eastAsia" w:ascii="仿宋_GB2312" w:hAnsi="宋体" w:eastAsia="仿宋_GB2312"/>
          <w:sz w:val="30"/>
          <w:szCs w:val="30"/>
        </w:rPr>
        <w:t>”系指</w:t>
      </w:r>
      <w:r>
        <w:rPr>
          <w:rFonts w:hint="eastAsia" w:ascii="仿宋_GB2312" w:hAnsi="宋体" w:eastAsia="仿宋_GB2312"/>
          <w:sz w:val="30"/>
          <w:szCs w:val="30"/>
          <w:lang w:eastAsia="zh-CN"/>
        </w:rPr>
        <w:t>绍兴市再生能源发展有限公司</w:t>
      </w:r>
      <w:r>
        <w:rPr>
          <w:rFonts w:hint="eastAsia" w:ascii="仿宋_GB2312" w:hAnsi="宋体" w:eastAsia="仿宋_GB2312"/>
          <w:sz w:val="30"/>
          <w:szCs w:val="30"/>
        </w:rPr>
        <w:t>。</w:t>
      </w:r>
    </w:p>
    <w:p w14:paraId="2BE745B7">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（二）“</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”系指向采购人提交报价文件的商家。</w:t>
      </w:r>
    </w:p>
    <w:p w14:paraId="53DF06AD">
      <w:pPr>
        <w:pageBreakBefore w:val="0"/>
        <w:kinsoku/>
        <w:wordWrap/>
        <w:topLinePunct w:val="0"/>
        <w:bidi w:val="0"/>
        <w:snapToGrid w:val="0"/>
        <w:spacing w:line="360" w:lineRule="auto"/>
        <w:ind w:firstLine="600" w:firstLineChars="200"/>
        <w:rPr>
          <w:rFonts w:hint="eastAsia" w:ascii="仿宋_GB2312" w:hAnsi="宋体" w:eastAsia="仿宋_GB2312"/>
          <w:sz w:val="30"/>
          <w:szCs w:val="30"/>
        </w:rPr>
      </w:pPr>
      <w:r>
        <w:rPr>
          <w:rFonts w:hint="eastAsia" w:ascii="仿宋_GB2312" w:hAnsi="宋体" w:eastAsia="仿宋_GB2312"/>
          <w:sz w:val="30"/>
          <w:szCs w:val="30"/>
        </w:rPr>
        <w:t>（三）“货物和服务”系指按询价文件要求的货物和服务。</w:t>
      </w:r>
    </w:p>
    <w:p w14:paraId="4083C06F">
      <w:pPr>
        <w:pageBreakBefore w:val="0"/>
        <w:kinsoku/>
        <w:wordWrap/>
        <w:topLinePunct w:val="0"/>
        <w:bidi w:val="0"/>
        <w:snapToGrid w:val="0"/>
        <w:spacing w:line="360" w:lineRule="auto"/>
        <w:ind w:firstLine="600" w:firstLineChars="200"/>
        <w:rPr>
          <w:rFonts w:hint="eastAsia" w:ascii="仿宋_GB2312" w:hAnsi="宋体" w:eastAsia="仿宋_GB2312"/>
          <w:sz w:val="30"/>
          <w:szCs w:val="30"/>
          <w:lang w:val="en-US" w:eastAsia="zh-CN"/>
        </w:rPr>
      </w:pPr>
      <w:r>
        <w:rPr>
          <w:rFonts w:hint="eastAsia" w:ascii="仿宋_GB2312" w:hAnsi="宋体" w:eastAsia="仿宋_GB2312"/>
          <w:sz w:val="30"/>
          <w:szCs w:val="30"/>
          <w:lang w:val="en-US" w:eastAsia="zh-CN"/>
        </w:rPr>
        <w:t>（四）“供货方”系指向经评审确定为本次询价成交商家</w:t>
      </w:r>
    </w:p>
    <w:p w14:paraId="764FA821">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rPr>
      </w:pPr>
      <w:r>
        <w:rPr>
          <w:rFonts w:hint="eastAsia" w:ascii="仿宋_GB2312" w:eastAsia="仿宋_GB2312"/>
          <w:b/>
          <w:bCs/>
          <w:sz w:val="30"/>
          <w:szCs w:val="30"/>
        </w:rPr>
        <w:t>三、采购报价。</w:t>
      </w:r>
    </w:p>
    <w:p w14:paraId="120E9D1B">
      <w:pPr>
        <w:pageBreakBefore w:val="0"/>
        <w:kinsoku/>
        <w:wordWrap/>
        <w:topLinePunct w:val="0"/>
        <w:bidi w:val="0"/>
        <w:snapToGrid w:val="0"/>
        <w:spacing w:line="360" w:lineRule="auto"/>
        <w:ind w:firstLine="600" w:firstLineChars="200"/>
        <w:rPr>
          <w:rFonts w:hint="eastAsia" w:ascii="仿宋_GB2312" w:hAnsi="宋体" w:eastAsia="仿宋_GB2312"/>
          <w:sz w:val="30"/>
          <w:szCs w:val="30"/>
        </w:rPr>
      </w:pPr>
      <w:r>
        <w:rPr>
          <w:rFonts w:hint="eastAsia" w:ascii="仿宋_GB2312" w:hAnsi="宋体" w:eastAsia="仿宋_GB2312"/>
          <w:sz w:val="30"/>
          <w:szCs w:val="30"/>
        </w:rPr>
        <w:t>（一）本项目以人民币为结算货币。</w:t>
      </w:r>
    </w:p>
    <w:p w14:paraId="4212F15E">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（二）</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应按询价文件要求认真制作《报价一览表》，报价时，报价文件中的报价金额如有大写和小写不一致的，以大写金额为准；总价金额与按单价汇总金额不一致的，以单价金额计算结果为准。</w:t>
      </w:r>
    </w:p>
    <w:p w14:paraId="79BDD39B">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（三）</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报价应为一次性报价。如果出现两个或两个以上报价，则报价无效。</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报价超过最高限价的，作无效报价处理。</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报价应包括</w:t>
      </w:r>
      <w:r>
        <w:rPr>
          <w:rFonts w:hint="eastAsia" w:ascii="仿宋_GB2312" w:hAnsi="宋体" w:eastAsia="仿宋_GB2312"/>
          <w:sz w:val="30"/>
          <w:szCs w:val="30"/>
          <w:lang w:val="en-US" w:eastAsia="zh-CN"/>
        </w:rPr>
        <w:t>运输</w:t>
      </w:r>
      <w:r>
        <w:rPr>
          <w:rFonts w:hint="eastAsia" w:ascii="仿宋_GB2312" w:hAnsi="宋体" w:eastAsia="仿宋_GB2312"/>
          <w:sz w:val="30"/>
          <w:szCs w:val="30"/>
        </w:rPr>
        <w:t>费</w:t>
      </w:r>
      <w:r>
        <w:rPr>
          <w:rFonts w:hint="eastAsia" w:ascii="仿宋_GB2312" w:hAnsi="宋体" w:eastAsia="仿宋_GB2312"/>
          <w:sz w:val="30"/>
          <w:szCs w:val="30"/>
          <w:lang w:val="en-US" w:eastAsia="zh-CN"/>
        </w:rPr>
        <w:t>和</w:t>
      </w:r>
      <w:r>
        <w:rPr>
          <w:rFonts w:hint="eastAsia" w:ascii="仿宋_GB2312" w:hAnsi="宋体" w:eastAsia="仿宋_GB2312"/>
          <w:sz w:val="30"/>
          <w:szCs w:val="30"/>
        </w:rPr>
        <w:t>税费等。</w:t>
      </w:r>
    </w:p>
    <w:p w14:paraId="1538DA94">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rPr>
      </w:pPr>
      <w:r>
        <w:rPr>
          <w:rFonts w:hint="eastAsia" w:ascii="仿宋_GB2312" w:eastAsia="仿宋_GB2312"/>
          <w:b/>
          <w:bCs/>
          <w:sz w:val="30"/>
          <w:szCs w:val="30"/>
        </w:rPr>
        <w:t>四、报价有效期。</w:t>
      </w:r>
    </w:p>
    <w:p w14:paraId="2E17C056">
      <w:pPr>
        <w:pageBreakBefore w:val="0"/>
        <w:kinsoku/>
        <w:wordWrap/>
        <w:topLinePunct w:val="0"/>
        <w:bidi w:val="0"/>
        <w:snapToGrid w:val="0"/>
        <w:spacing w:line="360" w:lineRule="auto"/>
        <w:ind w:firstLine="600" w:firstLineChars="200"/>
        <w:rPr>
          <w:rFonts w:hint="eastAsia" w:ascii="仿宋_GB2312" w:hAnsi="宋体" w:eastAsia="仿宋_GB2312"/>
          <w:sz w:val="30"/>
          <w:szCs w:val="30"/>
        </w:rPr>
      </w:pPr>
      <w:r>
        <w:rPr>
          <w:rFonts w:hint="eastAsia" w:ascii="仿宋_GB2312" w:hAnsi="宋体" w:eastAsia="仿宋_GB2312"/>
          <w:sz w:val="30"/>
          <w:szCs w:val="30"/>
        </w:rPr>
        <w:t>（一）从报价截止之日起，报价文件有效期为30日。</w:t>
      </w:r>
    </w:p>
    <w:p w14:paraId="46EEF3F4">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（二）特殊情况下，</w:t>
      </w:r>
      <w:r>
        <w:rPr>
          <w:rFonts w:hint="eastAsia" w:ascii="仿宋_GB2312" w:hAnsi="宋体" w:eastAsia="仿宋_GB2312"/>
          <w:sz w:val="30"/>
          <w:szCs w:val="30"/>
          <w:lang w:val="en-US" w:eastAsia="zh-CN"/>
        </w:rPr>
        <w:t>采购人</w:t>
      </w:r>
      <w:r>
        <w:rPr>
          <w:rFonts w:hint="eastAsia" w:ascii="仿宋_GB2312" w:hAnsi="宋体" w:eastAsia="仿宋_GB2312"/>
          <w:sz w:val="30"/>
          <w:szCs w:val="30"/>
        </w:rPr>
        <w:t>可与</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协商延缓报价有效期，这种要求和答复均以书面形式进行。</w:t>
      </w:r>
    </w:p>
    <w:p w14:paraId="0A4B3DF9">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rPr>
      </w:pPr>
      <w:r>
        <w:rPr>
          <w:rFonts w:hint="eastAsia" w:ascii="仿宋_GB2312" w:eastAsia="仿宋_GB2312"/>
          <w:b/>
          <w:bCs/>
          <w:sz w:val="30"/>
          <w:szCs w:val="30"/>
        </w:rPr>
        <w:t>五、报价文件的组成。</w:t>
      </w:r>
    </w:p>
    <w:p w14:paraId="75AC62A6">
      <w:pPr>
        <w:pageBreakBefore w:val="0"/>
        <w:kinsoku/>
        <w:wordWrap/>
        <w:topLinePunct w:val="0"/>
        <w:bidi w:val="0"/>
        <w:snapToGrid w:val="0"/>
        <w:spacing w:line="360" w:lineRule="auto"/>
        <w:ind w:firstLine="600" w:firstLineChars="200"/>
        <w:rPr>
          <w:rFonts w:hint="eastAsia" w:ascii="仿宋_GB2312" w:hAnsi="宋体" w:eastAsia="仿宋_GB2312"/>
          <w:sz w:val="30"/>
          <w:szCs w:val="30"/>
        </w:rPr>
      </w:pPr>
      <w:r>
        <w:rPr>
          <w:rFonts w:hint="default" w:ascii="仿宋_GB2312" w:hAnsi="宋体" w:eastAsia="仿宋_GB2312"/>
          <w:sz w:val="30"/>
          <w:szCs w:val="30"/>
          <w:lang w:eastAsia="zh-CN"/>
        </w:rPr>
        <w:t>1</w:t>
      </w:r>
      <w:r>
        <w:rPr>
          <w:rFonts w:hint="eastAsia" w:ascii="仿宋_GB2312" w:hAnsi="宋体" w:eastAsia="仿宋_GB2312"/>
          <w:sz w:val="30"/>
          <w:szCs w:val="30"/>
          <w:lang w:val="en-US" w:eastAsia="zh-CN"/>
        </w:rPr>
        <w:t>.</w:t>
      </w:r>
      <w:r>
        <w:rPr>
          <w:rFonts w:hint="eastAsia" w:ascii="仿宋_GB2312" w:hAnsi="宋体" w:eastAsia="仿宋_GB2312"/>
          <w:b/>
          <w:bCs/>
          <w:color w:val="FF0000"/>
          <w:sz w:val="30"/>
          <w:szCs w:val="30"/>
          <w:lang w:val="en-US" w:eastAsia="zh-CN"/>
        </w:rPr>
        <w:t>报价资格一览表</w:t>
      </w:r>
      <w:r>
        <w:rPr>
          <w:rFonts w:hint="eastAsia" w:ascii="仿宋_GB2312" w:hAnsi="宋体" w:eastAsia="仿宋_GB2312"/>
          <w:b/>
          <w:bCs/>
          <w:color w:val="FF0000"/>
          <w:sz w:val="30"/>
          <w:szCs w:val="30"/>
        </w:rPr>
        <w:t>（附件一）；</w:t>
      </w:r>
    </w:p>
    <w:p w14:paraId="05C2F5B4">
      <w:pPr>
        <w:pageBreakBefore w:val="0"/>
        <w:kinsoku/>
        <w:wordWrap/>
        <w:topLinePunct w:val="0"/>
        <w:bidi w:val="0"/>
        <w:snapToGrid w:val="0"/>
        <w:spacing w:line="360" w:lineRule="auto"/>
        <w:ind w:firstLine="600" w:firstLineChars="200"/>
        <w:rPr>
          <w:rFonts w:hint="default" w:ascii="仿宋_GB2312" w:hAnsi="宋体" w:eastAsia="仿宋_GB2312"/>
          <w:sz w:val="30"/>
          <w:szCs w:val="30"/>
          <w:lang w:val="en-US" w:eastAsia="zh-CN"/>
        </w:rPr>
      </w:pPr>
      <w:r>
        <w:rPr>
          <w:rFonts w:hint="default" w:ascii="仿宋_GB2312" w:hAnsi="宋体" w:eastAsia="仿宋_GB2312"/>
          <w:sz w:val="30"/>
          <w:szCs w:val="30"/>
          <w:lang w:eastAsia="zh-CN"/>
        </w:rPr>
        <w:t>2</w:t>
      </w:r>
      <w:r>
        <w:rPr>
          <w:rFonts w:hint="eastAsia" w:ascii="仿宋_GB2312" w:hAnsi="宋体" w:eastAsia="仿宋_GB2312"/>
          <w:sz w:val="30"/>
          <w:szCs w:val="30"/>
          <w:lang w:val="en-US" w:eastAsia="zh-CN"/>
        </w:rPr>
        <w:t>.</w:t>
      </w:r>
      <w:r>
        <w:rPr>
          <w:rFonts w:hint="eastAsia" w:ascii="仿宋_GB2312" w:hAnsi="宋体" w:eastAsia="仿宋_GB2312"/>
          <w:sz w:val="30"/>
          <w:szCs w:val="30"/>
        </w:rPr>
        <w:t>报价文件</w:t>
      </w:r>
      <w:r>
        <w:rPr>
          <w:rFonts w:hint="eastAsia" w:ascii="仿宋_GB2312" w:hAnsi="宋体" w:eastAsia="仿宋_GB2312"/>
          <w:sz w:val="30"/>
          <w:szCs w:val="30"/>
          <w:lang w:eastAsia="zh-CN"/>
        </w:rPr>
        <w:t>密封</w:t>
      </w:r>
      <w:r>
        <w:rPr>
          <w:rFonts w:hint="eastAsia" w:ascii="仿宋_GB2312" w:hAnsi="宋体" w:eastAsia="仿宋_GB2312"/>
          <w:sz w:val="30"/>
          <w:szCs w:val="30"/>
        </w:rPr>
        <w:t>封面</w:t>
      </w:r>
      <w:r>
        <w:rPr>
          <w:rFonts w:hint="eastAsia" w:ascii="仿宋_GB2312" w:hAnsi="宋体" w:eastAsia="仿宋_GB2312"/>
          <w:sz w:val="30"/>
          <w:szCs w:val="30"/>
          <w:lang w:eastAsia="zh-CN"/>
        </w:rPr>
        <w:t>；</w:t>
      </w:r>
    </w:p>
    <w:p w14:paraId="7B4BC3DD">
      <w:pPr>
        <w:pageBreakBefore w:val="0"/>
        <w:kinsoku/>
        <w:wordWrap/>
        <w:topLinePunct w:val="0"/>
        <w:bidi w:val="0"/>
        <w:snapToGrid w:val="0"/>
        <w:spacing w:line="360" w:lineRule="auto"/>
        <w:ind w:firstLine="600" w:firstLineChars="200"/>
        <w:rPr>
          <w:rFonts w:hint="eastAsia" w:ascii="仿宋_GB2312" w:hAnsi="宋体" w:eastAsia="仿宋_GB2312"/>
          <w:sz w:val="30"/>
          <w:szCs w:val="30"/>
        </w:rPr>
      </w:pPr>
      <w:r>
        <w:rPr>
          <w:rFonts w:hint="default" w:ascii="仿宋_GB2312" w:hAnsi="宋体" w:eastAsia="仿宋_GB2312"/>
          <w:sz w:val="30"/>
          <w:szCs w:val="30"/>
          <w:lang w:eastAsia="zh-CN"/>
        </w:rPr>
        <w:t>3</w:t>
      </w:r>
      <w:r>
        <w:rPr>
          <w:rFonts w:hint="eastAsia" w:ascii="仿宋_GB2312" w:hAnsi="宋体" w:eastAsia="仿宋_GB2312"/>
          <w:sz w:val="30"/>
          <w:szCs w:val="30"/>
        </w:rPr>
        <w:t>.报价一览表（附件</w:t>
      </w:r>
      <w:r>
        <w:rPr>
          <w:rFonts w:hint="eastAsia" w:ascii="仿宋_GB2312" w:hAnsi="宋体" w:eastAsia="仿宋_GB2312"/>
          <w:sz w:val="30"/>
          <w:szCs w:val="30"/>
          <w:lang w:eastAsia="zh-CN"/>
        </w:rPr>
        <w:t>二</w:t>
      </w:r>
      <w:r>
        <w:rPr>
          <w:rFonts w:hint="eastAsia" w:ascii="仿宋_GB2312" w:hAnsi="宋体" w:eastAsia="仿宋_GB2312"/>
          <w:sz w:val="30"/>
          <w:szCs w:val="30"/>
        </w:rPr>
        <w:t>）；</w:t>
      </w:r>
    </w:p>
    <w:p w14:paraId="12D2C136">
      <w:pPr>
        <w:pageBreakBefore w:val="0"/>
        <w:kinsoku/>
        <w:wordWrap/>
        <w:topLinePunct w:val="0"/>
        <w:bidi w:val="0"/>
        <w:snapToGrid w:val="0"/>
        <w:spacing w:line="360" w:lineRule="auto"/>
        <w:ind w:firstLine="600" w:firstLineChars="200"/>
        <w:rPr>
          <w:rFonts w:hint="default" w:eastAsia="仿宋_GB2312"/>
          <w:lang w:val="en-US" w:eastAsia="zh-CN"/>
        </w:rPr>
      </w:pPr>
      <w:r>
        <w:rPr>
          <w:rFonts w:hint="default" w:ascii="仿宋_GB2312" w:hAnsi="宋体" w:eastAsia="仿宋_GB2312"/>
          <w:sz w:val="30"/>
          <w:szCs w:val="30"/>
          <w:lang w:eastAsia="zh-CN"/>
        </w:rPr>
        <w:t>4</w:t>
      </w:r>
      <w:r>
        <w:rPr>
          <w:rFonts w:hint="eastAsia" w:ascii="仿宋_GB2312" w:hAnsi="宋体" w:eastAsia="仿宋_GB2312"/>
          <w:sz w:val="30"/>
          <w:szCs w:val="30"/>
        </w:rPr>
        <w:t>.</w:t>
      </w:r>
      <w:r>
        <w:rPr>
          <w:rFonts w:hint="eastAsia" w:ascii="仿宋_GB2312" w:hAnsi="宋体" w:eastAsia="仿宋_GB2312"/>
          <w:sz w:val="30"/>
          <w:szCs w:val="30"/>
          <w:lang w:val="en-US" w:eastAsia="zh-CN"/>
        </w:rPr>
        <w:t>服务</w:t>
      </w:r>
      <w:r>
        <w:rPr>
          <w:rFonts w:hint="eastAsia" w:ascii="仿宋_GB2312" w:hAnsi="宋体" w:eastAsia="仿宋_GB2312"/>
          <w:sz w:val="30"/>
          <w:szCs w:val="30"/>
        </w:rPr>
        <w:t>质量保证承诺函（附件</w:t>
      </w:r>
      <w:r>
        <w:rPr>
          <w:rFonts w:hint="eastAsia" w:ascii="仿宋_GB2312" w:hAnsi="宋体" w:eastAsia="仿宋_GB2312"/>
          <w:sz w:val="30"/>
          <w:szCs w:val="30"/>
          <w:lang w:val="en-US" w:eastAsia="zh-CN"/>
        </w:rPr>
        <w:t>四</w:t>
      </w:r>
      <w:r>
        <w:rPr>
          <w:rFonts w:hint="eastAsia" w:ascii="仿宋_GB2312" w:hAnsi="宋体" w:eastAsia="仿宋_GB2312"/>
          <w:sz w:val="30"/>
          <w:szCs w:val="30"/>
        </w:rPr>
        <w:t>）；</w:t>
      </w:r>
    </w:p>
    <w:p w14:paraId="291F8948">
      <w:pPr>
        <w:pageBreakBefore w:val="0"/>
        <w:kinsoku/>
        <w:wordWrap/>
        <w:topLinePunct w:val="0"/>
        <w:bidi w:val="0"/>
        <w:snapToGrid w:val="0"/>
        <w:spacing w:line="360" w:lineRule="auto"/>
        <w:ind w:firstLine="600" w:firstLineChars="200"/>
        <w:rPr>
          <w:rFonts w:hint="eastAsia" w:ascii="仿宋_GB2312" w:hAnsi="宋体" w:eastAsia="仿宋_GB2312"/>
          <w:sz w:val="30"/>
          <w:szCs w:val="30"/>
          <w:highlight w:val="none"/>
        </w:rPr>
      </w:pPr>
      <w:r>
        <w:rPr>
          <w:rFonts w:hint="default" w:ascii="仿宋_GB2312" w:hAnsi="宋体" w:eastAsia="仿宋_GB2312"/>
          <w:sz w:val="30"/>
          <w:szCs w:val="30"/>
          <w:lang w:eastAsia="zh-CN"/>
        </w:rPr>
        <w:t>5</w:t>
      </w:r>
      <w:r>
        <w:rPr>
          <w:rFonts w:hint="eastAsia" w:ascii="仿宋_GB2312" w:hAnsi="宋体" w:eastAsia="仿宋_GB2312"/>
          <w:sz w:val="30"/>
          <w:szCs w:val="30"/>
        </w:rPr>
        <w:t>.资质证明及装订密封要求</w:t>
      </w:r>
      <w:r>
        <w:rPr>
          <w:rFonts w:hint="eastAsia" w:ascii="仿宋_GB2312" w:hAnsi="宋体" w:eastAsia="仿宋_GB2312"/>
          <w:sz w:val="30"/>
          <w:szCs w:val="30"/>
          <w:highlight w:val="none"/>
        </w:rPr>
        <w:t>：</w:t>
      </w:r>
    </w:p>
    <w:p w14:paraId="4A8DD835">
      <w:pPr>
        <w:pageBreakBefore w:val="0"/>
        <w:kinsoku/>
        <w:wordWrap/>
        <w:topLinePunct w:val="0"/>
        <w:bidi w:val="0"/>
        <w:snapToGrid w:val="0"/>
        <w:spacing w:line="360" w:lineRule="auto"/>
        <w:ind w:firstLine="600" w:firstLineChars="200"/>
        <w:rPr>
          <w:rFonts w:hint="eastAsia" w:ascii="仿宋_GB2312" w:hAnsi="宋体" w:eastAsia="仿宋_GB2312"/>
          <w:sz w:val="30"/>
          <w:szCs w:val="30"/>
          <w:highlight w:val="none"/>
        </w:rPr>
      </w:pPr>
      <w:r>
        <w:rPr>
          <w:rFonts w:hint="eastAsia" w:ascii="仿宋_GB2312" w:hAnsi="宋体" w:eastAsia="仿宋_GB2312"/>
          <w:sz w:val="30"/>
          <w:szCs w:val="30"/>
          <w:highlight w:val="none"/>
        </w:rPr>
        <w:t>装订密封：报价文件及资格证明文件须规范装订并密封。</w:t>
      </w:r>
    </w:p>
    <w:p w14:paraId="79D04641">
      <w:pPr>
        <w:pageBreakBefore w:val="0"/>
        <w:kinsoku/>
        <w:wordWrap/>
        <w:topLinePunct w:val="0"/>
        <w:bidi w:val="0"/>
        <w:snapToGrid w:val="0"/>
        <w:spacing w:line="360" w:lineRule="auto"/>
        <w:ind w:firstLine="600" w:firstLineChars="200"/>
        <w:rPr>
          <w:rFonts w:hint="eastAsia" w:ascii="仿宋_GB2312" w:hAnsi="宋体" w:eastAsia="仿宋_GB2312"/>
          <w:sz w:val="30"/>
          <w:szCs w:val="30"/>
          <w:highlight w:val="none"/>
        </w:rPr>
      </w:pPr>
      <w:r>
        <w:rPr>
          <w:rFonts w:hint="eastAsia" w:ascii="仿宋_GB2312" w:hAnsi="宋体" w:eastAsia="仿宋_GB2312"/>
          <w:sz w:val="30"/>
          <w:szCs w:val="30"/>
          <w:highlight w:val="none"/>
        </w:rPr>
        <w:t>封面注明：密封袋（或密封包装）封面须清晰注明：采购项目名称、采购项目编号、报价单位名称、联系人、联系方式。</w:t>
      </w:r>
    </w:p>
    <w:p w14:paraId="12B87EAC">
      <w:pPr>
        <w:pageBreakBefore w:val="0"/>
        <w:kinsoku/>
        <w:wordWrap/>
        <w:topLinePunct w:val="0"/>
        <w:bidi w:val="0"/>
        <w:snapToGrid w:val="0"/>
        <w:spacing w:line="360" w:lineRule="auto"/>
        <w:ind w:firstLine="600" w:firstLineChars="200"/>
        <w:rPr>
          <w:rFonts w:hint="default" w:ascii="仿宋_GB2312" w:hAnsi="宋体" w:eastAsia="仿宋_GB2312"/>
          <w:b/>
          <w:bCs/>
          <w:color w:val="FF0000"/>
          <w:sz w:val="30"/>
          <w:szCs w:val="30"/>
          <w:lang w:eastAsia="zh-CN"/>
        </w:rPr>
      </w:pPr>
      <w:r>
        <w:rPr>
          <w:rFonts w:hint="eastAsia" w:ascii="仿宋_GB2312" w:hAnsi="宋体" w:eastAsia="仿宋_GB2312"/>
          <w:color w:val="FF0000"/>
          <w:sz w:val="30"/>
          <w:szCs w:val="30"/>
          <w:highlight w:val="none"/>
        </w:rPr>
        <w:t>资格文件：报价资格文件的装订及密封方式应与报价文件保持一致</w:t>
      </w:r>
      <w:r>
        <w:rPr>
          <w:rFonts w:hint="eastAsia" w:ascii="仿宋_GB2312" w:hAnsi="宋体" w:eastAsia="仿宋_GB2312"/>
          <w:color w:val="FF0000"/>
          <w:sz w:val="30"/>
          <w:szCs w:val="30"/>
          <w:highlight w:val="none"/>
          <w:lang w:eastAsia="zh-CN"/>
        </w:rPr>
        <w:t>，且密封封面须单独注明"报价资格文件"字样</w:t>
      </w:r>
      <w:r>
        <w:rPr>
          <w:rFonts w:hint="default" w:ascii="仿宋_GB2312" w:hAnsi="宋体" w:eastAsia="仿宋_GB2312"/>
          <w:b/>
          <w:bCs/>
          <w:color w:val="FF0000"/>
          <w:sz w:val="30"/>
          <w:szCs w:val="30"/>
          <w:lang w:eastAsia="zh-CN"/>
        </w:rPr>
        <w:t>。</w:t>
      </w:r>
    </w:p>
    <w:p w14:paraId="1795959B">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rPr>
      </w:pPr>
      <w:r>
        <w:rPr>
          <w:rFonts w:hint="eastAsia" w:ascii="仿宋_GB2312" w:eastAsia="仿宋_GB2312"/>
          <w:b/>
          <w:bCs/>
          <w:sz w:val="30"/>
          <w:szCs w:val="30"/>
        </w:rPr>
        <w:t>六、报价文件的签署和份数。</w:t>
      </w:r>
    </w:p>
    <w:p w14:paraId="44552339">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（一）报价文件需打印或用不褪色的墨水填写。报价文件的装订顺序应按本章第六条</w:t>
      </w:r>
      <w:r>
        <w:rPr>
          <w:rFonts w:hint="eastAsia" w:ascii="仿宋_GB2312" w:hAnsi="宋体" w:eastAsia="仿宋_GB2312"/>
          <w:sz w:val="30"/>
          <w:szCs w:val="30"/>
          <w:lang w:eastAsia="zh-CN"/>
        </w:rPr>
        <w:t>所述</w:t>
      </w:r>
      <w:r>
        <w:rPr>
          <w:rFonts w:hint="eastAsia" w:ascii="仿宋_GB2312" w:hAnsi="宋体" w:eastAsia="仿宋_GB2312"/>
          <w:sz w:val="30"/>
          <w:szCs w:val="30"/>
        </w:rPr>
        <w:t>顺序装订。</w:t>
      </w:r>
    </w:p>
    <w:p w14:paraId="1C725121">
      <w:pPr>
        <w:pageBreakBefore w:val="0"/>
        <w:kinsoku/>
        <w:wordWrap/>
        <w:topLinePunct w:val="0"/>
        <w:bidi w:val="0"/>
        <w:snapToGrid w:val="0"/>
        <w:spacing w:line="360" w:lineRule="auto"/>
        <w:ind w:firstLine="600" w:firstLineChars="200"/>
        <w:rPr>
          <w:rFonts w:ascii="仿宋_GB2312" w:eastAsia="仿宋_GB2312"/>
          <w:sz w:val="30"/>
          <w:szCs w:val="30"/>
        </w:rPr>
      </w:pPr>
      <w:r>
        <w:rPr>
          <w:rFonts w:hint="eastAsia" w:ascii="仿宋_GB2312" w:eastAsia="仿宋_GB2312"/>
          <w:sz w:val="30"/>
          <w:szCs w:val="30"/>
        </w:rPr>
        <w:t>（二）报价文件凡需要盖章处均须由报价单位盖公章，并由法定代表人或</w:t>
      </w:r>
      <w:r>
        <w:rPr>
          <w:rFonts w:hint="eastAsia" w:ascii="仿宋_GB2312" w:eastAsia="仿宋_GB2312"/>
          <w:sz w:val="30"/>
          <w:szCs w:val="30"/>
          <w:lang w:eastAsia="zh-CN"/>
        </w:rPr>
        <w:t>授权</w:t>
      </w:r>
      <w:r>
        <w:rPr>
          <w:rFonts w:hint="eastAsia" w:ascii="仿宋_GB2312" w:eastAsia="仿宋_GB2312"/>
          <w:sz w:val="30"/>
          <w:szCs w:val="30"/>
        </w:rPr>
        <w:t>代表签署，</w:t>
      </w:r>
      <w:r>
        <w:rPr>
          <w:rFonts w:hint="eastAsia" w:ascii="仿宋_GB2312" w:eastAsia="仿宋_GB2312"/>
          <w:sz w:val="30"/>
          <w:szCs w:val="30"/>
          <w:lang w:val="en-US" w:eastAsia="zh-CN"/>
        </w:rPr>
        <w:t>报价人</w:t>
      </w:r>
      <w:r>
        <w:rPr>
          <w:rFonts w:hint="eastAsia" w:ascii="仿宋_GB2312" w:eastAsia="仿宋_GB2312"/>
          <w:sz w:val="30"/>
          <w:szCs w:val="30"/>
        </w:rPr>
        <w:t>单位应写全称。</w:t>
      </w:r>
    </w:p>
    <w:p w14:paraId="180F98EB">
      <w:pPr>
        <w:pageBreakBefore w:val="0"/>
        <w:kinsoku/>
        <w:wordWrap/>
        <w:topLinePunct w:val="0"/>
        <w:bidi w:val="0"/>
        <w:snapToGrid w:val="0"/>
        <w:spacing w:line="360" w:lineRule="auto"/>
        <w:ind w:firstLine="615" w:firstLineChars="205"/>
        <w:jc w:val="left"/>
        <w:rPr>
          <w:rFonts w:hint="eastAsia" w:ascii="仿宋_GB2312" w:eastAsia="仿宋_GB2312"/>
          <w:sz w:val="30"/>
          <w:szCs w:val="30"/>
          <w:lang w:eastAsia="zh-CN"/>
        </w:rPr>
      </w:pPr>
      <w:r>
        <w:rPr>
          <w:rFonts w:hint="eastAsia" w:ascii="仿宋_GB2312" w:eastAsia="仿宋_GB2312"/>
          <w:sz w:val="30"/>
          <w:szCs w:val="30"/>
        </w:rPr>
        <w:t>（三）</w:t>
      </w:r>
      <w:r>
        <w:rPr>
          <w:rFonts w:hint="eastAsia" w:ascii="仿宋_GB2312" w:eastAsia="仿宋_GB2312"/>
          <w:sz w:val="30"/>
          <w:szCs w:val="30"/>
          <w:lang w:val="en-US" w:eastAsia="zh-CN"/>
        </w:rPr>
        <w:t>报价人</w:t>
      </w:r>
      <w:r>
        <w:rPr>
          <w:rFonts w:hint="eastAsia" w:ascii="仿宋_GB2312" w:eastAsia="仿宋_GB2312"/>
          <w:sz w:val="30"/>
          <w:szCs w:val="30"/>
        </w:rPr>
        <w:t>应按照询价文件的格式要求制作报价文件，报价文件正本1份</w:t>
      </w:r>
      <w:r>
        <w:rPr>
          <w:rFonts w:hint="eastAsia" w:ascii="仿宋_GB2312" w:eastAsia="仿宋_GB2312"/>
          <w:sz w:val="30"/>
          <w:szCs w:val="30"/>
          <w:lang w:eastAsia="zh-CN"/>
        </w:rPr>
        <w:t>，副本</w:t>
      </w:r>
      <w:r>
        <w:rPr>
          <w:rFonts w:hint="eastAsia" w:ascii="仿宋_GB2312" w:eastAsia="仿宋_GB2312"/>
          <w:sz w:val="30"/>
          <w:szCs w:val="30"/>
          <w:lang w:val="en-US" w:eastAsia="zh-CN"/>
        </w:rPr>
        <w:t>4份</w:t>
      </w:r>
      <w:r>
        <w:rPr>
          <w:rFonts w:hint="eastAsia" w:ascii="仿宋_GB2312" w:eastAsia="仿宋_GB2312"/>
          <w:sz w:val="30"/>
          <w:szCs w:val="30"/>
          <w:lang w:eastAsia="zh-CN"/>
        </w:rPr>
        <w:t>。</w:t>
      </w:r>
    </w:p>
    <w:p w14:paraId="4D53D4E1">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rPr>
      </w:pPr>
      <w:r>
        <w:rPr>
          <w:rFonts w:hint="eastAsia" w:ascii="仿宋_GB2312" w:eastAsia="仿宋_GB2312"/>
          <w:b/>
          <w:bCs/>
          <w:sz w:val="30"/>
          <w:szCs w:val="30"/>
        </w:rPr>
        <w:t>七、报价文件的递交。</w:t>
      </w:r>
    </w:p>
    <w:p w14:paraId="0C872476">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（一）如果</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未加写标记，</w:t>
      </w:r>
      <w:r>
        <w:rPr>
          <w:rFonts w:hint="eastAsia" w:ascii="仿宋_GB2312" w:hAnsi="宋体" w:eastAsia="仿宋_GB2312"/>
          <w:sz w:val="30"/>
          <w:szCs w:val="30"/>
          <w:lang w:val="en-US" w:eastAsia="zh-CN"/>
        </w:rPr>
        <w:t>采购人</w:t>
      </w:r>
      <w:r>
        <w:rPr>
          <w:rFonts w:hint="eastAsia" w:ascii="仿宋_GB2312" w:hAnsi="宋体" w:eastAsia="仿宋_GB2312"/>
          <w:sz w:val="30"/>
          <w:szCs w:val="30"/>
        </w:rPr>
        <w:t>对报价文件的误投和提前启封不负责任。</w:t>
      </w:r>
    </w:p>
    <w:p w14:paraId="5F467F6D">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（二）</w:t>
      </w:r>
      <w:r>
        <w:rPr>
          <w:rFonts w:hint="eastAsia" w:ascii="仿宋_GB2312" w:hAnsi="宋体" w:eastAsia="仿宋_GB2312"/>
          <w:sz w:val="30"/>
          <w:szCs w:val="30"/>
          <w:lang w:val="en-US" w:eastAsia="zh-CN"/>
        </w:rPr>
        <w:t>采购人</w:t>
      </w:r>
      <w:r>
        <w:rPr>
          <w:rFonts w:hint="eastAsia" w:ascii="仿宋_GB2312" w:hAnsi="宋体" w:eastAsia="仿宋_GB2312"/>
          <w:sz w:val="30"/>
          <w:szCs w:val="30"/>
        </w:rPr>
        <w:t>接受</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报价文件时间：在报价截止时间前接受报价文件。</w:t>
      </w:r>
    </w:p>
    <w:p w14:paraId="3AB08411">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（三）报价截止时间前，</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可以书面形式向</w:t>
      </w:r>
      <w:r>
        <w:rPr>
          <w:rFonts w:hint="eastAsia" w:ascii="仿宋_GB2312" w:hAnsi="宋体" w:eastAsia="仿宋_GB2312"/>
          <w:sz w:val="30"/>
          <w:szCs w:val="30"/>
          <w:lang w:val="en-US" w:eastAsia="zh-CN"/>
        </w:rPr>
        <w:t>采购人</w:t>
      </w:r>
      <w:r>
        <w:rPr>
          <w:rFonts w:hint="eastAsia" w:ascii="仿宋_GB2312" w:hAnsi="宋体" w:eastAsia="仿宋_GB2312"/>
          <w:sz w:val="30"/>
          <w:szCs w:val="30"/>
        </w:rPr>
        <w:t>已递交的报价文件提出补充和修改，</w:t>
      </w:r>
      <w:r>
        <w:rPr>
          <w:rFonts w:hint="eastAsia" w:ascii="仿宋_GB2312" w:hAnsi="宋体" w:eastAsia="仿宋_GB2312"/>
          <w:sz w:val="30"/>
          <w:szCs w:val="30"/>
          <w:lang w:val="en-US" w:eastAsia="zh-CN"/>
        </w:rPr>
        <w:t>采购人</w:t>
      </w:r>
      <w:r>
        <w:rPr>
          <w:rFonts w:hint="eastAsia" w:ascii="仿宋_GB2312" w:hAnsi="宋体" w:eastAsia="仿宋_GB2312"/>
          <w:sz w:val="30"/>
          <w:szCs w:val="30"/>
        </w:rPr>
        <w:t>以最后的补充和修改为准。该书面材料应密封，由法定代表人或授权委托人签字并加盖公章。</w:t>
      </w:r>
    </w:p>
    <w:p w14:paraId="4F980AA5">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（四）报价文件填写字迹必须清楚、工整，对不同文字文本报价文件的解释发生异议的，以中文文本为准。</w:t>
      </w:r>
    </w:p>
    <w:p w14:paraId="58405848">
      <w:pPr>
        <w:pageBreakBefore w:val="0"/>
        <w:kinsoku/>
        <w:wordWrap/>
        <w:topLinePunct w:val="0"/>
        <w:bidi w:val="0"/>
        <w:snapToGrid w:val="0"/>
        <w:spacing w:line="360" w:lineRule="auto"/>
        <w:ind w:left="1" w:firstLine="774" w:firstLineChars="257"/>
        <w:outlineLvl w:val="1"/>
        <w:rPr>
          <w:rFonts w:hint="eastAsia" w:ascii="仿宋_GB2312" w:eastAsia="仿宋_GB2312"/>
          <w:b/>
          <w:bCs/>
          <w:sz w:val="30"/>
          <w:szCs w:val="30"/>
          <w:lang w:eastAsia="zh-CN"/>
        </w:rPr>
      </w:pPr>
      <w:r>
        <w:rPr>
          <w:rFonts w:hint="eastAsia" w:ascii="仿宋_GB2312" w:eastAsia="仿宋_GB2312"/>
          <w:b/>
          <w:bCs/>
          <w:sz w:val="30"/>
          <w:szCs w:val="30"/>
          <w:lang w:eastAsia="zh-CN"/>
        </w:rPr>
        <w:t>八</w:t>
      </w:r>
      <w:r>
        <w:rPr>
          <w:rFonts w:hint="eastAsia" w:ascii="仿宋_GB2312" w:eastAsia="仿宋_GB2312"/>
          <w:b/>
          <w:bCs/>
          <w:sz w:val="30"/>
          <w:szCs w:val="30"/>
        </w:rPr>
        <w:t>、无效报价</w:t>
      </w:r>
      <w:r>
        <w:rPr>
          <w:rFonts w:hint="eastAsia" w:ascii="仿宋_GB2312" w:eastAsia="仿宋_GB2312"/>
          <w:b/>
          <w:bCs/>
          <w:sz w:val="30"/>
          <w:szCs w:val="30"/>
          <w:lang w:eastAsia="zh-CN"/>
        </w:rPr>
        <w:t>。</w:t>
      </w:r>
    </w:p>
    <w:p w14:paraId="7952F743">
      <w:pPr>
        <w:pageBreakBefore w:val="0"/>
        <w:kinsoku/>
        <w:wordWrap/>
        <w:topLinePunct w:val="0"/>
        <w:bidi w:val="0"/>
        <w:snapToGrid w:val="0"/>
        <w:spacing w:line="360" w:lineRule="auto"/>
        <w:ind w:left="1" w:firstLine="771" w:firstLineChars="257"/>
        <w:rPr>
          <w:rFonts w:ascii="仿宋_GB2312" w:eastAsia="仿宋_GB2312"/>
          <w:sz w:val="30"/>
          <w:szCs w:val="30"/>
        </w:rPr>
      </w:pPr>
      <w:r>
        <w:rPr>
          <w:rFonts w:hint="eastAsia" w:ascii="仿宋_GB2312" w:eastAsia="仿宋_GB2312"/>
          <w:sz w:val="30"/>
          <w:szCs w:val="30"/>
        </w:rPr>
        <w:t>发生下列情况之一的，</w:t>
      </w:r>
      <w:r>
        <w:rPr>
          <w:rFonts w:hint="eastAsia" w:ascii="仿宋_GB2312" w:eastAsia="仿宋_GB2312"/>
          <w:sz w:val="30"/>
          <w:szCs w:val="30"/>
          <w:lang w:val="en-US" w:eastAsia="zh-CN"/>
        </w:rPr>
        <w:t>采购人</w:t>
      </w:r>
      <w:r>
        <w:rPr>
          <w:rFonts w:hint="eastAsia" w:ascii="仿宋_GB2312" w:eastAsia="仿宋_GB2312"/>
          <w:sz w:val="30"/>
          <w:szCs w:val="30"/>
        </w:rPr>
        <w:t>可视情况作无效报价处理：</w:t>
      </w:r>
    </w:p>
    <w:p w14:paraId="0EAA2AE1">
      <w:pPr>
        <w:pageBreakBefore w:val="0"/>
        <w:kinsoku/>
        <w:wordWrap/>
        <w:topLinePunct w:val="0"/>
        <w:bidi w:val="0"/>
        <w:snapToGrid w:val="0"/>
        <w:spacing w:line="360" w:lineRule="auto"/>
        <w:ind w:firstLine="612" w:firstLineChars="204"/>
        <w:rPr>
          <w:rFonts w:ascii="仿宋_GB2312" w:eastAsia="仿宋_GB2312"/>
          <w:sz w:val="30"/>
          <w:szCs w:val="30"/>
        </w:rPr>
      </w:pPr>
      <w:r>
        <w:rPr>
          <w:rFonts w:hint="eastAsia" w:ascii="仿宋_GB2312" w:eastAsia="仿宋_GB2312"/>
          <w:sz w:val="30"/>
          <w:szCs w:val="30"/>
        </w:rPr>
        <w:t>（一）在</w:t>
      </w:r>
      <w:r>
        <w:rPr>
          <w:rFonts w:hint="eastAsia" w:ascii="仿宋_GB2312" w:eastAsia="仿宋_GB2312"/>
          <w:sz w:val="30"/>
          <w:szCs w:val="30"/>
          <w:lang w:val="en-US" w:eastAsia="zh-CN"/>
        </w:rPr>
        <w:t>采购人</w:t>
      </w:r>
      <w:r>
        <w:rPr>
          <w:rFonts w:hint="eastAsia" w:ascii="仿宋_GB2312" w:eastAsia="仿宋_GB2312"/>
          <w:sz w:val="30"/>
          <w:szCs w:val="30"/>
        </w:rPr>
        <w:t>规定的截止时间以后送达的报价文件。</w:t>
      </w:r>
    </w:p>
    <w:p w14:paraId="327EDD2E">
      <w:pPr>
        <w:pageBreakBefore w:val="0"/>
        <w:kinsoku/>
        <w:wordWrap/>
        <w:topLinePunct w:val="0"/>
        <w:bidi w:val="0"/>
        <w:snapToGrid w:val="0"/>
        <w:spacing w:line="360" w:lineRule="auto"/>
        <w:ind w:firstLine="612" w:firstLineChars="204"/>
        <w:rPr>
          <w:rFonts w:ascii="仿宋_GB2312" w:eastAsia="仿宋_GB2312"/>
          <w:sz w:val="30"/>
          <w:szCs w:val="30"/>
        </w:rPr>
      </w:pPr>
      <w:r>
        <w:rPr>
          <w:rFonts w:hint="eastAsia" w:ascii="仿宋_GB2312" w:eastAsia="仿宋_GB2312"/>
          <w:sz w:val="30"/>
          <w:szCs w:val="30"/>
        </w:rPr>
        <w:t>（二）提供两个或两个以上报价方案的。</w:t>
      </w:r>
    </w:p>
    <w:p w14:paraId="3D6E0352">
      <w:pPr>
        <w:pageBreakBefore w:val="0"/>
        <w:kinsoku/>
        <w:wordWrap/>
        <w:topLinePunct w:val="0"/>
        <w:bidi w:val="0"/>
        <w:snapToGrid w:val="0"/>
        <w:spacing w:line="360" w:lineRule="auto"/>
        <w:ind w:firstLine="600" w:firstLineChars="200"/>
        <w:jc w:val="left"/>
        <w:rPr>
          <w:rFonts w:hint="eastAsia" w:ascii="仿宋_GB2312" w:eastAsia="仿宋_GB2312"/>
          <w:sz w:val="30"/>
          <w:szCs w:val="30"/>
          <w:lang w:val="en-US" w:eastAsia="zh-CN"/>
        </w:rPr>
      </w:pPr>
      <w:r>
        <w:rPr>
          <w:rFonts w:hint="eastAsia" w:ascii="仿宋_GB2312" w:eastAsia="仿宋_GB2312"/>
          <w:sz w:val="30"/>
          <w:szCs w:val="30"/>
        </w:rPr>
        <w:t>（三）报价文件应盖公章而未盖公章或盖非公司公章、未装订、</w:t>
      </w:r>
      <w:r>
        <w:rPr>
          <w:rFonts w:hint="eastAsia" w:ascii="仿宋_GB2312" w:eastAsia="仿宋_GB2312"/>
          <w:sz w:val="30"/>
          <w:szCs w:val="30"/>
          <w:lang w:val="en-US" w:eastAsia="zh-CN"/>
        </w:rPr>
        <w:t>未密封、未有效授权的。</w:t>
      </w:r>
    </w:p>
    <w:p w14:paraId="31661636">
      <w:pPr>
        <w:pageBreakBefore w:val="0"/>
        <w:kinsoku/>
        <w:wordWrap/>
        <w:topLinePunct w:val="0"/>
        <w:bidi w:val="0"/>
        <w:snapToGrid w:val="0"/>
        <w:spacing w:line="360" w:lineRule="auto"/>
        <w:jc w:val="left"/>
        <w:rPr>
          <w:rFonts w:hint="eastAsia" w:ascii="仿宋_GB2312" w:eastAsia="仿宋_GB2312"/>
          <w:sz w:val="30"/>
          <w:szCs w:val="30"/>
          <w:lang w:val="en-US" w:eastAsia="zh-CN"/>
        </w:rPr>
      </w:pPr>
      <w:r>
        <w:rPr>
          <w:rFonts w:hint="eastAsia" w:ascii="仿宋_GB2312" w:eastAsia="仿宋_GB2312"/>
          <w:sz w:val="30"/>
          <w:szCs w:val="30"/>
          <w:lang w:val="en-US" w:eastAsia="zh-CN"/>
        </w:rPr>
        <w:t xml:space="preserve">    （四）报价总价超过最高限价的。</w:t>
      </w:r>
    </w:p>
    <w:p w14:paraId="0EE49715">
      <w:pPr>
        <w:pageBreakBefore w:val="0"/>
        <w:kinsoku/>
        <w:wordWrap/>
        <w:topLinePunct w:val="0"/>
        <w:bidi w:val="0"/>
        <w:snapToGrid w:val="0"/>
        <w:spacing w:line="360" w:lineRule="auto"/>
        <w:jc w:val="left"/>
        <w:rPr>
          <w:rFonts w:hint="eastAsia" w:ascii="仿宋_GB2312" w:eastAsia="仿宋_GB2312"/>
          <w:sz w:val="30"/>
          <w:szCs w:val="30"/>
          <w:lang w:val="en-US" w:eastAsia="zh-CN"/>
        </w:rPr>
      </w:pPr>
      <w:r>
        <w:rPr>
          <w:rFonts w:hint="eastAsia" w:ascii="仿宋_GB2312" w:eastAsia="仿宋_GB2312"/>
          <w:sz w:val="30"/>
          <w:szCs w:val="30"/>
          <w:lang w:val="en-US" w:eastAsia="zh-CN"/>
        </w:rPr>
        <w:t xml:space="preserve">    （五）所提供的资料存在弄虚作假的。</w:t>
      </w:r>
    </w:p>
    <w:p w14:paraId="22F7029D">
      <w:pPr>
        <w:keepNext w:val="0"/>
        <w:keepLines w:val="0"/>
        <w:pageBreakBefore w:val="0"/>
        <w:widowControl w:val="0"/>
        <w:kinsoku/>
        <w:wordWrap/>
        <w:overflowPunct/>
        <w:topLinePunct w:val="0"/>
        <w:autoSpaceDE/>
        <w:autoSpaceDN/>
        <w:bidi w:val="0"/>
        <w:adjustRightInd/>
        <w:snapToGrid w:val="0"/>
        <w:spacing w:line="360" w:lineRule="auto"/>
        <w:ind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（六）不符合法律法规和本询价文件规定的其他要求的。</w:t>
      </w:r>
    </w:p>
    <w:p w14:paraId="18A6B925">
      <w:pPr>
        <w:pageBreakBefore w:val="0"/>
        <w:kinsoku/>
        <w:wordWrap/>
        <w:topLinePunct w:val="0"/>
        <w:bidi w:val="0"/>
        <w:snapToGrid w:val="0"/>
        <w:spacing w:line="360" w:lineRule="auto"/>
        <w:ind w:left="1" w:firstLine="774" w:firstLineChars="257"/>
        <w:outlineLvl w:val="1"/>
        <w:rPr>
          <w:rFonts w:hint="eastAsia" w:ascii="仿宋_GB2312" w:eastAsia="仿宋_GB2312"/>
          <w:b/>
          <w:bCs/>
          <w:sz w:val="30"/>
          <w:szCs w:val="30"/>
          <w:lang w:val="en-US" w:eastAsia="zh-CN"/>
        </w:rPr>
      </w:pPr>
      <w:r>
        <w:rPr>
          <w:rFonts w:hint="eastAsia" w:ascii="仿宋_GB2312" w:eastAsia="仿宋_GB2312"/>
          <w:b/>
          <w:bCs/>
          <w:sz w:val="30"/>
          <w:szCs w:val="30"/>
          <w:lang w:val="en-US" w:eastAsia="zh-CN"/>
        </w:rPr>
        <w:t>九、询价过程。</w:t>
      </w:r>
    </w:p>
    <w:p w14:paraId="1CC95567">
      <w:pPr>
        <w:pageBreakBefore w:val="0"/>
        <w:kinsoku/>
        <w:wordWrap/>
        <w:topLinePunct w:val="0"/>
        <w:bidi w:val="0"/>
        <w:snapToGrid w:val="0"/>
        <w:spacing w:line="360" w:lineRule="auto"/>
        <w:jc w:val="left"/>
        <w:rPr>
          <w:rFonts w:ascii="仿宋_GB2312" w:eastAsia="仿宋_GB2312"/>
          <w:sz w:val="30"/>
          <w:szCs w:val="30"/>
        </w:rPr>
      </w:pPr>
      <w:r>
        <w:rPr>
          <w:rFonts w:hint="eastAsia" w:ascii="仿宋_GB2312" w:eastAsia="仿宋_GB2312"/>
          <w:sz w:val="30"/>
          <w:szCs w:val="30"/>
        </w:rPr>
        <w:t xml:space="preserve">    （一）</w:t>
      </w:r>
      <w:r>
        <w:rPr>
          <w:rFonts w:hint="eastAsia" w:ascii="仿宋_GB2312" w:eastAsia="仿宋_GB2312"/>
          <w:sz w:val="30"/>
          <w:szCs w:val="30"/>
          <w:lang w:val="en-US" w:eastAsia="zh-CN"/>
        </w:rPr>
        <w:t>采购人</w:t>
      </w:r>
      <w:r>
        <w:rPr>
          <w:rFonts w:hint="eastAsia" w:ascii="仿宋_GB2312" w:eastAsia="仿宋_GB2312"/>
          <w:sz w:val="30"/>
          <w:szCs w:val="30"/>
        </w:rPr>
        <w:t>组织3人</w:t>
      </w:r>
      <w:r>
        <w:rPr>
          <w:rFonts w:hint="eastAsia" w:ascii="仿宋_GB2312" w:eastAsia="仿宋_GB2312"/>
          <w:sz w:val="30"/>
          <w:szCs w:val="30"/>
          <w:lang w:eastAsia="zh-CN"/>
        </w:rPr>
        <w:t>或</w:t>
      </w:r>
      <w:r>
        <w:rPr>
          <w:rFonts w:hint="eastAsia" w:ascii="仿宋_GB2312" w:eastAsia="仿宋_GB2312"/>
          <w:sz w:val="30"/>
          <w:szCs w:val="30"/>
          <w:lang w:val="en-US" w:eastAsia="zh-CN"/>
        </w:rPr>
        <w:t>3人以上</w:t>
      </w:r>
      <w:r>
        <w:rPr>
          <w:rFonts w:hint="eastAsia" w:ascii="仿宋_GB2312" w:eastAsia="仿宋_GB2312"/>
          <w:sz w:val="30"/>
          <w:szCs w:val="30"/>
        </w:rPr>
        <w:t>组成询价评审小组。</w:t>
      </w:r>
    </w:p>
    <w:p w14:paraId="1E895EF2">
      <w:pPr>
        <w:pageBreakBefore w:val="0"/>
        <w:kinsoku/>
        <w:wordWrap/>
        <w:topLinePunct w:val="0"/>
        <w:bidi w:val="0"/>
        <w:snapToGrid w:val="0"/>
        <w:spacing w:line="360" w:lineRule="auto"/>
        <w:ind w:firstLine="600" w:firstLineChars="200"/>
        <w:jc w:val="left"/>
        <w:rPr>
          <w:rFonts w:ascii="仿宋_GB2312" w:eastAsia="仿宋_GB2312"/>
          <w:sz w:val="30"/>
          <w:szCs w:val="30"/>
        </w:rPr>
      </w:pPr>
      <w:r>
        <w:rPr>
          <w:rFonts w:hint="eastAsia" w:ascii="仿宋_GB2312" w:eastAsia="仿宋_GB2312"/>
          <w:sz w:val="30"/>
          <w:szCs w:val="30"/>
        </w:rPr>
        <w:t>（二）</w:t>
      </w:r>
      <w:r>
        <w:rPr>
          <w:rFonts w:hint="eastAsia" w:ascii="仿宋_GB2312" w:eastAsia="仿宋_GB2312"/>
          <w:sz w:val="30"/>
          <w:szCs w:val="30"/>
          <w:lang w:val="en-US" w:eastAsia="zh-CN"/>
        </w:rPr>
        <w:t>采购人</w:t>
      </w:r>
      <w:r>
        <w:rPr>
          <w:rFonts w:hint="eastAsia" w:ascii="仿宋_GB2312" w:eastAsia="仿宋_GB2312"/>
          <w:sz w:val="30"/>
          <w:szCs w:val="30"/>
        </w:rPr>
        <w:t>在询价文件规定的时间和地点</w:t>
      </w:r>
      <w:r>
        <w:rPr>
          <w:rFonts w:hint="eastAsia" w:ascii="仿宋_GB2312" w:eastAsia="仿宋_GB2312"/>
          <w:sz w:val="30"/>
          <w:szCs w:val="30"/>
          <w:lang w:eastAsia="zh-CN"/>
        </w:rPr>
        <w:t>进行开标</w:t>
      </w:r>
      <w:r>
        <w:rPr>
          <w:rFonts w:hint="eastAsia" w:ascii="仿宋_GB2312" w:eastAsia="仿宋_GB2312"/>
          <w:sz w:val="30"/>
          <w:szCs w:val="30"/>
        </w:rPr>
        <w:t>。</w:t>
      </w:r>
    </w:p>
    <w:p w14:paraId="58BE4334">
      <w:pPr>
        <w:pageBreakBefore w:val="0"/>
        <w:kinsoku/>
        <w:wordWrap/>
        <w:topLinePunct w:val="0"/>
        <w:bidi w:val="0"/>
        <w:snapToGrid w:val="0"/>
        <w:spacing w:line="360" w:lineRule="auto"/>
        <w:ind w:firstLine="600" w:firstLineChars="200"/>
        <w:jc w:val="left"/>
        <w:rPr>
          <w:rFonts w:ascii="仿宋_GB2312" w:eastAsia="仿宋_GB2312"/>
          <w:sz w:val="30"/>
          <w:szCs w:val="30"/>
        </w:rPr>
      </w:pPr>
      <w:r>
        <w:rPr>
          <w:rFonts w:hint="eastAsia" w:ascii="仿宋_GB2312" w:eastAsia="仿宋_GB2312"/>
          <w:sz w:val="30"/>
          <w:szCs w:val="30"/>
        </w:rPr>
        <w:t>（三）</w:t>
      </w:r>
      <w:r>
        <w:rPr>
          <w:rFonts w:hint="eastAsia" w:ascii="仿宋_GB2312" w:eastAsia="仿宋_GB2312"/>
          <w:sz w:val="30"/>
          <w:szCs w:val="30"/>
          <w:lang w:eastAsia="zh-CN"/>
        </w:rPr>
        <w:t>开标</w:t>
      </w:r>
      <w:r>
        <w:rPr>
          <w:rFonts w:hint="eastAsia" w:ascii="仿宋_GB2312" w:eastAsia="仿宋_GB2312"/>
          <w:sz w:val="30"/>
          <w:szCs w:val="30"/>
        </w:rPr>
        <w:t>时，</w:t>
      </w:r>
      <w:r>
        <w:rPr>
          <w:rFonts w:hint="eastAsia" w:ascii="仿宋_GB2312" w:eastAsia="仿宋_GB2312"/>
          <w:sz w:val="30"/>
          <w:szCs w:val="30"/>
          <w:lang w:val="en-US" w:eastAsia="zh-CN"/>
        </w:rPr>
        <w:t>采购人</w:t>
      </w:r>
      <w:r>
        <w:rPr>
          <w:rFonts w:hint="eastAsia" w:ascii="仿宋_GB2312" w:eastAsia="仿宋_GB2312"/>
          <w:sz w:val="30"/>
          <w:szCs w:val="30"/>
        </w:rPr>
        <w:t>将查验报价文件密封情况，确认无误后公开拆封报价文件报价。</w:t>
      </w:r>
    </w:p>
    <w:p w14:paraId="140DA1AE">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lang w:eastAsia="zh-CN"/>
        </w:rPr>
      </w:pPr>
      <w:r>
        <w:rPr>
          <w:rFonts w:hint="eastAsia" w:ascii="仿宋_GB2312" w:eastAsia="仿宋_GB2312"/>
          <w:b/>
          <w:bCs/>
          <w:sz w:val="30"/>
          <w:szCs w:val="30"/>
        </w:rPr>
        <w:t>十、</w:t>
      </w:r>
      <w:r>
        <w:rPr>
          <w:rFonts w:hint="eastAsia" w:ascii="仿宋_GB2312" w:eastAsia="仿宋_GB2312"/>
          <w:b/>
          <w:bCs/>
          <w:sz w:val="30"/>
          <w:szCs w:val="30"/>
          <w:lang w:eastAsia="zh-CN"/>
        </w:rPr>
        <w:t>重新询价和不再询价。</w:t>
      </w:r>
    </w:p>
    <w:p w14:paraId="18E1B25D">
      <w:pPr>
        <w:pageBreakBefore w:val="0"/>
        <w:kinsoku/>
        <w:wordWrap/>
        <w:topLinePunct w:val="0"/>
        <w:bidi w:val="0"/>
        <w:snapToGrid w:val="0"/>
        <w:spacing w:line="360" w:lineRule="auto"/>
        <w:ind w:firstLine="600" w:firstLineChars="200"/>
        <w:jc w:val="left"/>
        <w:rPr>
          <w:rFonts w:hint="eastAsia" w:ascii="仿宋_GB2312" w:eastAsia="仿宋_GB2312"/>
          <w:sz w:val="30"/>
          <w:szCs w:val="30"/>
          <w:lang w:val="en-US" w:eastAsia="zh-CN"/>
        </w:rPr>
      </w:pPr>
      <w:r>
        <w:rPr>
          <w:rFonts w:hint="eastAsia" w:ascii="仿宋_GB2312" w:eastAsia="仿宋_GB2312"/>
          <w:sz w:val="30"/>
          <w:szCs w:val="30"/>
          <w:lang w:val="en-US" w:eastAsia="zh-CN"/>
        </w:rPr>
        <w:t>（一）重新询价</w:t>
      </w:r>
    </w:p>
    <w:p w14:paraId="0199C01A">
      <w:pPr>
        <w:pageBreakBefore w:val="0"/>
        <w:kinsoku/>
        <w:wordWrap/>
        <w:topLinePunct w:val="0"/>
        <w:bidi w:val="0"/>
        <w:snapToGrid w:val="0"/>
        <w:spacing w:line="360" w:lineRule="auto"/>
        <w:ind w:firstLine="600" w:firstLineChars="200"/>
        <w:jc w:val="left"/>
        <w:rPr>
          <w:rFonts w:hint="eastAsia" w:ascii="仿宋_GB2312" w:eastAsia="仿宋_GB2312"/>
          <w:sz w:val="30"/>
          <w:szCs w:val="30"/>
          <w:lang w:val="en-US" w:eastAsia="zh-CN"/>
        </w:rPr>
      </w:pPr>
      <w:r>
        <w:rPr>
          <w:rFonts w:hint="eastAsia" w:ascii="仿宋_GB2312" w:eastAsia="仿宋_GB2312"/>
          <w:sz w:val="30"/>
          <w:szCs w:val="30"/>
          <w:lang w:eastAsia="zh-CN"/>
        </w:rPr>
        <w:t>询价截止时间止，报价人少于3家的或经评审后有效标不足3家，采购人将重新询价。</w:t>
      </w:r>
    </w:p>
    <w:p w14:paraId="20EDC6C4">
      <w:pPr>
        <w:pageBreakBefore w:val="0"/>
        <w:kinsoku/>
        <w:wordWrap/>
        <w:topLinePunct w:val="0"/>
        <w:bidi w:val="0"/>
        <w:snapToGrid w:val="0"/>
        <w:spacing w:line="360" w:lineRule="auto"/>
        <w:ind w:firstLine="600" w:firstLineChars="200"/>
        <w:jc w:val="left"/>
        <w:rPr>
          <w:rFonts w:hint="eastAsia" w:ascii="仿宋_GB2312" w:eastAsia="仿宋_GB2312"/>
          <w:sz w:val="30"/>
          <w:szCs w:val="30"/>
          <w:lang w:val="en-US" w:eastAsia="zh-CN"/>
        </w:rPr>
      </w:pPr>
      <w:r>
        <w:rPr>
          <w:rFonts w:hint="eastAsia" w:ascii="仿宋_GB2312" w:eastAsia="仿宋_GB2312"/>
          <w:sz w:val="30"/>
          <w:szCs w:val="30"/>
          <w:lang w:val="en-US" w:eastAsia="zh-CN"/>
        </w:rPr>
        <w:t>（二）不再询价</w:t>
      </w:r>
    </w:p>
    <w:p w14:paraId="31C36D92">
      <w:pPr>
        <w:pageBreakBefore w:val="0"/>
        <w:kinsoku/>
        <w:wordWrap/>
        <w:topLinePunct w:val="0"/>
        <w:bidi w:val="0"/>
        <w:snapToGrid w:val="0"/>
        <w:spacing w:line="360" w:lineRule="auto"/>
        <w:ind w:firstLine="600" w:firstLineChars="200"/>
        <w:jc w:val="left"/>
        <w:rPr>
          <w:rFonts w:hint="eastAsia" w:ascii="仿宋_GB2312" w:eastAsia="仿宋_GB2312"/>
          <w:sz w:val="30"/>
          <w:szCs w:val="30"/>
          <w:lang w:val="en-US" w:eastAsia="zh-CN"/>
        </w:rPr>
      </w:pPr>
      <w:r>
        <w:rPr>
          <w:rFonts w:hint="eastAsia" w:ascii="仿宋_GB2312" w:eastAsia="仿宋_GB2312"/>
          <w:sz w:val="30"/>
          <w:szCs w:val="30"/>
          <w:lang w:val="en-US" w:eastAsia="zh-CN"/>
        </w:rPr>
        <w:t>重新询价后报价人仍少于3个或者经评审有效标不足3家，直接转为竞争性谈判，询价文件即为谈判文件，评标小组成员即为谈判小组成员。</w:t>
      </w:r>
    </w:p>
    <w:p w14:paraId="16687E2F">
      <w:pPr>
        <w:pageBreakBefore w:val="0"/>
        <w:kinsoku/>
        <w:wordWrap/>
        <w:topLinePunct w:val="0"/>
        <w:bidi w:val="0"/>
        <w:snapToGrid w:val="0"/>
        <w:spacing w:line="360" w:lineRule="auto"/>
        <w:ind w:firstLine="602" w:firstLineChars="200"/>
        <w:jc w:val="left"/>
        <w:outlineLvl w:val="1"/>
        <w:rPr>
          <w:rFonts w:ascii="仿宋_GB2312" w:eastAsia="仿宋_GB2312"/>
          <w:b/>
          <w:bCs/>
          <w:color w:val="auto"/>
          <w:sz w:val="30"/>
          <w:szCs w:val="30"/>
          <w:highlight w:val="none"/>
        </w:rPr>
      </w:pPr>
      <w:r>
        <w:rPr>
          <w:rFonts w:hint="eastAsia" w:ascii="仿宋_GB2312" w:eastAsia="仿宋_GB2312"/>
          <w:b/>
          <w:bCs/>
          <w:color w:val="auto"/>
          <w:sz w:val="30"/>
          <w:szCs w:val="30"/>
          <w:highlight w:val="none"/>
          <w:lang w:eastAsia="zh-CN"/>
        </w:rPr>
        <w:t>十一、</w:t>
      </w:r>
      <w:r>
        <w:rPr>
          <w:rFonts w:hint="eastAsia" w:ascii="仿宋_GB2312" w:eastAsia="仿宋_GB2312"/>
          <w:b/>
          <w:bCs/>
          <w:color w:val="auto"/>
          <w:sz w:val="30"/>
          <w:szCs w:val="30"/>
          <w:highlight w:val="none"/>
        </w:rPr>
        <w:t>成交原则与</w:t>
      </w:r>
      <w:r>
        <w:rPr>
          <w:rFonts w:hint="eastAsia" w:ascii="仿宋_GB2312" w:eastAsia="仿宋_GB2312"/>
          <w:b/>
          <w:bCs/>
          <w:color w:val="auto"/>
          <w:sz w:val="30"/>
          <w:szCs w:val="30"/>
          <w:highlight w:val="none"/>
          <w:lang w:val="en-US" w:eastAsia="zh-CN"/>
        </w:rPr>
        <w:t>二次报价</w:t>
      </w:r>
      <w:r>
        <w:rPr>
          <w:rFonts w:hint="eastAsia" w:ascii="仿宋_GB2312" w:eastAsia="仿宋_GB2312"/>
          <w:b/>
          <w:bCs/>
          <w:color w:val="auto"/>
          <w:sz w:val="30"/>
          <w:szCs w:val="30"/>
          <w:highlight w:val="none"/>
        </w:rPr>
        <w:t>。</w:t>
      </w:r>
    </w:p>
    <w:p w14:paraId="6A6C15B8">
      <w:pPr>
        <w:pageBreakBefore w:val="0"/>
        <w:kinsoku/>
        <w:wordWrap/>
        <w:topLinePunct w:val="0"/>
        <w:bidi w:val="0"/>
        <w:snapToGrid w:val="0"/>
        <w:spacing w:line="360" w:lineRule="auto"/>
        <w:ind w:firstLine="600" w:firstLineChars="200"/>
        <w:jc w:val="left"/>
        <w:rPr>
          <w:rFonts w:hint="eastAsia" w:ascii="仿宋_GB2312" w:eastAsia="仿宋_GB2312"/>
          <w:color w:val="auto"/>
          <w:sz w:val="30"/>
          <w:szCs w:val="30"/>
          <w:highlight w:val="none"/>
          <w:lang w:eastAsia="zh-CN"/>
        </w:rPr>
      </w:pPr>
      <w:r>
        <w:rPr>
          <w:rFonts w:hint="eastAsia" w:ascii="仿宋_GB2312" w:eastAsia="仿宋_GB2312"/>
          <w:color w:val="auto"/>
          <w:sz w:val="30"/>
          <w:szCs w:val="30"/>
          <w:highlight w:val="none"/>
        </w:rPr>
        <w:t>（一）为保障公司利益最大化，在初次</w:t>
      </w:r>
      <w:r>
        <w:rPr>
          <w:rFonts w:hint="eastAsia" w:ascii="仿宋_GB2312" w:eastAsia="仿宋_GB2312"/>
          <w:color w:val="auto"/>
          <w:sz w:val="30"/>
          <w:szCs w:val="30"/>
          <w:highlight w:val="none"/>
          <w:lang w:val="en-US" w:eastAsia="zh-CN"/>
        </w:rPr>
        <w:t>报价</w:t>
      </w:r>
      <w:r>
        <w:rPr>
          <w:rFonts w:hint="eastAsia" w:ascii="仿宋_GB2312" w:eastAsia="仿宋_GB2312"/>
          <w:color w:val="auto"/>
          <w:sz w:val="30"/>
          <w:szCs w:val="30"/>
          <w:highlight w:val="none"/>
        </w:rPr>
        <w:t>基础上，我司将开展二次</w:t>
      </w:r>
      <w:r>
        <w:rPr>
          <w:rFonts w:hint="eastAsia" w:ascii="仿宋_GB2312" w:eastAsia="仿宋_GB2312"/>
          <w:color w:val="auto"/>
          <w:sz w:val="30"/>
          <w:szCs w:val="30"/>
          <w:highlight w:val="none"/>
          <w:lang w:val="en-US" w:eastAsia="zh-CN"/>
        </w:rPr>
        <w:t>报价</w:t>
      </w:r>
      <w:r>
        <w:rPr>
          <w:rFonts w:hint="eastAsia" w:ascii="仿宋_GB2312" w:eastAsia="仿宋_GB2312"/>
          <w:color w:val="auto"/>
          <w:sz w:val="30"/>
          <w:szCs w:val="30"/>
          <w:highlight w:val="none"/>
        </w:rPr>
        <w:t>工作。</w:t>
      </w:r>
      <w:r>
        <w:rPr>
          <w:rFonts w:hint="eastAsia" w:ascii="仿宋_GB2312" w:eastAsia="仿宋_GB2312"/>
          <w:color w:val="auto"/>
          <w:sz w:val="30"/>
          <w:szCs w:val="30"/>
          <w:highlight w:val="none"/>
          <w:lang w:eastAsia="zh-CN"/>
        </w:rPr>
        <w:t>二次</w:t>
      </w:r>
      <w:r>
        <w:rPr>
          <w:rFonts w:hint="eastAsia" w:ascii="仿宋_GB2312" w:eastAsia="仿宋_GB2312"/>
          <w:color w:val="auto"/>
          <w:sz w:val="30"/>
          <w:szCs w:val="30"/>
          <w:highlight w:val="none"/>
          <w:lang w:val="en-US" w:eastAsia="zh-CN"/>
        </w:rPr>
        <w:t>报价</w:t>
      </w:r>
      <w:r>
        <w:rPr>
          <w:rFonts w:hint="eastAsia" w:ascii="仿宋_GB2312" w:eastAsia="仿宋_GB2312"/>
          <w:color w:val="auto"/>
          <w:sz w:val="30"/>
          <w:szCs w:val="30"/>
          <w:highlight w:val="none"/>
          <w:lang w:eastAsia="zh-CN"/>
        </w:rPr>
        <w:t>将针对初次</w:t>
      </w:r>
      <w:r>
        <w:rPr>
          <w:rFonts w:hint="eastAsia" w:ascii="仿宋_GB2312" w:eastAsia="仿宋_GB2312"/>
          <w:color w:val="auto"/>
          <w:sz w:val="30"/>
          <w:szCs w:val="30"/>
          <w:highlight w:val="none"/>
          <w:lang w:val="en-US" w:eastAsia="zh-CN"/>
        </w:rPr>
        <w:t>报价</w:t>
      </w:r>
      <w:r>
        <w:rPr>
          <w:rFonts w:hint="eastAsia" w:ascii="仿宋_GB2312" w:eastAsia="仿宋_GB2312"/>
          <w:color w:val="auto"/>
          <w:sz w:val="30"/>
          <w:szCs w:val="30"/>
          <w:highlight w:val="none"/>
          <w:lang w:eastAsia="zh-CN"/>
        </w:rPr>
        <w:t>中部分关键条款或价格存在调整空间的物资/服务，</w:t>
      </w:r>
      <w:r>
        <w:rPr>
          <w:rFonts w:hint="eastAsia" w:ascii="仿宋_GB2312" w:eastAsia="仿宋_GB2312"/>
          <w:color w:val="auto"/>
          <w:sz w:val="30"/>
          <w:szCs w:val="30"/>
          <w:highlight w:val="none"/>
          <w:lang w:val="en-US" w:eastAsia="zh-CN"/>
        </w:rPr>
        <w:t>遵循公平、公正、公开的原则进行。</w:t>
      </w:r>
      <w:r>
        <w:rPr>
          <w:rFonts w:hint="eastAsia" w:ascii="仿宋_GB2312" w:eastAsia="仿宋_GB2312"/>
          <w:color w:val="auto"/>
          <w:sz w:val="30"/>
          <w:szCs w:val="30"/>
          <w:highlight w:val="none"/>
          <w:lang w:eastAsia="zh-CN"/>
        </w:rPr>
        <w:t>参与二次</w:t>
      </w:r>
      <w:r>
        <w:rPr>
          <w:rFonts w:hint="eastAsia" w:ascii="仿宋_GB2312" w:eastAsia="仿宋_GB2312"/>
          <w:color w:val="auto"/>
          <w:sz w:val="30"/>
          <w:szCs w:val="30"/>
          <w:highlight w:val="none"/>
          <w:lang w:val="en-US" w:eastAsia="zh-CN"/>
        </w:rPr>
        <w:t>报价</w:t>
      </w:r>
      <w:r>
        <w:rPr>
          <w:rFonts w:hint="eastAsia" w:ascii="仿宋_GB2312" w:eastAsia="仿宋_GB2312"/>
          <w:color w:val="auto"/>
          <w:sz w:val="30"/>
          <w:szCs w:val="30"/>
          <w:highlight w:val="none"/>
          <w:lang w:eastAsia="zh-CN"/>
        </w:rPr>
        <w:t>的报价人需严格按照</w:t>
      </w:r>
      <w:r>
        <w:rPr>
          <w:rFonts w:hint="eastAsia" w:ascii="仿宋_GB2312" w:eastAsia="仿宋_GB2312"/>
          <w:color w:val="auto"/>
          <w:sz w:val="30"/>
          <w:szCs w:val="30"/>
          <w:highlight w:val="none"/>
          <w:lang w:val="en-US" w:eastAsia="zh-CN"/>
        </w:rPr>
        <w:t>采购人</w:t>
      </w:r>
      <w:r>
        <w:rPr>
          <w:rFonts w:hint="eastAsia" w:ascii="仿宋_GB2312" w:eastAsia="仿宋_GB2312"/>
          <w:color w:val="auto"/>
          <w:sz w:val="30"/>
          <w:szCs w:val="30"/>
          <w:highlight w:val="none"/>
          <w:lang w:eastAsia="zh-CN"/>
        </w:rPr>
        <w:t>提供的二次</w:t>
      </w:r>
      <w:r>
        <w:rPr>
          <w:rFonts w:hint="eastAsia" w:ascii="仿宋_GB2312" w:eastAsia="仿宋_GB2312"/>
          <w:color w:val="auto"/>
          <w:sz w:val="30"/>
          <w:szCs w:val="30"/>
          <w:highlight w:val="none"/>
          <w:lang w:val="en-US" w:eastAsia="zh-CN"/>
        </w:rPr>
        <w:t>报价</w:t>
      </w:r>
      <w:r>
        <w:rPr>
          <w:rFonts w:hint="eastAsia" w:ascii="仿宋_GB2312" w:eastAsia="仿宋_GB2312"/>
          <w:color w:val="auto"/>
          <w:sz w:val="30"/>
          <w:szCs w:val="30"/>
          <w:highlight w:val="none"/>
          <w:lang w:eastAsia="zh-CN"/>
        </w:rPr>
        <w:t>文件要求，在规定的时间内提交详细且具有竞争力的报价及相关说明。报价应涵盖所有费用明细，确保清晰透明。报价人在二次报价时，除需提供更新后的价格信息外，还需对初次报价中的相关疑问或我司提出的特定要求做出明确回应，确保报价的完整性与准确性。</w:t>
      </w:r>
      <w:r>
        <w:rPr>
          <w:rFonts w:hint="eastAsia" w:ascii="仿宋_GB2312" w:eastAsia="仿宋_GB2312"/>
          <w:color w:val="auto"/>
          <w:sz w:val="30"/>
          <w:szCs w:val="30"/>
          <w:highlight w:val="none"/>
          <w:lang w:val="en-US" w:eastAsia="zh-CN"/>
        </w:rPr>
        <w:t>采购人将严格按照既定的招标流程和时间安排，向符合条件的报价人电话发出二次报价通知。报价人的二次报价一经提交，不得更改。采购人组织评审小组对各单位的二次报价资料当场进行审核，在满足采购人要求的前提下，以二次报价金额最低价成交的原则确定中标单位。若出现税率不一致的情况，将以不含税总金额进行比对。 如果出现相同总金额最低报价情况时</w:t>
      </w:r>
      <w:r>
        <w:rPr>
          <w:rFonts w:hint="eastAsia" w:ascii="仿宋_GB2312" w:eastAsia="仿宋_GB2312"/>
          <w:color w:val="auto"/>
          <w:sz w:val="30"/>
          <w:szCs w:val="30"/>
          <w:highlight w:val="none"/>
        </w:rPr>
        <w:t>，总金额最低报价相同的</w:t>
      </w:r>
      <w:r>
        <w:rPr>
          <w:rFonts w:hint="eastAsia" w:ascii="仿宋_GB2312" w:eastAsia="仿宋_GB2312"/>
          <w:color w:val="auto"/>
          <w:sz w:val="30"/>
          <w:szCs w:val="30"/>
          <w:highlight w:val="none"/>
          <w:lang w:val="en-US" w:eastAsia="zh-CN"/>
        </w:rPr>
        <w:t>报价人</w:t>
      </w:r>
      <w:r>
        <w:rPr>
          <w:rFonts w:hint="eastAsia" w:ascii="仿宋_GB2312" w:eastAsia="仿宋_GB2312"/>
          <w:color w:val="auto"/>
          <w:sz w:val="30"/>
          <w:szCs w:val="30"/>
          <w:highlight w:val="none"/>
        </w:rPr>
        <w:t>再进行一轮报价。如报价再相同，则由</w:t>
      </w:r>
      <w:r>
        <w:rPr>
          <w:rFonts w:hint="eastAsia" w:ascii="仿宋_GB2312" w:eastAsia="仿宋_GB2312"/>
          <w:color w:val="auto"/>
          <w:sz w:val="30"/>
          <w:szCs w:val="30"/>
          <w:highlight w:val="none"/>
          <w:lang w:val="en-US" w:eastAsia="zh-CN"/>
        </w:rPr>
        <w:t>采购人</w:t>
      </w:r>
      <w:r>
        <w:rPr>
          <w:rFonts w:hint="eastAsia" w:ascii="仿宋_GB2312" w:eastAsia="仿宋_GB2312"/>
          <w:color w:val="auto"/>
          <w:sz w:val="30"/>
          <w:szCs w:val="30"/>
          <w:highlight w:val="none"/>
        </w:rPr>
        <w:t>抽签决定</w:t>
      </w:r>
      <w:r>
        <w:rPr>
          <w:rFonts w:hint="eastAsia" w:ascii="仿宋_GB2312" w:eastAsia="仿宋_GB2312"/>
          <w:color w:val="auto"/>
          <w:sz w:val="30"/>
          <w:szCs w:val="30"/>
          <w:highlight w:val="none"/>
          <w:lang w:val="en-US" w:eastAsia="zh-CN"/>
        </w:rPr>
        <w:t>中标单位。</w:t>
      </w:r>
    </w:p>
    <w:p w14:paraId="4ED82A19">
      <w:pPr>
        <w:pStyle w:val="12"/>
        <w:snapToGrid/>
        <w:spacing w:line="360" w:lineRule="auto"/>
        <w:rPr>
          <w:rFonts w:hint="eastAsia"/>
          <w:color w:val="auto"/>
          <w:lang w:eastAsia="zh-CN"/>
        </w:rPr>
      </w:pPr>
      <w:r>
        <w:rPr>
          <w:rFonts w:hint="eastAsia" w:ascii="仿宋_GB2312" w:eastAsia="仿宋_GB2312"/>
          <w:color w:val="auto"/>
          <w:sz w:val="30"/>
          <w:szCs w:val="30"/>
          <w:highlight w:val="none"/>
          <w:lang w:eastAsia="zh-CN"/>
        </w:rPr>
        <w:t>（</w:t>
      </w:r>
      <w:r>
        <w:rPr>
          <w:rFonts w:hint="eastAsia" w:ascii="仿宋_GB2312" w:eastAsia="仿宋_GB2312"/>
          <w:color w:val="auto"/>
          <w:sz w:val="30"/>
          <w:szCs w:val="30"/>
          <w:highlight w:val="none"/>
          <w:lang w:val="en-US" w:eastAsia="zh-CN"/>
        </w:rPr>
        <w:t>二</w:t>
      </w:r>
      <w:r>
        <w:rPr>
          <w:rFonts w:hint="eastAsia" w:ascii="仿宋_GB2312" w:eastAsia="仿宋_GB2312"/>
          <w:color w:val="auto"/>
          <w:sz w:val="30"/>
          <w:szCs w:val="30"/>
          <w:highlight w:val="none"/>
          <w:lang w:eastAsia="zh-CN"/>
        </w:rPr>
        <w:t>）</w:t>
      </w:r>
      <w:r>
        <w:rPr>
          <w:rFonts w:hint="eastAsia" w:ascii="仿宋_GB2312" w:eastAsia="仿宋_GB2312"/>
          <w:color w:val="auto"/>
          <w:sz w:val="30"/>
          <w:szCs w:val="30"/>
          <w:highlight w:val="none"/>
          <w:lang w:val="en-US" w:eastAsia="zh-CN"/>
        </w:rPr>
        <w:t>二次报价流程仅限于采购总金额限价人民币10万元（含）以上的采购项目展开，若采购总金额限价低于人民币10万元（不含）则不进行二次报价，以初次递交报价文件为最终报价。</w:t>
      </w:r>
    </w:p>
    <w:p w14:paraId="3678CC37">
      <w:pPr>
        <w:pStyle w:val="12"/>
        <w:snapToGrid/>
        <w:spacing w:line="360" w:lineRule="auto"/>
        <w:ind w:left="0" w:leftChars="0" w:firstLine="600" w:firstLineChars="0"/>
        <w:rPr>
          <w:rFonts w:hint="default" w:ascii="仿宋_GB2312" w:eastAsia="仿宋_GB2312"/>
          <w:color w:val="auto"/>
          <w:sz w:val="30"/>
          <w:szCs w:val="30"/>
          <w:highlight w:val="none"/>
          <w:lang w:val="en-US" w:eastAsia="zh-CN"/>
        </w:rPr>
      </w:pPr>
      <w:r>
        <w:rPr>
          <w:rFonts w:hint="eastAsia" w:ascii="仿宋_GB2312" w:eastAsia="仿宋_GB2312"/>
          <w:color w:val="auto"/>
          <w:sz w:val="30"/>
          <w:szCs w:val="30"/>
          <w:highlight w:val="none"/>
          <w:lang w:val="en-US" w:eastAsia="zh-CN"/>
        </w:rPr>
        <w:t>（三）参与二次报价的报价人需在接到采购人电话通知后30分钟内将盖章后的二次报价文件电子版发至邮箱dzw@sxszsny.com。若超过30分钟采购人未收到准确有效的二次报价文件，则默认报价人保持原价。二次报价文件内容参照附件“二次报价一览表”。</w:t>
      </w:r>
    </w:p>
    <w:p w14:paraId="173ABC32">
      <w:pPr>
        <w:pageBreakBefore w:val="0"/>
        <w:kinsoku/>
        <w:wordWrap/>
        <w:topLinePunct w:val="0"/>
        <w:bidi w:val="0"/>
        <w:snapToGrid w:val="0"/>
        <w:spacing w:line="360" w:lineRule="auto"/>
        <w:ind w:left="974" w:leftChars="64" w:hanging="840" w:hangingChars="280"/>
        <w:jc w:val="left"/>
        <w:rPr>
          <w:rFonts w:ascii="仿宋_GB2312" w:eastAsia="仿宋_GB2312"/>
          <w:color w:val="FF0000"/>
          <w:sz w:val="30"/>
          <w:szCs w:val="30"/>
        </w:rPr>
      </w:pPr>
      <w:r>
        <w:rPr>
          <w:rFonts w:hint="eastAsia" w:ascii="仿宋_GB2312" w:eastAsia="仿宋_GB2312"/>
          <w:color w:val="auto"/>
          <w:sz w:val="30"/>
          <w:szCs w:val="30"/>
          <w:highlight w:val="none"/>
        </w:rPr>
        <w:t xml:space="preserve">   （</w:t>
      </w:r>
      <w:r>
        <w:rPr>
          <w:rFonts w:hint="eastAsia" w:ascii="仿宋_GB2312" w:eastAsia="仿宋_GB2312"/>
          <w:color w:val="auto"/>
          <w:sz w:val="30"/>
          <w:szCs w:val="30"/>
          <w:highlight w:val="none"/>
          <w:lang w:val="en-US" w:eastAsia="zh-CN"/>
        </w:rPr>
        <w:t>四</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val="en-US" w:eastAsia="zh-CN"/>
        </w:rPr>
        <w:t>采购人</w:t>
      </w:r>
      <w:r>
        <w:rPr>
          <w:rFonts w:hint="eastAsia" w:ascii="仿宋_GB2312" w:eastAsia="仿宋_GB2312"/>
          <w:color w:val="auto"/>
          <w:sz w:val="30"/>
          <w:szCs w:val="30"/>
          <w:highlight w:val="none"/>
        </w:rPr>
        <w:t>不向未</w:t>
      </w:r>
      <w:r>
        <w:rPr>
          <w:rFonts w:hint="eastAsia" w:ascii="仿宋_GB2312" w:eastAsia="仿宋_GB2312"/>
          <w:color w:val="auto"/>
          <w:sz w:val="30"/>
          <w:szCs w:val="30"/>
          <w:highlight w:val="none"/>
          <w:lang w:val="en-US" w:eastAsia="zh-CN"/>
        </w:rPr>
        <w:t>中标单位</w:t>
      </w:r>
      <w:r>
        <w:rPr>
          <w:rFonts w:hint="eastAsia" w:ascii="仿宋_GB2312" w:eastAsia="仿宋_GB2312"/>
          <w:color w:val="auto"/>
          <w:sz w:val="30"/>
          <w:szCs w:val="30"/>
          <w:highlight w:val="none"/>
        </w:rPr>
        <w:t>解释未成交原因，不退还报价文件。</w:t>
      </w:r>
    </w:p>
    <w:p w14:paraId="3C6B639F">
      <w:pPr>
        <w:pStyle w:val="19"/>
        <w:pageBreakBefore w:val="0"/>
        <w:widowControl w:val="0"/>
        <w:kinsoku/>
        <w:wordWrap/>
        <w:topLinePunct w:val="0"/>
        <w:bidi w:val="0"/>
        <w:snapToGrid w:val="0"/>
        <w:spacing w:line="360" w:lineRule="auto"/>
        <w:ind w:firstLine="601"/>
        <w:outlineLvl w:val="1"/>
        <w:rPr>
          <w:rFonts w:hint="eastAsia" w:ascii="仿宋_GB2312" w:eastAsia="仿宋_GB2312"/>
          <w:b/>
          <w:bCs/>
          <w:sz w:val="30"/>
          <w:szCs w:val="30"/>
          <w:lang w:eastAsia="zh-CN"/>
        </w:rPr>
      </w:pPr>
      <w:r>
        <w:rPr>
          <w:rFonts w:hint="eastAsia" w:ascii="仿宋_GB2312" w:eastAsia="仿宋_GB2312"/>
          <w:b/>
          <w:bCs/>
          <w:sz w:val="30"/>
          <w:szCs w:val="30"/>
        </w:rPr>
        <w:t>十</w:t>
      </w:r>
      <w:r>
        <w:rPr>
          <w:rFonts w:hint="eastAsia" w:ascii="仿宋_GB2312" w:eastAsia="仿宋_GB2312"/>
          <w:b/>
          <w:bCs/>
          <w:sz w:val="30"/>
          <w:szCs w:val="30"/>
          <w:lang w:eastAsia="zh-CN"/>
        </w:rPr>
        <w:t>二</w:t>
      </w:r>
      <w:r>
        <w:rPr>
          <w:rFonts w:hint="eastAsia" w:ascii="仿宋_GB2312" w:eastAsia="仿宋_GB2312"/>
          <w:b/>
          <w:bCs/>
          <w:sz w:val="30"/>
          <w:szCs w:val="30"/>
        </w:rPr>
        <w:t>、合同</w:t>
      </w:r>
      <w:r>
        <w:rPr>
          <w:rFonts w:hint="eastAsia" w:ascii="仿宋_GB2312" w:eastAsia="仿宋_GB2312"/>
          <w:b/>
          <w:bCs/>
          <w:sz w:val="30"/>
          <w:szCs w:val="30"/>
          <w:lang w:eastAsia="zh-CN"/>
        </w:rPr>
        <w:t>。</w:t>
      </w:r>
    </w:p>
    <w:p w14:paraId="5FFD1E09">
      <w:pPr>
        <w:pageBreakBefore w:val="0"/>
        <w:kinsoku/>
        <w:wordWrap/>
        <w:topLinePunct w:val="0"/>
        <w:bidi w:val="0"/>
        <w:snapToGrid w:val="0"/>
        <w:spacing w:line="360" w:lineRule="auto"/>
        <w:ind w:firstLine="600" w:firstLineChars="200"/>
        <w:jc w:val="left"/>
        <w:rPr>
          <w:rFonts w:hint="eastAsia" w:ascii="仿宋_GB2312" w:hAnsi="Times New Roman" w:eastAsia="仿宋_GB2312" w:cs="Times New Roman"/>
          <w:sz w:val="30"/>
          <w:szCs w:val="30"/>
          <w:lang w:eastAsia="zh-CN"/>
        </w:rPr>
      </w:pPr>
      <w:r>
        <w:rPr>
          <w:rFonts w:hint="eastAsia" w:ascii="仿宋_GB2312" w:eastAsia="仿宋_GB2312"/>
          <w:sz w:val="30"/>
          <w:szCs w:val="30"/>
        </w:rPr>
        <w:t>合同签订：</w:t>
      </w:r>
      <w:r>
        <w:rPr>
          <w:rFonts w:hint="eastAsia" w:ascii="仿宋_GB2312" w:eastAsia="仿宋_GB2312"/>
          <w:sz w:val="30"/>
          <w:szCs w:val="30"/>
          <w:lang w:val="en-US" w:eastAsia="zh-CN"/>
        </w:rPr>
        <w:t>报价人</w:t>
      </w:r>
      <w:r>
        <w:rPr>
          <w:rFonts w:hint="eastAsia" w:ascii="仿宋_GB2312" w:eastAsia="仿宋_GB2312"/>
          <w:sz w:val="30"/>
          <w:szCs w:val="30"/>
        </w:rPr>
        <w:t>按照上述第十</w:t>
      </w:r>
      <w:r>
        <w:rPr>
          <w:rFonts w:hint="eastAsia" w:ascii="仿宋_GB2312" w:eastAsia="仿宋_GB2312"/>
          <w:sz w:val="30"/>
          <w:szCs w:val="30"/>
          <w:lang w:eastAsia="zh-CN"/>
        </w:rPr>
        <w:t>一</w:t>
      </w:r>
      <w:r>
        <w:rPr>
          <w:rFonts w:hint="eastAsia" w:ascii="仿宋_GB2312" w:eastAsia="仿宋_GB2312"/>
          <w:sz w:val="30"/>
          <w:szCs w:val="30"/>
        </w:rPr>
        <w:t>条规定确定</w:t>
      </w:r>
      <w:r>
        <w:rPr>
          <w:rFonts w:hint="eastAsia" w:ascii="仿宋_GB2312" w:eastAsia="仿宋_GB2312"/>
          <w:sz w:val="30"/>
          <w:szCs w:val="30"/>
          <w:lang w:val="en-US" w:eastAsia="zh-CN"/>
        </w:rPr>
        <w:t>中标单位</w:t>
      </w:r>
      <w:r>
        <w:rPr>
          <w:rFonts w:hint="eastAsia" w:ascii="仿宋_GB2312" w:eastAsia="仿宋_GB2312"/>
          <w:sz w:val="30"/>
          <w:szCs w:val="30"/>
        </w:rPr>
        <w:t>，并签订采购合同，签约单位为</w:t>
      </w:r>
      <w:r>
        <w:rPr>
          <w:rFonts w:hint="eastAsia" w:ascii="仿宋_GB2312" w:eastAsia="仿宋_GB2312"/>
          <w:sz w:val="30"/>
          <w:szCs w:val="30"/>
          <w:lang w:eastAsia="zh-CN"/>
        </w:rPr>
        <w:t>绍兴市再生能源发展有限公司</w:t>
      </w:r>
      <w:r>
        <w:rPr>
          <w:rFonts w:hint="eastAsia" w:ascii="仿宋_GB2312" w:eastAsia="仿宋_GB2312"/>
          <w:sz w:val="30"/>
          <w:szCs w:val="30"/>
        </w:rPr>
        <w:t>。合同履行期间，采购人可根据实际需要，按照成交价格，调整采购数量。</w:t>
      </w:r>
      <w:r>
        <w:rPr>
          <w:rFonts w:hint="eastAsia" w:ascii="仿宋_GB2312" w:hAnsi="Times New Roman" w:eastAsia="仿宋_GB2312" w:cs="Times New Roman"/>
          <w:sz w:val="30"/>
          <w:szCs w:val="30"/>
          <w:lang w:eastAsia="zh-CN"/>
        </w:rPr>
        <w:t>（成交价格及采购数量不得超过原合同的百分之十）</w:t>
      </w:r>
    </w:p>
    <w:p w14:paraId="405C3781">
      <w:pPr>
        <w:pageBreakBefore w:val="0"/>
        <w:kinsoku/>
        <w:wordWrap/>
        <w:topLinePunct w:val="0"/>
        <w:bidi w:val="0"/>
        <w:snapToGrid w:val="0"/>
        <w:spacing w:line="360" w:lineRule="auto"/>
        <w:ind w:firstLine="600" w:firstLineChars="200"/>
        <w:jc w:val="left"/>
        <w:rPr>
          <w:rFonts w:hint="eastAsia"/>
        </w:rPr>
      </w:pPr>
      <w:r>
        <w:rPr>
          <w:rFonts w:hint="eastAsia" w:ascii="仿宋_GB2312" w:eastAsia="仿宋_GB2312"/>
          <w:sz w:val="30"/>
          <w:szCs w:val="30"/>
          <w:lang w:eastAsia="zh-CN"/>
        </w:rPr>
        <w:t>标书内合同主要条款为拟定条款，具体合同条款在签订合同时由双方协商后确定。</w:t>
      </w:r>
    </w:p>
    <w:p w14:paraId="0C9676D1">
      <w:pPr>
        <w:keepNext w:val="0"/>
        <w:keepLines w:val="0"/>
        <w:pageBreakBefore w:val="0"/>
        <w:widowControl w:val="0"/>
        <w:kinsoku/>
        <w:wordWrap/>
        <w:overflowPunct/>
        <w:topLinePunct w:val="0"/>
        <w:autoSpaceDE/>
        <w:autoSpaceDN/>
        <w:bidi w:val="0"/>
        <w:adjustRightInd/>
        <w:snapToGrid w:val="0"/>
        <w:spacing w:line="360" w:lineRule="auto"/>
        <w:ind w:firstLine="602" w:firstLineChars="200"/>
        <w:textAlignment w:val="auto"/>
        <w:outlineLvl w:val="1"/>
        <w:rPr>
          <w:rFonts w:hint="eastAsia" w:ascii="仿宋" w:hAnsi="仿宋" w:eastAsia="仿宋" w:cs="仿宋"/>
          <w:b/>
          <w:bCs/>
          <w:sz w:val="30"/>
          <w:szCs w:val="30"/>
        </w:rPr>
      </w:pPr>
      <w:r>
        <w:rPr>
          <w:rFonts w:hint="eastAsia" w:ascii="仿宋" w:hAnsi="仿宋" w:eastAsia="仿宋" w:cs="仿宋"/>
          <w:b/>
          <w:bCs/>
          <w:sz w:val="30"/>
          <w:szCs w:val="30"/>
        </w:rPr>
        <w:t>十</w:t>
      </w:r>
      <w:r>
        <w:rPr>
          <w:rFonts w:hint="eastAsia" w:ascii="仿宋" w:hAnsi="仿宋" w:eastAsia="仿宋" w:cs="仿宋"/>
          <w:b/>
          <w:bCs/>
          <w:sz w:val="30"/>
          <w:szCs w:val="30"/>
          <w:lang w:val="en-US" w:eastAsia="zh-CN"/>
        </w:rPr>
        <w:t>三</w:t>
      </w:r>
      <w:r>
        <w:rPr>
          <w:rFonts w:hint="eastAsia" w:ascii="仿宋" w:hAnsi="仿宋" w:eastAsia="仿宋" w:cs="仿宋"/>
          <w:b/>
          <w:bCs/>
          <w:sz w:val="30"/>
          <w:szCs w:val="30"/>
        </w:rPr>
        <w:t>、其他。</w:t>
      </w:r>
    </w:p>
    <w:p w14:paraId="4074EFDB">
      <w:pPr>
        <w:keepNext w:val="0"/>
        <w:keepLines w:val="0"/>
        <w:pageBreakBefore w:val="0"/>
        <w:widowControl w:val="0"/>
        <w:kinsoku/>
        <w:wordWrap/>
        <w:overflowPunct/>
        <w:topLinePunct w:val="0"/>
        <w:autoSpaceDE/>
        <w:autoSpaceDN/>
        <w:bidi w:val="0"/>
        <w:adjustRightInd/>
        <w:snapToGrid w:val="0"/>
        <w:spacing w:line="360" w:lineRule="auto"/>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（一）如果有证据证明各</w:t>
      </w:r>
      <w:r>
        <w:rPr>
          <w:rFonts w:hint="eastAsia" w:ascii="仿宋" w:hAnsi="仿宋" w:eastAsia="仿宋" w:cs="仿宋"/>
          <w:sz w:val="30"/>
          <w:szCs w:val="30"/>
          <w:lang w:eastAsia="zh-CN"/>
        </w:rPr>
        <w:t>报价人</w:t>
      </w:r>
      <w:r>
        <w:rPr>
          <w:rFonts w:hint="eastAsia" w:ascii="仿宋" w:hAnsi="仿宋" w:eastAsia="仿宋" w:cs="仿宋"/>
          <w:sz w:val="30"/>
          <w:szCs w:val="30"/>
        </w:rPr>
        <w:t>之间存在串通等舞弊、违法行为，</w:t>
      </w:r>
      <w:r>
        <w:rPr>
          <w:rFonts w:hint="eastAsia" w:ascii="仿宋" w:hAnsi="仿宋" w:eastAsia="仿宋" w:cs="仿宋"/>
          <w:sz w:val="30"/>
          <w:szCs w:val="30"/>
          <w:lang w:eastAsia="zh-CN"/>
        </w:rPr>
        <w:t>采购人</w:t>
      </w:r>
      <w:r>
        <w:rPr>
          <w:rFonts w:hint="eastAsia" w:ascii="仿宋" w:hAnsi="仿宋" w:eastAsia="仿宋" w:cs="仿宋"/>
          <w:sz w:val="30"/>
          <w:szCs w:val="30"/>
        </w:rPr>
        <w:t>有权拒绝存在此行为的</w:t>
      </w:r>
      <w:r>
        <w:rPr>
          <w:rFonts w:hint="eastAsia" w:ascii="仿宋" w:hAnsi="仿宋" w:eastAsia="仿宋" w:cs="仿宋"/>
          <w:sz w:val="30"/>
          <w:szCs w:val="30"/>
          <w:lang w:eastAsia="zh-CN"/>
        </w:rPr>
        <w:t>报价人</w:t>
      </w:r>
      <w:r>
        <w:rPr>
          <w:rFonts w:hint="eastAsia" w:ascii="仿宋" w:hAnsi="仿宋" w:eastAsia="仿宋" w:cs="仿宋"/>
          <w:sz w:val="30"/>
          <w:szCs w:val="30"/>
        </w:rPr>
        <w:t>报价。</w:t>
      </w:r>
    </w:p>
    <w:p w14:paraId="5591EA24">
      <w:pPr>
        <w:keepNext w:val="0"/>
        <w:keepLines w:val="0"/>
        <w:pageBreakBefore w:val="0"/>
        <w:widowControl w:val="0"/>
        <w:kinsoku/>
        <w:wordWrap/>
        <w:overflowPunct/>
        <w:topLinePunct w:val="0"/>
        <w:autoSpaceDE/>
        <w:autoSpaceDN/>
        <w:bidi w:val="0"/>
        <w:adjustRightInd/>
        <w:snapToGrid w:val="0"/>
        <w:spacing w:line="360" w:lineRule="auto"/>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（二）本询价文件未及事项，在签订合同时双方友好商定。</w:t>
      </w:r>
    </w:p>
    <w:p w14:paraId="20EFCCD4">
      <w:pPr>
        <w:keepNext w:val="0"/>
        <w:keepLines w:val="0"/>
        <w:pageBreakBefore w:val="0"/>
        <w:widowControl w:val="0"/>
        <w:kinsoku/>
        <w:wordWrap/>
        <w:overflowPunct/>
        <w:topLinePunct w:val="0"/>
        <w:autoSpaceDE/>
        <w:autoSpaceDN/>
        <w:bidi w:val="0"/>
        <w:adjustRightInd/>
        <w:snapToGrid w:val="0"/>
        <w:spacing w:line="360" w:lineRule="auto"/>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（三）凡涉及本次询价的解释权均属于</w:t>
      </w:r>
      <w:r>
        <w:rPr>
          <w:rFonts w:hint="eastAsia" w:ascii="仿宋" w:hAnsi="仿宋" w:eastAsia="仿宋" w:cs="仿宋"/>
          <w:sz w:val="30"/>
          <w:szCs w:val="30"/>
          <w:lang w:eastAsia="zh-CN"/>
        </w:rPr>
        <w:t>绍兴市再生能源发展有限公司</w:t>
      </w:r>
      <w:r>
        <w:rPr>
          <w:rFonts w:hint="eastAsia" w:ascii="仿宋" w:hAnsi="仿宋" w:eastAsia="仿宋" w:cs="仿宋"/>
          <w:sz w:val="30"/>
          <w:szCs w:val="30"/>
        </w:rPr>
        <w:t>。</w:t>
      </w:r>
    </w:p>
    <w:p w14:paraId="45B2CF7C">
      <w:pPr>
        <w:pStyle w:val="2"/>
        <w:numPr>
          <w:ilvl w:val="0"/>
          <w:numId w:val="0"/>
        </w:numPr>
        <w:jc w:val="center"/>
        <w:outlineLvl w:val="9"/>
        <w:rPr>
          <w:rFonts w:hint="eastAsia" w:ascii="仿宋" w:hAnsi="仿宋" w:eastAsia="仿宋" w:cs="仿宋"/>
          <w:snapToGrid w:val="0"/>
          <w:sz w:val="44"/>
          <w:szCs w:val="44"/>
        </w:rPr>
      </w:pPr>
    </w:p>
    <w:p w14:paraId="5CB04477">
      <w:pPr>
        <w:rPr>
          <w:rFonts w:hint="eastAsia" w:ascii="仿宋" w:hAnsi="仿宋" w:eastAsia="仿宋" w:cs="仿宋"/>
          <w:snapToGrid w:val="0"/>
          <w:sz w:val="44"/>
          <w:szCs w:val="44"/>
        </w:rPr>
      </w:pPr>
    </w:p>
    <w:p w14:paraId="13A683CE">
      <w:pPr>
        <w:pStyle w:val="4"/>
        <w:rPr>
          <w:rFonts w:hint="eastAsia" w:ascii="仿宋" w:hAnsi="仿宋" w:eastAsia="仿宋" w:cs="仿宋"/>
          <w:snapToGrid w:val="0"/>
          <w:sz w:val="44"/>
          <w:szCs w:val="44"/>
        </w:rPr>
      </w:pPr>
    </w:p>
    <w:p w14:paraId="1643322B">
      <w:pPr>
        <w:pStyle w:val="11"/>
        <w:rPr>
          <w:rFonts w:hint="eastAsia" w:ascii="仿宋" w:hAnsi="仿宋" w:eastAsia="仿宋" w:cs="仿宋"/>
          <w:snapToGrid w:val="0"/>
          <w:sz w:val="44"/>
          <w:szCs w:val="44"/>
        </w:rPr>
      </w:pPr>
    </w:p>
    <w:p w14:paraId="6F7B1054">
      <w:pPr>
        <w:rPr>
          <w:rFonts w:hint="eastAsia" w:ascii="仿宋" w:hAnsi="仿宋" w:eastAsia="仿宋" w:cs="仿宋"/>
          <w:snapToGrid w:val="0"/>
          <w:sz w:val="44"/>
          <w:szCs w:val="44"/>
        </w:rPr>
      </w:pPr>
    </w:p>
    <w:p w14:paraId="070A749E">
      <w:pPr>
        <w:rPr>
          <w:rFonts w:hint="eastAsia" w:ascii="仿宋" w:hAnsi="仿宋" w:eastAsia="仿宋" w:cs="仿宋"/>
          <w:snapToGrid w:val="0"/>
          <w:sz w:val="44"/>
          <w:szCs w:val="44"/>
        </w:rPr>
      </w:pPr>
    </w:p>
    <w:p w14:paraId="7DEBCF3A">
      <w:pPr>
        <w:rPr>
          <w:rFonts w:hint="eastAsia" w:ascii="仿宋" w:hAnsi="仿宋" w:eastAsia="仿宋" w:cs="仿宋"/>
          <w:snapToGrid w:val="0"/>
          <w:sz w:val="44"/>
          <w:szCs w:val="44"/>
        </w:rPr>
      </w:pPr>
    </w:p>
    <w:p w14:paraId="74901F0A">
      <w:pPr>
        <w:rPr>
          <w:rFonts w:hint="eastAsia" w:ascii="仿宋" w:hAnsi="仿宋" w:eastAsia="仿宋" w:cs="仿宋"/>
          <w:snapToGrid w:val="0"/>
          <w:sz w:val="44"/>
          <w:szCs w:val="44"/>
        </w:rPr>
      </w:pPr>
    </w:p>
    <w:p w14:paraId="442412A4">
      <w:pPr>
        <w:rPr>
          <w:rFonts w:hint="eastAsia" w:ascii="仿宋" w:hAnsi="仿宋" w:eastAsia="仿宋" w:cs="仿宋"/>
          <w:snapToGrid w:val="0"/>
          <w:sz w:val="44"/>
          <w:szCs w:val="44"/>
        </w:rPr>
      </w:pPr>
    </w:p>
    <w:p w14:paraId="3B113E72">
      <w:pPr>
        <w:pStyle w:val="2"/>
        <w:numPr>
          <w:ilvl w:val="0"/>
          <w:numId w:val="0"/>
        </w:numPr>
        <w:jc w:val="center"/>
        <w:rPr>
          <w:rFonts w:hint="eastAsia" w:ascii="仿宋" w:hAnsi="仿宋" w:eastAsia="仿宋" w:cs="仿宋"/>
          <w:b w:val="0"/>
          <w:bCs/>
          <w:snapToGrid w:val="0"/>
          <w:sz w:val="44"/>
        </w:rPr>
      </w:pPr>
      <w:bookmarkStart w:id="11" w:name="_Toc5447"/>
      <w:r>
        <w:rPr>
          <w:rFonts w:hint="eastAsia" w:ascii="仿宋" w:hAnsi="仿宋" w:eastAsia="仿宋" w:cs="仿宋"/>
          <w:snapToGrid w:val="0"/>
          <w:sz w:val="44"/>
          <w:szCs w:val="44"/>
        </w:rPr>
        <w:t>第三部分   询价内容</w:t>
      </w:r>
      <w:bookmarkEnd w:id="9"/>
      <w:bookmarkEnd w:id="10"/>
      <w:bookmarkEnd w:id="11"/>
    </w:p>
    <w:p w14:paraId="20F783B5">
      <w:pPr>
        <w:pStyle w:val="19"/>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eastAsia" w:ascii="仿宋" w:hAnsi="仿宋" w:eastAsia="仿宋" w:cs="仿宋"/>
          <w:color w:val="auto"/>
          <w:kern w:val="2"/>
          <w:sz w:val="30"/>
          <w:szCs w:val="30"/>
        </w:rPr>
      </w:pPr>
      <w:r>
        <w:rPr>
          <w:rFonts w:hint="eastAsia" w:ascii="仿宋" w:hAnsi="仿宋" w:eastAsia="仿宋" w:cs="仿宋"/>
          <w:color w:val="auto"/>
          <w:kern w:val="2"/>
          <w:sz w:val="30"/>
          <w:szCs w:val="30"/>
          <w:lang w:eastAsia="zh-CN"/>
        </w:rPr>
        <w:t>一、</w:t>
      </w:r>
      <w:r>
        <w:rPr>
          <w:rFonts w:hint="eastAsia" w:ascii="仿宋" w:hAnsi="仿宋" w:eastAsia="仿宋" w:cs="仿宋"/>
          <w:color w:val="auto"/>
          <w:kern w:val="2"/>
          <w:sz w:val="30"/>
          <w:szCs w:val="30"/>
        </w:rPr>
        <w:t>采购内容及相关说明</w:t>
      </w:r>
    </w:p>
    <w:p w14:paraId="256C070F">
      <w:pPr>
        <w:pStyle w:val="19"/>
        <w:keepNext w:val="0"/>
        <w:keepLines w:val="0"/>
        <w:pageBreakBefore w:val="0"/>
        <w:widowControl/>
        <w:kinsoku/>
        <w:wordWrap/>
        <w:overflowPunct/>
        <w:topLinePunct w:val="0"/>
        <w:autoSpaceDE/>
        <w:autoSpaceDN/>
        <w:bidi w:val="0"/>
        <w:adjustRightInd/>
        <w:snapToGrid w:val="0"/>
        <w:spacing w:line="360" w:lineRule="auto"/>
        <w:ind w:firstLine="601"/>
        <w:textAlignment w:val="baseline"/>
        <w:rPr>
          <w:rFonts w:hint="eastAsia" w:ascii="仿宋" w:hAnsi="仿宋" w:eastAsia="仿宋" w:cs="仿宋"/>
          <w:color w:val="auto"/>
          <w:kern w:val="2"/>
          <w:sz w:val="30"/>
          <w:szCs w:val="30"/>
          <w:lang w:eastAsia="zh-CN"/>
        </w:rPr>
      </w:pPr>
      <w:r>
        <w:rPr>
          <w:rFonts w:hint="eastAsia" w:ascii="仿宋" w:hAnsi="仿宋" w:eastAsia="仿宋" w:cs="仿宋"/>
          <w:color w:val="auto"/>
          <w:kern w:val="2"/>
          <w:sz w:val="30"/>
          <w:szCs w:val="30"/>
          <w:lang w:val="en-US" w:eastAsia="zh-CN"/>
        </w:rPr>
        <w:t>详见报价清单</w:t>
      </w:r>
    </w:p>
    <w:p w14:paraId="0F473F03">
      <w:pPr>
        <w:pStyle w:val="19"/>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rPr>
        <w:t>二、</w:t>
      </w:r>
      <w:r>
        <w:rPr>
          <w:rFonts w:hint="eastAsia" w:ascii="仿宋" w:hAnsi="仿宋" w:eastAsia="仿宋" w:cs="仿宋"/>
          <w:color w:val="auto"/>
          <w:kern w:val="2"/>
          <w:sz w:val="30"/>
          <w:szCs w:val="30"/>
          <w:highlight w:val="none"/>
        </w:rPr>
        <w:t>供货方式</w:t>
      </w:r>
    </w:p>
    <w:p w14:paraId="1B36B8E9">
      <w:pPr>
        <w:pStyle w:val="19"/>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rPr>
        <w:t>本项目供货期为一年，自合同签订之日起算，根据采购人实际需求分批次进行维护保养及配件供货，按实际发生量据实结算。供货方接到采购人通知后，应在10个工作日内完成当批次维护保养工作，并提交经双方签字确认的维保记录单；同时按需分批次供应配件，接到供货通知后3个自然日内将配件送达采购人指定地点，完成卸货、就位至指定堆放位置，运输、装卸、就位及运输途中的一切风险与费用均由供货方承担。每批次维保服务及供货配件须随附原厂合格证明、质量证明书、维保记录单，文件内容应与当批次内容一致；到场后由采购人按采购清单约定的型号规格及维保标准现场验收，若型号不符、质量不达标或维保未达到约定标准，采购人有权拒收并要求整改，相关费用由供货方承担，供货方应在接到通知后2个工作日内补足合格配件或完成整改。</w:t>
      </w:r>
    </w:p>
    <w:p w14:paraId="5542679E">
      <w:pPr>
        <w:pStyle w:val="19"/>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rPr>
        <w:t>三、付款方式</w:t>
      </w:r>
    </w:p>
    <w:p w14:paraId="4570435E">
      <w:pPr>
        <w:pStyle w:val="19"/>
        <w:keepNext w:val="0"/>
        <w:keepLines w:val="0"/>
        <w:pageBreakBefore w:val="0"/>
        <w:widowControl/>
        <w:kinsoku/>
        <w:wordWrap/>
        <w:overflowPunct/>
        <w:topLinePunct w:val="0"/>
        <w:autoSpaceDE/>
        <w:autoSpaceDN/>
        <w:bidi w:val="0"/>
        <w:adjustRightInd/>
        <w:snapToGrid w:val="0"/>
        <w:spacing w:line="360" w:lineRule="auto"/>
        <w:ind w:firstLine="601"/>
        <w:textAlignment w:val="baseline"/>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本项目按“按次验收、按批结算”原则执行，供货期为一年，自合同签订之日起算。每次维保服务完成或每批次配件送达指定地点，并经采购人现场验收通过后，供货方须在3个工作日内向采购人提交经双方签字确认的对应批次送货清单、维修记录单，以及等额、合法、有效的增值税专用发票（发票信息、税率、开票项目须完全符合税务规定及采购人财务要求）。采购人自收到准确单据和合规发票且核对无误后，于次二月完成对应批次款项支付。若供货方未按时提供发票，或提供的发票存在信息错误、无法认证抵扣等不符合税务及财务要求的情形，采购人有权顺延付款期限，直至收到合规发票为止，由此产生的付款延迟不视为采购人违约，采购人无需承担任何逾期付款利息或违约责任。</w:t>
      </w:r>
    </w:p>
    <w:p w14:paraId="490CA6F1">
      <w:pPr>
        <w:pStyle w:val="19"/>
        <w:keepNext w:val="0"/>
        <w:keepLines w:val="0"/>
        <w:pageBreakBefore w:val="0"/>
        <w:widowControl/>
        <w:kinsoku/>
        <w:wordWrap/>
        <w:overflowPunct/>
        <w:topLinePunct w:val="0"/>
        <w:autoSpaceDE/>
        <w:autoSpaceDN/>
        <w:bidi w:val="0"/>
        <w:adjustRightInd/>
        <w:snapToGrid w:val="0"/>
        <w:spacing w:line="360" w:lineRule="auto"/>
        <w:ind w:firstLine="601"/>
        <w:textAlignment w:val="baseline"/>
        <w:rPr>
          <w:rFonts w:hint="eastAsia" w:ascii="仿宋" w:hAnsi="仿宋" w:eastAsia="仿宋" w:cs="仿宋"/>
          <w:color w:val="auto"/>
          <w:kern w:val="2"/>
          <w:sz w:val="30"/>
          <w:szCs w:val="30"/>
          <w:highlight w:val="none"/>
        </w:rPr>
      </w:pPr>
      <w:r>
        <w:rPr>
          <w:rFonts w:hint="eastAsia" w:ascii="仿宋" w:hAnsi="仿宋" w:eastAsia="仿宋" w:cs="仿宋"/>
          <w:color w:val="auto"/>
          <w:sz w:val="30"/>
          <w:szCs w:val="30"/>
          <w:highlight w:val="none"/>
          <w:lang w:val="en-US" w:eastAsia="zh-CN"/>
        </w:rPr>
        <w:t>供货方需提供一年质保，其履约保证金（合同价的5%）到时（全部维保服务及配件供货验收合格后）自动转为质保金，质保期自最后一批配件供货或最后一次维保服务验收合格之日起统一计算，质保金于质保期满且无未决质量争议后无息退还。质保期内，若因供货方维护保养操作不当，或提供的更换备件存在质量问题，导致雾化器出现故障或损坏的，供货方须免费完成维修或更换，维修或更换后的部件质保期自维修/更换完成并经采购人验收合格之日起重新计算一年，直至验收合格方视为完成质保义务。</w:t>
      </w:r>
    </w:p>
    <w:p w14:paraId="6F94A17B">
      <w:pPr>
        <w:pStyle w:val="19"/>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eastAsia" w:ascii="仿宋" w:hAnsi="仿宋" w:eastAsia="仿宋" w:cs="仿宋"/>
          <w:color w:val="auto"/>
          <w:kern w:val="2"/>
          <w:sz w:val="30"/>
          <w:szCs w:val="30"/>
        </w:rPr>
      </w:pPr>
      <w:r>
        <w:rPr>
          <w:rFonts w:hint="eastAsia" w:ascii="仿宋" w:hAnsi="仿宋" w:eastAsia="仿宋" w:cs="仿宋"/>
          <w:color w:val="auto"/>
          <w:kern w:val="2"/>
          <w:sz w:val="30"/>
          <w:szCs w:val="30"/>
        </w:rPr>
        <w:t>四、售后服务</w:t>
      </w:r>
    </w:p>
    <w:p w14:paraId="2E7712E4">
      <w:pPr>
        <w:pStyle w:val="19"/>
        <w:keepNext w:val="0"/>
        <w:keepLines w:val="0"/>
        <w:pageBreakBefore w:val="0"/>
        <w:widowControl/>
        <w:kinsoku/>
        <w:wordWrap/>
        <w:overflowPunct/>
        <w:topLinePunct w:val="0"/>
        <w:autoSpaceDE/>
        <w:autoSpaceDN/>
        <w:bidi w:val="0"/>
        <w:adjustRightInd/>
        <w:snapToGrid w:val="0"/>
        <w:spacing w:line="360" w:lineRule="auto"/>
        <w:ind w:firstLine="601"/>
        <w:textAlignment w:val="baseline"/>
        <w:rPr>
          <w:rFonts w:hint="eastAsia" w:ascii="仿宋" w:hAnsi="仿宋" w:eastAsia="仿宋" w:cs="仿宋"/>
          <w:color w:val="auto"/>
          <w:kern w:val="2"/>
          <w:sz w:val="30"/>
          <w:szCs w:val="30"/>
        </w:rPr>
      </w:pPr>
      <w:r>
        <w:rPr>
          <w:rFonts w:hint="eastAsia" w:ascii="仿宋" w:hAnsi="仿宋" w:eastAsia="仿宋" w:cs="仿宋"/>
          <w:color w:val="auto"/>
          <w:kern w:val="2"/>
          <w:sz w:val="30"/>
          <w:szCs w:val="30"/>
        </w:rPr>
        <w:t>1.</w:t>
      </w:r>
      <w:r>
        <w:rPr>
          <w:rFonts w:hint="eastAsia" w:ascii="仿宋" w:hAnsi="仿宋" w:eastAsia="仿宋" w:cs="仿宋"/>
          <w:color w:val="auto"/>
          <w:kern w:val="2"/>
          <w:sz w:val="30"/>
          <w:szCs w:val="30"/>
          <w:lang w:val="en-US" w:eastAsia="zh-CN"/>
        </w:rPr>
        <w:t>供货方</w:t>
      </w:r>
      <w:r>
        <w:rPr>
          <w:rFonts w:hint="eastAsia" w:ascii="仿宋" w:hAnsi="仿宋" w:eastAsia="仿宋" w:cs="仿宋"/>
          <w:color w:val="auto"/>
          <w:kern w:val="2"/>
          <w:sz w:val="30"/>
          <w:szCs w:val="30"/>
        </w:rPr>
        <w:t>必须满足采购人售后服务要求。如产品使用过</w:t>
      </w:r>
      <w:r>
        <w:rPr>
          <w:rFonts w:hint="eastAsia" w:ascii="仿宋" w:hAnsi="仿宋" w:eastAsia="仿宋" w:cs="仿宋"/>
          <w:color w:val="auto"/>
          <w:kern w:val="2"/>
          <w:sz w:val="30"/>
          <w:szCs w:val="30"/>
          <w:lang w:eastAsia="zh-CN"/>
        </w:rPr>
        <w:t>程中</w:t>
      </w:r>
      <w:r>
        <w:rPr>
          <w:rFonts w:hint="eastAsia" w:ascii="仿宋" w:hAnsi="仿宋" w:eastAsia="仿宋" w:cs="仿宋"/>
          <w:color w:val="auto"/>
          <w:kern w:val="2"/>
          <w:sz w:val="30"/>
          <w:szCs w:val="30"/>
        </w:rPr>
        <w:t>发生问题，</w:t>
      </w:r>
      <w:r>
        <w:rPr>
          <w:rFonts w:hint="eastAsia" w:ascii="仿宋" w:hAnsi="仿宋" w:eastAsia="仿宋" w:cs="仿宋"/>
          <w:color w:val="auto"/>
          <w:kern w:val="2"/>
          <w:sz w:val="30"/>
          <w:szCs w:val="30"/>
          <w:lang w:val="en-US" w:eastAsia="zh-CN"/>
        </w:rPr>
        <w:t>供货方</w:t>
      </w:r>
      <w:r>
        <w:rPr>
          <w:rFonts w:hint="eastAsia" w:ascii="仿宋" w:hAnsi="仿宋" w:eastAsia="仿宋" w:cs="仿宋"/>
          <w:color w:val="auto"/>
          <w:kern w:val="2"/>
          <w:sz w:val="30"/>
          <w:szCs w:val="30"/>
        </w:rPr>
        <w:t>须在接到</w:t>
      </w:r>
      <w:r>
        <w:rPr>
          <w:rFonts w:hint="eastAsia" w:ascii="仿宋" w:hAnsi="仿宋" w:eastAsia="仿宋" w:cs="仿宋"/>
          <w:color w:val="auto"/>
          <w:kern w:val="2"/>
          <w:sz w:val="30"/>
          <w:szCs w:val="30"/>
          <w:lang w:val="en-US" w:eastAsia="zh-CN"/>
        </w:rPr>
        <w:t>采购人</w:t>
      </w:r>
      <w:r>
        <w:rPr>
          <w:rFonts w:hint="eastAsia" w:ascii="仿宋" w:hAnsi="仿宋" w:eastAsia="仿宋" w:cs="仿宋"/>
          <w:color w:val="auto"/>
          <w:kern w:val="2"/>
          <w:sz w:val="30"/>
          <w:szCs w:val="30"/>
        </w:rPr>
        <w:t>通知后24小时内做出书面答复并提供解决方案。若需要派遣技术人员，则应在接到采购人通知后48小时内派人员到达现场进行免费指导解决问题。</w:t>
      </w:r>
    </w:p>
    <w:p w14:paraId="75D194BC">
      <w:pPr>
        <w:pStyle w:val="19"/>
        <w:keepNext w:val="0"/>
        <w:keepLines w:val="0"/>
        <w:pageBreakBefore w:val="0"/>
        <w:widowControl/>
        <w:kinsoku/>
        <w:wordWrap/>
        <w:overflowPunct/>
        <w:topLinePunct w:val="0"/>
        <w:autoSpaceDE/>
        <w:autoSpaceDN/>
        <w:bidi w:val="0"/>
        <w:adjustRightInd/>
        <w:snapToGrid w:val="0"/>
        <w:spacing w:line="360" w:lineRule="auto"/>
        <w:ind w:firstLine="601"/>
        <w:textAlignment w:val="baseline"/>
        <w:rPr>
          <w:rFonts w:hint="eastAsia" w:ascii="仿宋" w:hAnsi="仿宋" w:eastAsia="仿宋" w:cs="仿宋"/>
          <w:color w:val="auto"/>
          <w:kern w:val="2"/>
          <w:sz w:val="30"/>
          <w:szCs w:val="30"/>
        </w:rPr>
      </w:pPr>
      <w:r>
        <w:rPr>
          <w:rFonts w:hint="eastAsia" w:ascii="仿宋" w:hAnsi="仿宋" w:eastAsia="仿宋" w:cs="仿宋"/>
          <w:color w:val="auto"/>
          <w:kern w:val="2"/>
          <w:sz w:val="30"/>
          <w:szCs w:val="30"/>
          <w:lang w:val="en-US" w:eastAsia="zh-CN"/>
        </w:rPr>
        <w:t>2</w:t>
      </w:r>
      <w:r>
        <w:rPr>
          <w:rFonts w:hint="eastAsia" w:ascii="仿宋" w:hAnsi="仿宋" w:eastAsia="仿宋" w:cs="仿宋"/>
          <w:color w:val="auto"/>
          <w:kern w:val="2"/>
          <w:sz w:val="30"/>
          <w:szCs w:val="30"/>
        </w:rPr>
        <w:t>.采购人不再对任何售后服务进行付费。</w:t>
      </w:r>
      <w:r>
        <w:rPr>
          <w:rFonts w:hint="eastAsia" w:ascii="仿宋" w:hAnsi="仿宋" w:eastAsia="仿宋" w:cs="仿宋"/>
          <w:color w:val="auto"/>
          <w:kern w:val="2"/>
          <w:sz w:val="30"/>
          <w:szCs w:val="30"/>
          <w:lang w:val="en-US" w:eastAsia="zh-CN"/>
        </w:rPr>
        <w:t>供货方</w:t>
      </w:r>
      <w:r>
        <w:rPr>
          <w:rFonts w:hint="eastAsia" w:ascii="仿宋" w:hAnsi="仿宋" w:eastAsia="仿宋" w:cs="仿宋"/>
          <w:color w:val="auto"/>
          <w:kern w:val="2"/>
          <w:sz w:val="30"/>
          <w:szCs w:val="30"/>
        </w:rPr>
        <w:t>的派遣人员产生的一切费用由</w:t>
      </w:r>
      <w:r>
        <w:rPr>
          <w:rFonts w:hint="eastAsia" w:ascii="仿宋" w:hAnsi="仿宋" w:eastAsia="仿宋" w:cs="仿宋"/>
          <w:color w:val="auto"/>
          <w:kern w:val="2"/>
          <w:sz w:val="30"/>
          <w:szCs w:val="30"/>
          <w:lang w:val="en-US" w:eastAsia="zh-CN"/>
        </w:rPr>
        <w:t>供货方</w:t>
      </w:r>
      <w:r>
        <w:rPr>
          <w:rFonts w:hint="eastAsia" w:ascii="仿宋" w:hAnsi="仿宋" w:eastAsia="仿宋" w:cs="仿宋"/>
          <w:color w:val="auto"/>
          <w:kern w:val="2"/>
          <w:sz w:val="30"/>
          <w:szCs w:val="30"/>
        </w:rPr>
        <w:t>承担。</w:t>
      </w:r>
    </w:p>
    <w:p w14:paraId="42FB0458">
      <w:pPr>
        <w:pStyle w:val="2"/>
        <w:numPr>
          <w:ilvl w:val="0"/>
          <w:numId w:val="0"/>
        </w:numPr>
        <w:jc w:val="center"/>
        <w:outlineLvl w:val="9"/>
        <w:rPr>
          <w:rFonts w:hint="eastAsia" w:ascii="仿宋" w:hAnsi="仿宋" w:eastAsia="仿宋" w:cs="仿宋"/>
          <w:snapToGrid w:val="0"/>
          <w:sz w:val="30"/>
          <w:szCs w:val="30"/>
          <w:highlight w:val="none"/>
        </w:rPr>
      </w:pPr>
      <w:bookmarkStart w:id="12" w:name="_Toc530583924"/>
      <w:r>
        <w:rPr>
          <w:rFonts w:hint="eastAsia" w:ascii="仿宋" w:hAnsi="仿宋" w:eastAsia="仿宋" w:cs="仿宋"/>
          <w:snapToGrid w:val="0"/>
          <w:sz w:val="30"/>
          <w:szCs w:val="30"/>
        </w:rPr>
        <w:br w:type="page"/>
      </w:r>
    </w:p>
    <w:p w14:paraId="2C38EEF5">
      <w:pPr>
        <w:pStyle w:val="2"/>
        <w:numPr>
          <w:ilvl w:val="0"/>
          <w:numId w:val="4"/>
        </w:numPr>
        <w:ind w:left="840" w:leftChars="0" w:firstLineChars="0"/>
        <w:jc w:val="center"/>
        <w:rPr>
          <w:rFonts w:hint="eastAsia" w:ascii="仿宋" w:hAnsi="仿宋" w:eastAsia="仿宋" w:cs="仿宋"/>
          <w:snapToGrid w:val="0"/>
          <w:sz w:val="44"/>
          <w:szCs w:val="44"/>
          <w:highlight w:val="none"/>
          <w:lang w:val="en-US" w:eastAsia="zh-CN"/>
        </w:rPr>
      </w:pPr>
      <w:r>
        <w:rPr>
          <w:rFonts w:hint="eastAsia" w:ascii="仿宋" w:hAnsi="仿宋" w:eastAsia="仿宋" w:cs="仿宋"/>
          <w:snapToGrid w:val="0"/>
          <w:sz w:val="44"/>
          <w:szCs w:val="44"/>
          <w:highlight w:val="none"/>
          <w:lang w:val="en-US" w:eastAsia="zh-CN"/>
        </w:rPr>
        <w:t xml:space="preserve">   </w:t>
      </w:r>
      <w:bookmarkStart w:id="13" w:name="_Toc6119"/>
      <w:r>
        <w:rPr>
          <w:rFonts w:hint="eastAsia" w:ascii="仿宋" w:hAnsi="仿宋" w:eastAsia="仿宋" w:cs="仿宋"/>
          <w:snapToGrid w:val="0"/>
          <w:sz w:val="44"/>
          <w:szCs w:val="44"/>
          <w:highlight w:val="none"/>
          <w:lang w:val="en-US" w:eastAsia="zh-CN"/>
        </w:rPr>
        <w:t>合同主要条款（供参考）</w:t>
      </w:r>
      <w:bookmarkEnd w:id="13"/>
    </w:p>
    <w:p w14:paraId="2F20F9C4">
      <w:pPr>
        <w:keepNext w:val="0"/>
        <w:keepLines w:val="0"/>
        <w:pageBreakBefore w:val="0"/>
        <w:widowControl/>
        <w:kinsoku/>
        <w:wordWrap/>
        <w:overflowPunct/>
        <w:topLinePunct w:val="0"/>
        <w:autoSpaceDE/>
        <w:autoSpaceDN/>
        <w:bidi w:val="0"/>
        <w:adjustRightInd w:val="0"/>
        <w:snapToGrid w:val="0"/>
        <w:spacing w:after="0" w:line="579" w:lineRule="exact"/>
        <w:ind w:firstLine="560" w:firstLineChars="200"/>
        <w:jc w:val="both"/>
        <w:textAlignment w:val="auto"/>
        <w:rPr>
          <w:rFonts w:hint="default" w:ascii="Times New Roman" w:hAnsi="Times New Roman" w:eastAsia="方正仿宋_GBK" w:cs="Times New Roman"/>
          <w:sz w:val="28"/>
          <w:szCs w:val="28"/>
        </w:rPr>
      </w:pPr>
      <w:r>
        <w:rPr>
          <w:rFonts w:hint="eastAsia" w:ascii="Times New Roman" w:hAnsi="Times New Roman" w:eastAsia="方正仿宋_GBK" w:cs="Times New Roman"/>
          <w:sz w:val="28"/>
          <w:szCs w:val="28"/>
        </w:rPr>
        <w:t>经</w:t>
      </w:r>
      <w:r>
        <w:rPr>
          <w:rFonts w:hint="eastAsia" w:eastAsia="方正仿宋_GBK" w:cs="Times New Roman"/>
          <w:sz w:val="28"/>
          <w:szCs w:val="28"/>
          <w:lang w:val="en-US" w:eastAsia="zh-CN"/>
        </w:rPr>
        <w:t>甲乙</w:t>
      </w:r>
      <w:r>
        <w:rPr>
          <w:rFonts w:hint="eastAsia" w:ascii="Times New Roman" w:hAnsi="Times New Roman" w:eastAsia="方正仿宋_GBK" w:cs="Times New Roman"/>
          <w:sz w:val="28"/>
          <w:szCs w:val="28"/>
        </w:rPr>
        <w:t>双方友好协商，一致同意签订本合同，以便遵照执行。</w:t>
      </w:r>
    </w:p>
    <w:p w14:paraId="1A7624AC">
      <w:pPr>
        <w:pStyle w:val="22"/>
        <w:keepNext w:val="0"/>
        <w:keepLines w:val="0"/>
        <w:pageBreakBefore w:val="0"/>
        <w:numPr>
          <w:ilvl w:val="0"/>
          <w:numId w:val="0"/>
        </w:numPr>
        <w:kinsoku/>
        <w:wordWrap/>
        <w:overflowPunct/>
        <w:topLinePunct w:val="0"/>
        <w:autoSpaceDE/>
        <w:autoSpaceDN/>
        <w:bidi w:val="0"/>
        <w:adjustRightInd w:val="0"/>
        <w:snapToGrid w:val="0"/>
        <w:spacing w:after="0" w:line="579" w:lineRule="exact"/>
        <w:ind w:left="0" w:leftChars="0"/>
        <w:jc w:val="both"/>
        <w:textAlignment w:val="auto"/>
        <w:outlineLvl w:val="1"/>
        <w:rPr>
          <w:rFonts w:hint="eastAsia" w:ascii="黑体" w:hAnsi="黑体" w:eastAsia="黑体" w:cs="黑体"/>
          <w:sz w:val="28"/>
          <w:szCs w:val="28"/>
          <w:highlight w:val="none"/>
          <w:lang w:eastAsia="zh-CN"/>
        </w:rPr>
      </w:pPr>
      <w:r>
        <w:rPr>
          <w:rFonts w:hint="eastAsia" w:ascii="黑体" w:hAnsi="黑体" w:eastAsia="黑体" w:cs="黑体"/>
          <w:sz w:val="28"/>
          <w:szCs w:val="28"/>
          <w:highlight w:val="none"/>
          <w:lang w:eastAsia="zh-CN"/>
        </w:rPr>
        <w:t>第一条</w:t>
      </w:r>
      <w:r>
        <w:rPr>
          <w:rFonts w:hint="eastAsia" w:ascii="黑体" w:hAnsi="黑体" w:eastAsia="黑体" w:cs="黑体"/>
          <w:sz w:val="28"/>
          <w:szCs w:val="28"/>
          <w:highlight w:val="none"/>
          <w:lang w:val="en-US" w:eastAsia="zh-CN"/>
        </w:rPr>
        <w:t xml:space="preserve"> </w:t>
      </w:r>
      <w:r>
        <w:rPr>
          <w:rFonts w:hint="eastAsia" w:ascii="黑体" w:hAnsi="黑体" w:eastAsia="黑体" w:cs="黑体"/>
          <w:sz w:val="28"/>
          <w:szCs w:val="28"/>
          <w:highlight w:val="none"/>
          <w:lang w:eastAsia="zh-CN"/>
        </w:rPr>
        <w:t>供货</w:t>
      </w:r>
      <w:r>
        <w:rPr>
          <w:rFonts w:hint="eastAsia" w:ascii="黑体" w:hAnsi="黑体" w:eastAsia="黑体" w:cs="黑体"/>
          <w:sz w:val="28"/>
          <w:szCs w:val="28"/>
          <w:highlight w:val="none"/>
        </w:rPr>
        <w:t>范围及价格</w:t>
      </w:r>
    </w:p>
    <w:tbl>
      <w:tblPr>
        <w:tblStyle w:val="13"/>
        <w:tblW w:w="9571" w:type="dxa"/>
        <w:jc w:val="center"/>
        <w:tblLayout w:type="fixed"/>
        <w:tblCellMar>
          <w:top w:w="0" w:type="dxa"/>
          <w:left w:w="108" w:type="dxa"/>
          <w:bottom w:w="0" w:type="dxa"/>
          <w:right w:w="108" w:type="dxa"/>
        </w:tblCellMar>
      </w:tblPr>
      <w:tblGrid>
        <w:gridCol w:w="751"/>
        <w:gridCol w:w="1439"/>
        <w:gridCol w:w="1984"/>
        <w:gridCol w:w="1005"/>
        <w:gridCol w:w="1132"/>
        <w:gridCol w:w="1633"/>
        <w:gridCol w:w="1627"/>
      </w:tblGrid>
      <w:tr w14:paraId="29B27345">
        <w:tblPrEx>
          <w:tblCellMar>
            <w:top w:w="0" w:type="dxa"/>
            <w:left w:w="108" w:type="dxa"/>
            <w:bottom w:w="0" w:type="dxa"/>
            <w:right w:w="108" w:type="dxa"/>
          </w:tblCellMar>
        </w:tblPrEx>
        <w:trPr>
          <w:trHeight w:val="831" w:hRule="atLeast"/>
          <w:jc w:val="center"/>
        </w:trPr>
        <w:tc>
          <w:tcPr>
            <w:tcW w:w="751" w:type="dxa"/>
            <w:tcBorders>
              <w:top w:val="single" w:color="auto" w:sz="4" w:space="0"/>
              <w:left w:val="single" w:color="auto" w:sz="4" w:space="0"/>
              <w:bottom w:val="single" w:color="auto" w:sz="4" w:space="0"/>
              <w:right w:val="single" w:color="auto" w:sz="4" w:space="0"/>
            </w:tcBorders>
            <w:noWrap w:val="0"/>
            <w:vAlign w:val="center"/>
          </w:tcPr>
          <w:p w14:paraId="0085ABDB">
            <w:pPr>
              <w:adjustRightInd/>
              <w:snapToGrid/>
              <w:spacing w:after="0"/>
              <w:jc w:val="center"/>
              <w:rPr>
                <w:rFonts w:hint="default" w:ascii="Times New Roman" w:hAnsi="Times New Roman" w:eastAsia="方正仿宋_GBK" w:cs="Times New Roman"/>
                <w:b/>
                <w:bCs/>
                <w:sz w:val="24"/>
                <w:szCs w:val="24"/>
                <w:highlight w:val="none"/>
              </w:rPr>
            </w:pPr>
            <w:r>
              <w:rPr>
                <w:rFonts w:hint="eastAsia" w:ascii="Times New Roman" w:hAnsi="Times New Roman" w:eastAsia="方正仿宋_GBK" w:cs="Times New Roman"/>
                <w:b/>
                <w:bCs/>
                <w:sz w:val="24"/>
                <w:szCs w:val="24"/>
                <w:highlight w:val="none"/>
                <w:lang w:val="en-US" w:eastAsia="zh-CN"/>
              </w:rPr>
              <w:t>序号</w:t>
            </w:r>
          </w:p>
        </w:tc>
        <w:tc>
          <w:tcPr>
            <w:tcW w:w="1439" w:type="dxa"/>
            <w:tcBorders>
              <w:top w:val="single" w:color="auto" w:sz="4" w:space="0"/>
              <w:left w:val="nil"/>
              <w:bottom w:val="single" w:color="auto" w:sz="4" w:space="0"/>
              <w:right w:val="single" w:color="auto" w:sz="4" w:space="0"/>
            </w:tcBorders>
            <w:noWrap w:val="0"/>
            <w:vAlign w:val="center"/>
          </w:tcPr>
          <w:p w14:paraId="78B09A60">
            <w:pPr>
              <w:adjustRightInd/>
              <w:snapToGrid/>
              <w:spacing w:after="0"/>
              <w:jc w:val="center"/>
              <w:rPr>
                <w:rFonts w:hint="default" w:ascii="Times New Roman" w:hAnsi="Times New Roman" w:eastAsia="方正仿宋_GBK" w:cs="Times New Roman"/>
                <w:b/>
                <w:bCs/>
                <w:sz w:val="24"/>
                <w:szCs w:val="24"/>
                <w:highlight w:val="none"/>
                <w:lang w:val="en-US" w:eastAsia="zh-CN"/>
              </w:rPr>
            </w:pPr>
            <w:r>
              <w:rPr>
                <w:rFonts w:hint="eastAsia" w:ascii="Times New Roman" w:hAnsi="Times New Roman" w:eastAsia="方正仿宋_GBK" w:cs="Times New Roman"/>
                <w:b/>
                <w:bCs/>
                <w:sz w:val="24"/>
                <w:szCs w:val="24"/>
                <w:highlight w:val="none"/>
                <w:lang w:val="en-US" w:eastAsia="zh-CN"/>
              </w:rPr>
              <w:t>名称</w:t>
            </w:r>
          </w:p>
        </w:tc>
        <w:tc>
          <w:tcPr>
            <w:tcW w:w="1984" w:type="dxa"/>
            <w:tcBorders>
              <w:top w:val="single" w:color="auto" w:sz="4" w:space="0"/>
              <w:left w:val="nil"/>
              <w:bottom w:val="single" w:color="auto" w:sz="4" w:space="0"/>
              <w:right w:val="single" w:color="auto" w:sz="4" w:space="0"/>
            </w:tcBorders>
            <w:noWrap w:val="0"/>
            <w:vAlign w:val="center"/>
          </w:tcPr>
          <w:p w14:paraId="7E1DDE49">
            <w:pPr>
              <w:adjustRightInd/>
              <w:snapToGrid/>
              <w:spacing w:after="0"/>
              <w:jc w:val="center"/>
              <w:rPr>
                <w:rFonts w:hint="default" w:ascii="Times New Roman" w:hAnsi="Times New Roman" w:eastAsia="方正仿宋_GBK" w:cs="Times New Roman"/>
                <w:b/>
                <w:bCs/>
                <w:sz w:val="24"/>
                <w:szCs w:val="24"/>
                <w:highlight w:val="none"/>
                <w:lang w:val="en-US" w:eastAsia="zh-CN"/>
              </w:rPr>
            </w:pPr>
            <w:r>
              <w:rPr>
                <w:rFonts w:hint="eastAsia" w:ascii="Times New Roman" w:hAnsi="Times New Roman" w:eastAsia="方正仿宋_GBK" w:cs="Times New Roman"/>
                <w:b/>
                <w:bCs/>
                <w:sz w:val="24"/>
                <w:szCs w:val="24"/>
                <w:highlight w:val="none"/>
                <w:lang w:val="en-US" w:eastAsia="zh-CN"/>
              </w:rPr>
              <w:t>规格与技术参数要求</w:t>
            </w:r>
          </w:p>
        </w:tc>
        <w:tc>
          <w:tcPr>
            <w:tcW w:w="1005" w:type="dxa"/>
            <w:tcBorders>
              <w:top w:val="single" w:color="auto" w:sz="4" w:space="0"/>
              <w:left w:val="nil"/>
              <w:bottom w:val="single" w:color="auto" w:sz="4" w:space="0"/>
              <w:right w:val="single" w:color="auto" w:sz="4" w:space="0"/>
            </w:tcBorders>
            <w:noWrap w:val="0"/>
            <w:vAlign w:val="center"/>
          </w:tcPr>
          <w:p w14:paraId="0FE24892">
            <w:pPr>
              <w:adjustRightInd/>
              <w:snapToGrid/>
              <w:spacing w:after="0"/>
              <w:jc w:val="center"/>
              <w:rPr>
                <w:rFonts w:hint="default" w:ascii="Times New Roman" w:hAnsi="Times New Roman" w:eastAsia="方正仿宋_GBK" w:cs="Times New Roman"/>
                <w:b/>
                <w:bCs/>
                <w:sz w:val="24"/>
                <w:szCs w:val="24"/>
                <w:highlight w:val="none"/>
                <w:lang w:val="en-US" w:eastAsia="zh-CN"/>
              </w:rPr>
            </w:pPr>
            <w:r>
              <w:rPr>
                <w:rFonts w:hint="eastAsia" w:ascii="Times New Roman" w:hAnsi="Times New Roman" w:eastAsia="方正仿宋_GBK" w:cs="Times New Roman"/>
                <w:b/>
                <w:bCs/>
                <w:sz w:val="24"/>
                <w:szCs w:val="24"/>
                <w:highlight w:val="none"/>
                <w:lang w:val="en-US" w:eastAsia="zh-CN"/>
              </w:rPr>
              <w:t>数量</w:t>
            </w:r>
          </w:p>
        </w:tc>
        <w:tc>
          <w:tcPr>
            <w:tcW w:w="1132" w:type="dxa"/>
            <w:tcBorders>
              <w:top w:val="single" w:color="auto" w:sz="4" w:space="0"/>
              <w:left w:val="nil"/>
              <w:bottom w:val="single" w:color="auto" w:sz="4" w:space="0"/>
              <w:right w:val="single" w:color="auto" w:sz="4" w:space="0"/>
            </w:tcBorders>
            <w:noWrap w:val="0"/>
            <w:vAlign w:val="center"/>
          </w:tcPr>
          <w:p w14:paraId="14A91725">
            <w:pPr>
              <w:adjustRightInd/>
              <w:snapToGrid/>
              <w:spacing w:after="0"/>
              <w:jc w:val="center"/>
              <w:rPr>
                <w:rFonts w:hint="default" w:ascii="Times New Roman" w:hAnsi="Times New Roman" w:eastAsia="方正仿宋_GBK" w:cs="Times New Roman"/>
                <w:b/>
                <w:bCs/>
                <w:sz w:val="24"/>
                <w:szCs w:val="24"/>
                <w:highlight w:val="none"/>
              </w:rPr>
            </w:pPr>
            <w:r>
              <w:rPr>
                <w:rFonts w:hint="eastAsia" w:ascii="Times New Roman" w:hAnsi="Times New Roman" w:eastAsia="方正仿宋_GBK" w:cs="Times New Roman"/>
                <w:b/>
                <w:bCs/>
                <w:sz w:val="24"/>
                <w:szCs w:val="24"/>
                <w:highlight w:val="none"/>
                <w:lang w:val="en-US" w:eastAsia="zh-CN"/>
              </w:rPr>
              <w:t>单位</w:t>
            </w:r>
          </w:p>
        </w:tc>
        <w:tc>
          <w:tcPr>
            <w:tcW w:w="1633" w:type="dxa"/>
            <w:tcBorders>
              <w:top w:val="single" w:color="auto" w:sz="4" w:space="0"/>
              <w:left w:val="nil"/>
              <w:bottom w:val="single" w:color="auto" w:sz="4" w:space="0"/>
              <w:right w:val="single" w:color="auto" w:sz="4" w:space="0"/>
            </w:tcBorders>
            <w:noWrap w:val="0"/>
            <w:vAlign w:val="center"/>
          </w:tcPr>
          <w:p w14:paraId="18A5117A">
            <w:pPr>
              <w:adjustRightInd/>
              <w:snapToGrid/>
              <w:spacing w:after="0"/>
              <w:jc w:val="center"/>
              <w:rPr>
                <w:rFonts w:hint="default" w:ascii="Times New Roman" w:hAnsi="Times New Roman" w:eastAsia="方正仿宋_GBK" w:cs="Times New Roman"/>
                <w:b/>
                <w:bCs/>
                <w:sz w:val="24"/>
                <w:szCs w:val="24"/>
                <w:highlight w:val="none"/>
              </w:rPr>
            </w:pPr>
            <w:r>
              <w:rPr>
                <w:rFonts w:hint="eastAsia" w:ascii="Times New Roman" w:hAnsi="Times New Roman" w:eastAsia="方正仿宋_GBK" w:cs="Times New Roman"/>
                <w:b/>
                <w:bCs/>
                <w:sz w:val="24"/>
                <w:szCs w:val="24"/>
                <w:highlight w:val="none"/>
                <w:lang w:val="en-US" w:eastAsia="zh-CN"/>
              </w:rPr>
              <w:t>单价（元）</w:t>
            </w:r>
          </w:p>
        </w:tc>
        <w:tc>
          <w:tcPr>
            <w:tcW w:w="1627" w:type="dxa"/>
            <w:tcBorders>
              <w:top w:val="single" w:color="auto" w:sz="4" w:space="0"/>
              <w:left w:val="nil"/>
              <w:bottom w:val="single" w:color="auto" w:sz="4" w:space="0"/>
              <w:right w:val="single" w:color="auto" w:sz="4" w:space="0"/>
            </w:tcBorders>
            <w:noWrap w:val="0"/>
            <w:vAlign w:val="center"/>
          </w:tcPr>
          <w:p w14:paraId="01AE2C9D">
            <w:pPr>
              <w:adjustRightInd/>
              <w:snapToGrid/>
              <w:spacing w:after="0"/>
              <w:jc w:val="center"/>
              <w:rPr>
                <w:rFonts w:hint="default" w:ascii="Times New Roman" w:hAnsi="Times New Roman" w:eastAsia="方正仿宋_GBK" w:cs="Times New Roman"/>
                <w:b/>
                <w:bCs/>
                <w:sz w:val="24"/>
                <w:szCs w:val="24"/>
                <w:highlight w:val="none"/>
              </w:rPr>
            </w:pPr>
            <w:r>
              <w:rPr>
                <w:rFonts w:hint="eastAsia" w:ascii="Times New Roman" w:hAnsi="Times New Roman" w:eastAsia="方正仿宋_GBK" w:cs="Times New Roman"/>
                <w:b/>
                <w:bCs/>
                <w:sz w:val="24"/>
                <w:szCs w:val="24"/>
                <w:highlight w:val="none"/>
                <w:lang w:val="en-US" w:eastAsia="zh-CN"/>
              </w:rPr>
              <w:t>金额（元）</w:t>
            </w:r>
          </w:p>
        </w:tc>
      </w:tr>
      <w:tr w14:paraId="12FDB466">
        <w:tblPrEx>
          <w:tblCellMar>
            <w:top w:w="0" w:type="dxa"/>
            <w:left w:w="108" w:type="dxa"/>
            <w:bottom w:w="0" w:type="dxa"/>
            <w:right w:w="108" w:type="dxa"/>
          </w:tblCellMar>
        </w:tblPrEx>
        <w:trPr>
          <w:trHeight w:val="798" w:hRule="atLeast"/>
          <w:jc w:val="center"/>
        </w:trPr>
        <w:tc>
          <w:tcPr>
            <w:tcW w:w="751" w:type="dxa"/>
            <w:tcBorders>
              <w:top w:val="nil"/>
              <w:left w:val="single" w:color="auto" w:sz="4" w:space="0"/>
              <w:bottom w:val="single" w:color="auto" w:sz="4" w:space="0"/>
              <w:right w:val="single" w:color="auto" w:sz="4" w:space="0"/>
            </w:tcBorders>
            <w:shd w:val="clear" w:color="auto" w:fill="auto"/>
            <w:noWrap w:val="0"/>
            <w:vAlign w:val="center"/>
          </w:tcPr>
          <w:p w14:paraId="0ED6F5FA">
            <w:pPr>
              <w:adjustRightInd/>
              <w:snapToGrid/>
              <w:spacing w:after="0"/>
              <w:jc w:val="center"/>
              <w:rPr>
                <w:rFonts w:hint="default" w:ascii="Times New Roman" w:hAnsi="Times New Roman" w:eastAsia="方正仿宋_GBK" w:cs="Times New Roman"/>
                <w:b/>
                <w:bCs/>
                <w:sz w:val="24"/>
                <w:szCs w:val="24"/>
                <w:highlight w:val="none"/>
              </w:rPr>
            </w:pPr>
            <w:r>
              <w:rPr>
                <w:rFonts w:hint="eastAsia" w:ascii="Times New Roman" w:hAnsi="Times New Roman" w:eastAsia="方正仿宋_GBK" w:cs="Times New Roman"/>
                <w:b/>
                <w:bCs/>
                <w:sz w:val="24"/>
                <w:szCs w:val="24"/>
                <w:highlight w:val="none"/>
              </w:rPr>
              <w:t>1</w:t>
            </w:r>
          </w:p>
        </w:tc>
        <w:tc>
          <w:tcPr>
            <w:tcW w:w="1439" w:type="dxa"/>
            <w:tcBorders>
              <w:top w:val="nil"/>
              <w:left w:val="nil"/>
              <w:bottom w:val="single" w:color="auto" w:sz="4" w:space="0"/>
              <w:right w:val="single" w:color="auto" w:sz="4" w:space="0"/>
            </w:tcBorders>
            <w:shd w:val="clear" w:color="000000" w:fill="FFFFFF"/>
            <w:noWrap w:val="0"/>
            <w:vAlign w:val="center"/>
          </w:tcPr>
          <w:p w14:paraId="7903C9D8">
            <w:pPr>
              <w:adjustRightInd/>
              <w:snapToGrid/>
              <w:spacing w:after="0"/>
              <w:jc w:val="center"/>
              <w:rPr>
                <w:rFonts w:hint="eastAsia" w:ascii="Times New Roman" w:hAnsi="Times New Roman" w:eastAsia="方正仿宋_GBK" w:cs="Times New Roman"/>
                <w:b/>
                <w:bCs/>
                <w:sz w:val="24"/>
                <w:szCs w:val="24"/>
                <w:highlight w:val="none"/>
              </w:rPr>
            </w:pPr>
          </w:p>
        </w:tc>
        <w:tc>
          <w:tcPr>
            <w:tcW w:w="1984" w:type="dxa"/>
            <w:tcBorders>
              <w:top w:val="nil"/>
              <w:left w:val="nil"/>
              <w:bottom w:val="single" w:color="auto" w:sz="4" w:space="0"/>
              <w:right w:val="single" w:color="auto" w:sz="4" w:space="0"/>
            </w:tcBorders>
            <w:shd w:val="clear" w:color="000000" w:fill="FFFFFF"/>
            <w:noWrap w:val="0"/>
            <w:vAlign w:val="center"/>
          </w:tcPr>
          <w:p w14:paraId="3FA647C3">
            <w:pPr>
              <w:adjustRightInd/>
              <w:snapToGrid/>
              <w:spacing w:after="0"/>
              <w:jc w:val="center"/>
              <w:rPr>
                <w:rFonts w:hint="eastAsia" w:ascii="Times New Roman" w:hAnsi="Times New Roman" w:eastAsia="方正仿宋_GBK" w:cs="Times New Roman"/>
                <w:b/>
                <w:bCs/>
                <w:sz w:val="24"/>
                <w:szCs w:val="24"/>
                <w:highlight w:val="none"/>
              </w:rPr>
            </w:pPr>
          </w:p>
        </w:tc>
        <w:tc>
          <w:tcPr>
            <w:tcW w:w="1005" w:type="dxa"/>
            <w:tcBorders>
              <w:top w:val="nil"/>
              <w:left w:val="nil"/>
              <w:bottom w:val="single" w:color="auto" w:sz="4" w:space="0"/>
              <w:right w:val="single" w:color="auto" w:sz="4" w:space="0"/>
            </w:tcBorders>
            <w:shd w:val="clear" w:color="000000" w:fill="FFFFFF"/>
            <w:noWrap w:val="0"/>
            <w:vAlign w:val="center"/>
          </w:tcPr>
          <w:p w14:paraId="6533A1DE">
            <w:pPr>
              <w:adjustRightInd/>
              <w:snapToGrid/>
              <w:spacing w:after="0"/>
              <w:jc w:val="center"/>
              <w:rPr>
                <w:rFonts w:hint="default" w:ascii="Times New Roman" w:hAnsi="Times New Roman" w:eastAsia="方正仿宋_GBK" w:cs="Times New Roman"/>
                <w:b/>
                <w:bCs/>
                <w:sz w:val="24"/>
                <w:szCs w:val="24"/>
                <w:highlight w:val="none"/>
              </w:rPr>
            </w:pPr>
          </w:p>
        </w:tc>
        <w:tc>
          <w:tcPr>
            <w:tcW w:w="1132" w:type="dxa"/>
            <w:tcBorders>
              <w:top w:val="nil"/>
              <w:left w:val="nil"/>
              <w:bottom w:val="single" w:color="auto" w:sz="4" w:space="0"/>
              <w:right w:val="single" w:color="auto" w:sz="4" w:space="0"/>
            </w:tcBorders>
            <w:shd w:val="clear" w:color="000000" w:fill="FFFFFF"/>
            <w:noWrap w:val="0"/>
            <w:vAlign w:val="center"/>
          </w:tcPr>
          <w:p w14:paraId="632BF058">
            <w:pPr>
              <w:adjustRightInd/>
              <w:snapToGrid/>
              <w:spacing w:after="0"/>
              <w:jc w:val="center"/>
              <w:rPr>
                <w:rFonts w:hint="default" w:ascii="Times New Roman" w:hAnsi="Times New Roman" w:eastAsia="方正仿宋_GBK" w:cs="Times New Roman"/>
                <w:b/>
                <w:bCs/>
                <w:sz w:val="24"/>
                <w:szCs w:val="24"/>
                <w:highlight w:val="none"/>
              </w:rPr>
            </w:pPr>
          </w:p>
        </w:tc>
        <w:tc>
          <w:tcPr>
            <w:tcW w:w="1633" w:type="dxa"/>
            <w:tcBorders>
              <w:top w:val="nil"/>
              <w:left w:val="nil"/>
              <w:bottom w:val="single" w:color="auto" w:sz="4" w:space="0"/>
              <w:right w:val="single" w:color="auto" w:sz="4" w:space="0"/>
            </w:tcBorders>
            <w:noWrap w:val="0"/>
            <w:vAlign w:val="center"/>
          </w:tcPr>
          <w:p w14:paraId="797EC2E6">
            <w:pPr>
              <w:adjustRightInd/>
              <w:snapToGrid/>
              <w:spacing w:after="0"/>
              <w:jc w:val="center"/>
              <w:rPr>
                <w:rFonts w:hint="default" w:ascii="Times New Roman" w:hAnsi="Times New Roman" w:eastAsia="方正仿宋_GBK" w:cs="Times New Roman"/>
                <w:b/>
                <w:bCs/>
                <w:sz w:val="24"/>
                <w:szCs w:val="24"/>
                <w:highlight w:val="none"/>
              </w:rPr>
            </w:pPr>
          </w:p>
        </w:tc>
        <w:tc>
          <w:tcPr>
            <w:tcW w:w="1627" w:type="dxa"/>
            <w:tcBorders>
              <w:top w:val="nil"/>
              <w:left w:val="nil"/>
              <w:bottom w:val="single" w:color="auto" w:sz="4" w:space="0"/>
              <w:right w:val="single" w:color="auto" w:sz="4" w:space="0"/>
            </w:tcBorders>
            <w:noWrap w:val="0"/>
            <w:vAlign w:val="center"/>
          </w:tcPr>
          <w:p w14:paraId="55F60B0E">
            <w:pPr>
              <w:adjustRightInd/>
              <w:snapToGrid/>
              <w:spacing w:after="0"/>
              <w:jc w:val="center"/>
              <w:rPr>
                <w:rFonts w:hint="eastAsia" w:ascii="Times New Roman" w:hAnsi="Times New Roman" w:eastAsia="方正仿宋_GBK" w:cs="Times New Roman"/>
                <w:b/>
                <w:bCs/>
                <w:sz w:val="24"/>
                <w:szCs w:val="24"/>
                <w:highlight w:val="none"/>
              </w:rPr>
            </w:pPr>
          </w:p>
        </w:tc>
      </w:tr>
      <w:tr w14:paraId="0E877BCF">
        <w:tblPrEx>
          <w:tblCellMar>
            <w:top w:w="0" w:type="dxa"/>
            <w:left w:w="108" w:type="dxa"/>
            <w:bottom w:w="0" w:type="dxa"/>
            <w:right w:w="108" w:type="dxa"/>
          </w:tblCellMar>
        </w:tblPrEx>
        <w:trPr>
          <w:trHeight w:val="836" w:hRule="atLeast"/>
          <w:jc w:val="center"/>
        </w:trPr>
        <w:tc>
          <w:tcPr>
            <w:tcW w:w="6311" w:type="dxa"/>
            <w:gridSpan w:val="5"/>
            <w:tcBorders>
              <w:top w:val="nil"/>
              <w:left w:val="single" w:color="auto" w:sz="4" w:space="0"/>
              <w:bottom w:val="single" w:color="auto" w:sz="4" w:space="0"/>
              <w:right w:val="single" w:color="auto" w:sz="4" w:space="0"/>
            </w:tcBorders>
            <w:noWrap w:val="0"/>
            <w:vAlign w:val="center"/>
          </w:tcPr>
          <w:p w14:paraId="47F666EB">
            <w:pPr>
              <w:adjustRightInd/>
              <w:snapToGrid/>
              <w:spacing w:after="0"/>
              <w:jc w:val="left"/>
              <w:rPr>
                <w:rFonts w:hint="eastAsia" w:ascii="Times New Roman" w:hAnsi="Times New Roman" w:eastAsia="方正仿宋_GBK" w:cs="Times New Roman"/>
                <w:b/>
                <w:bCs/>
                <w:sz w:val="24"/>
                <w:szCs w:val="24"/>
                <w:highlight w:val="none"/>
              </w:rPr>
            </w:pPr>
            <w:r>
              <w:rPr>
                <w:rFonts w:hint="eastAsia" w:ascii="Times New Roman" w:hAnsi="Times New Roman" w:eastAsia="方正仿宋_GBK" w:cs="Times New Roman"/>
                <w:b/>
                <w:bCs/>
                <w:sz w:val="24"/>
                <w:szCs w:val="24"/>
                <w:highlight w:val="none"/>
              </w:rPr>
              <w:t>合同总金额人民币（大写）：</w:t>
            </w:r>
          </w:p>
        </w:tc>
        <w:tc>
          <w:tcPr>
            <w:tcW w:w="3260" w:type="dxa"/>
            <w:gridSpan w:val="2"/>
            <w:tcBorders>
              <w:top w:val="nil"/>
              <w:left w:val="single" w:color="auto" w:sz="4" w:space="0"/>
              <w:bottom w:val="single" w:color="auto" w:sz="4" w:space="0"/>
              <w:right w:val="single" w:color="auto" w:sz="4" w:space="0"/>
            </w:tcBorders>
            <w:noWrap w:val="0"/>
            <w:vAlign w:val="center"/>
          </w:tcPr>
          <w:p w14:paraId="6E443802">
            <w:pPr>
              <w:adjustRightInd/>
              <w:snapToGrid/>
              <w:spacing w:after="0"/>
              <w:jc w:val="left"/>
              <w:rPr>
                <w:rFonts w:hint="eastAsia" w:ascii="Times New Roman" w:hAnsi="Times New Roman" w:eastAsia="方正仿宋_GBK" w:cs="Times New Roman"/>
                <w:b/>
                <w:bCs/>
                <w:sz w:val="24"/>
                <w:szCs w:val="24"/>
                <w:highlight w:val="none"/>
              </w:rPr>
            </w:pPr>
            <w:r>
              <w:rPr>
                <w:rFonts w:hint="eastAsia" w:ascii="Times New Roman" w:hAnsi="Times New Roman" w:eastAsia="方正仿宋_GBK" w:cs="Times New Roman"/>
                <w:b/>
                <w:bCs/>
                <w:sz w:val="24"/>
                <w:szCs w:val="24"/>
                <w:highlight w:val="none"/>
              </w:rPr>
              <w:t>￥</w:t>
            </w:r>
          </w:p>
        </w:tc>
      </w:tr>
      <w:tr w14:paraId="2903F576">
        <w:tblPrEx>
          <w:tblCellMar>
            <w:top w:w="0" w:type="dxa"/>
            <w:left w:w="108" w:type="dxa"/>
            <w:bottom w:w="0" w:type="dxa"/>
            <w:right w:w="108" w:type="dxa"/>
          </w:tblCellMar>
        </w:tblPrEx>
        <w:trPr>
          <w:trHeight w:val="716" w:hRule="atLeast"/>
          <w:jc w:val="center"/>
        </w:trPr>
        <w:tc>
          <w:tcPr>
            <w:tcW w:w="9571" w:type="dxa"/>
            <w:gridSpan w:val="7"/>
            <w:tcBorders>
              <w:top w:val="nil"/>
              <w:left w:val="single" w:color="auto" w:sz="4" w:space="0"/>
              <w:bottom w:val="single" w:color="auto" w:sz="4" w:space="0"/>
              <w:right w:val="single" w:color="auto" w:sz="4" w:space="0"/>
            </w:tcBorders>
            <w:noWrap w:val="0"/>
            <w:vAlign w:val="center"/>
          </w:tcPr>
          <w:p w14:paraId="74D1688C">
            <w:pPr>
              <w:adjustRightInd/>
              <w:snapToGrid/>
              <w:spacing w:after="0"/>
              <w:jc w:val="left"/>
              <w:rPr>
                <w:rFonts w:hint="eastAsia" w:ascii="Times New Roman" w:hAnsi="Times New Roman" w:eastAsia="方正仿宋_GBK" w:cs="Times New Roman"/>
                <w:b/>
                <w:bCs/>
                <w:sz w:val="24"/>
                <w:szCs w:val="24"/>
                <w:highlight w:val="none"/>
              </w:rPr>
            </w:pPr>
            <w:r>
              <w:rPr>
                <w:rFonts w:hint="eastAsia" w:ascii="Times New Roman" w:hAnsi="Times New Roman" w:eastAsia="方正仿宋_GBK" w:cs="Times New Roman"/>
                <w:b/>
                <w:bCs/>
                <w:sz w:val="24"/>
                <w:szCs w:val="24"/>
                <w:highlight w:val="none"/>
              </w:rPr>
              <w:t>备注：以上金额含</w:t>
            </w:r>
            <w:r>
              <w:rPr>
                <w:rFonts w:hint="eastAsia" w:eastAsia="方正仿宋_GBK" w:cs="Times New Roman"/>
                <w:b/>
                <w:bCs/>
                <w:sz w:val="24"/>
                <w:szCs w:val="24"/>
                <w:highlight w:val="none"/>
                <w:lang w:val="en-US" w:eastAsia="zh-CN"/>
              </w:rPr>
              <w:t xml:space="preserve">  </w:t>
            </w:r>
            <w:r>
              <w:rPr>
                <w:rFonts w:hint="eastAsia" w:ascii="Times New Roman" w:hAnsi="Times New Roman" w:eastAsia="方正仿宋_GBK" w:cs="Times New Roman"/>
                <w:b/>
                <w:bCs/>
                <w:sz w:val="24"/>
                <w:szCs w:val="24"/>
                <w:highlight w:val="none"/>
              </w:rPr>
              <w:t>%增值税和运费</w:t>
            </w:r>
          </w:p>
        </w:tc>
      </w:tr>
    </w:tbl>
    <w:p w14:paraId="1E1C8120">
      <w:pPr>
        <w:pStyle w:val="22"/>
        <w:keepNext w:val="0"/>
        <w:keepLines w:val="0"/>
        <w:pageBreakBefore w:val="0"/>
        <w:numPr>
          <w:ilvl w:val="0"/>
          <w:numId w:val="0"/>
        </w:numPr>
        <w:kinsoku/>
        <w:wordWrap/>
        <w:overflowPunct/>
        <w:topLinePunct w:val="0"/>
        <w:autoSpaceDE/>
        <w:autoSpaceDN/>
        <w:bidi w:val="0"/>
        <w:adjustRightInd w:val="0"/>
        <w:snapToGrid w:val="0"/>
        <w:spacing w:after="0" w:line="579" w:lineRule="exact"/>
        <w:ind w:left="0" w:leftChars="0"/>
        <w:jc w:val="both"/>
        <w:textAlignment w:val="auto"/>
        <w:outlineLvl w:val="1"/>
        <w:rPr>
          <w:rFonts w:hint="eastAsia" w:ascii="黑体" w:hAnsi="黑体" w:eastAsia="黑体" w:cs="黑体"/>
          <w:sz w:val="28"/>
          <w:szCs w:val="28"/>
          <w:highlight w:val="none"/>
          <w:lang w:eastAsia="zh-CN"/>
        </w:rPr>
      </w:pPr>
      <w:r>
        <w:rPr>
          <w:rFonts w:hint="eastAsia" w:ascii="黑体" w:hAnsi="黑体" w:eastAsia="黑体" w:cs="黑体"/>
          <w:sz w:val="28"/>
          <w:szCs w:val="28"/>
          <w:highlight w:val="none"/>
        </w:rPr>
        <w:t xml:space="preserve">第二条  </w:t>
      </w:r>
      <w:r>
        <w:rPr>
          <w:rFonts w:hint="eastAsia" w:ascii="黑体" w:hAnsi="黑体" w:eastAsia="黑体" w:cs="黑体"/>
          <w:sz w:val="28"/>
          <w:szCs w:val="28"/>
          <w:highlight w:val="none"/>
          <w:lang w:eastAsia="zh-CN"/>
        </w:rPr>
        <w:t>供货</w:t>
      </w:r>
      <w:r>
        <w:rPr>
          <w:rFonts w:hint="eastAsia" w:ascii="黑体" w:hAnsi="黑体" w:eastAsia="黑体" w:cs="黑体"/>
          <w:sz w:val="28"/>
          <w:szCs w:val="28"/>
          <w:highlight w:val="none"/>
        </w:rPr>
        <w:t>时间、地点</w:t>
      </w:r>
      <w:r>
        <w:rPr>
          <w:rFonts w:hint="eastAsia" w:ascii="黑体" w:hAnsi="黑体" w:eastAsia="黑体" w:cs="黑体"/>
          <w:sz w:val="28"/>
          <w:szCs w:val="28"/>
          <w:highlight w:val="none"/>
          <w:lang w:eastAsia="zh-CN"/>
        </w:rPr>
        <w:t>、要求</w:t>
      </w:r>
    </w:p>
    <w:p w14:paraId="453342D8">
      <w:pPr>
        <w:pStyle w:val="34"/>
        <w:keepNext w:val="0"/>
        <w:keepLines w:val="0"/>
        <w:pageBreakBefore w:val="0"/>
        <w:widowControl/>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highlight w:val="yellow"/>
        </w:rPr>
      </w:pPr>
      <w:r>
        <w:rPr>
          <w:rFonts w:hint="eastAsia" w:ascii="方正仿宋_GBK" w:hAnsi="方正仿宋_GBK" w:eastAsia="方正仿宋_GBK" w:cs="方正仿宋_GBK"/>
          <w:sz w:val="28"/>
          <w:szCs w:val="28"/>
          <w:highlight w:val="none"/>
          <w:lang w:eastAsia="zh-CN"/>
        </w:rPr>
        <w:t>1.供货</w:t>
      </w:r>
      <w:r>
        <w:rPr>
          <w:rFonts w:hint="eastAsia" w:ascii="方正仿宋_GBK" w:hAnsi="方正仿宋_GBK" w:eastAsia="方正仿宋_GBK" w:cs="方正仿宋_GBK"/>
          <w:sz w:val="28"/>
          <w:szCs w:val="28"/>
          <w:highlight w:val="none"/>
        </w:rPr>
        <w:t>时间：</w:t>
      </w:r>
      <w:r>
        <w:rPr>
          <w:rFonts w:hint="eastAsia" w:ascii="方正仿宋_GBK" w:hAnsi="方正仿宋_GBK" w:eastAsia="方正仿宋_GBK" w:cs="方正仿宋_GBK"/>
          <w:sz w:val="28"/>
          <w:szCs w:val="28"/>
          <w:highlight w:val="none"/>
          <w:lang w:val="en-US" w:eastAsia="zh-CN"/>
        </w:rPr>
        <w:t>本项目供货期为一年，自合同签订之日起算，根据甲方实际需求分批次进行维护保养及配件供货，按实际发生量据实结算。乙方接到甲方通知后，应在10个工作日内完成当批次维护保养工作，并提交经双方签字确认的维保记录单；同时按需分批次供应配件，接到供货通知后3个自然日内将配件送达甲方指定地点，完成卸货、就位至指定堆放位置，运输、装卸、就位及运输途中的一切风险与费用均由乙方承担。</w:t>
      </w:r>
    </w:p>
    <w:p w14:paraId="15FBED40">
      <w:pPr>
        <w:pStyle w:val="34"/>
        <w:keepNext w:val="0"/>
        <w:keepLines w:val="0"/>
        <w:pageBreakBefore w:val="0"/>
        <w:widowControl/>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lang w:eastAsia="zh-CN"/>
        </w:rPr>
      </w:pPr>
      <w:r>
        <w:rPr>
          <w:rFonts w:hint="eastAsia" w:ascii="方正仿宋_GBK" w:hAnsi="方正仿宋_GBK" w:eastAsia="方正仿宋_GBK" w:cs="方正仿宋_GBK"/>
          <w:sz w:val="28"/>
          <w:szCs w:val="28"/>
          <w:highlight w:val="none"/>
          <w:lang w:eastAsia="zh-CN"/>
        </w:rPr>
        <w:t>2.供货</w:t>
      </w:r>
      <w:r>
        <w:rPr>
          <w:rFonts w:hint="eastAsia" w:ascii="方正仿宋_GBK" w:hAnsi="方正仿宋_GBK" w:eastAsia="方正仿宋_GBK" w:cs="方正仿宋_GBK"/>
          <w:sz w:val="28"/>
          <w:szCs w:val="28"/>
          <w:highlight w:val="none"/>
        </w:rPr>
        <w:t>地点：</w:t>
      </w:r>
      <w:r>
        <w:rPr>
          <w:rFonts w:hint="eastAsia" w:ascii="方正仿宋_GBK" w:hAnsi="方正仿宋_GBK" w:eastAsia="方正仿宋_GBK" w:cs="方正仿宋_GBK"/>
          <w:sz w:val="28"/>
          <w:szCs w:val="28"/>
          <w:highlight w:val="none"/>
          <w:lang w:eastAsia="zh-CN"/>
        </w:rPr>
        <w:t>浙江省绍兴市柯桥</w:t>
      </w:r>
      <w:r>
        <w:rPr>
          <w:rFonts w:hint="eastAsia" w:ascii="方正仿宋_GBK" w:hAnsi="方正仿宋_GBK" w:eastAsia="方正仿宋_GBK" w:cs="方正仿宋_GBK"/>
          <w:sz w:val="28"/>
          <w:szCs w:val="28"/>
          <w:lang w:eastAsia="zh-CN"/>
        </w:rPr>
        <w:t>区钱滨线二线海塘绍兴市再生能源发展有限公司。</w:t>
      </w:r>
    </w:p>
    <w:p w14:paraId="2B2F559C">
      <w:pPr>
        <w:pStyle w:val="34"/>
        <w:keepNext w:val="0"/>
        <w:keepLines w:val="0"/>
        <w:pageBreakBefore w:val="0"/>
        <w:widowControl/>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default"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3.供货要求：</w:t>
      </w:r>
      <w:r>
        <w:rPr>
          <w:rFonts w:hint="eastAsia" w:ascii="方正仿宋_GBK" w:hAnsi="方正仿宋_GBK" w:eastAsia="方正仿宋_GBK" w:cs="方正仿宋_GBK"/>
          <w:sz w:val="28"/>
          <w:szCs w:val="28"/>
          <w:highlight w:val="none"/>
          <w:lang w:val="en-US" w:eastAsia="zh-CN"/>
        </w:rPr>
        <w:t>每批次维保服务及供货配件须随附原厂合格证明、质量证明书、维保记录单，文件内容应与当批次内容一致；到场后由甲方按采购清单约定的型号规格及维保标准现场验收，若型号不符、质量不达标或维保未达到约定标准，甲方有权拒收并要求整改，相关费用由乙方承担，乙方应在接到通知后2个工作日内补足合格配件或完成整改</w:t>
      </w:r>
      <w:r>
        <w:rPr>
          <w:rFonts w:hint="eastAsia" w:ascii="方正仿宋_GBK" w:hAnsi="方正仿宋_GBK" w:eastAsia="方正仿宋_GBK" w:cs="方正仿宋_GBK"/>
          <w:sz w:val="28"/>
          <w:szCs w:val="28"/>
          <w:highlight w:val="none"/>
        </w:rPr>
        <w:t>。</w:t>
      </w:r>
    </w:p>
    <w:p w14:paraId="7AD982A2">
      <w:pPr>
        <w:pStyle w:val="22"/>
        <w:keepNext w:val="0"/>
        <w:keepLines w:val="0"/>
        <w:pageBreakBefore w:val="0"/>
        <w:numPr>
          <w:ilvl w:val="0"/>
          <w:numId w:val="0"/>
        </w:numPr>
        <w:kinsoku/>
        <w:wordWrap/>
        <w:overflowPunct/>
        <w:topLinePunct w:val="0"/>
        <w:autoSpaceDE/>
        <w:autoSpaceDN/>
        <w:bidi w:val="0"/>
        <w:adjustRightInd w:val="0"/>
        <w:snapToGrid w:val="0"/>
        <w:spacing w:after="0" w:line="579" w:lineRule="exact"/>
        <w:ind w:left="0" w:leftChars="0"/>
        <w:jc w:val="both"/>
        <w:textAlignment w:val="auto"/>
        <w:outlineLvl w:val="1"/>
        <w:rPr>
          <w:rFonts w:hint="eastAsia" w:ascii="黑体" w:hAnsi="黑体" w:eastAsia="黑体" w:cs="黑体"/>
          <w:sz w:val="28"/>
          <w:szCs w:val="28"/>
          <w:lang w:val="en-US" w:eastAsia="zh-CN"/>
        </w:rPr>
      </w:pPr>
      <w:r>
        <w:rPr>
          <w:rFonts w:hint="eastAsia" w:ascii="黑体" w:hAnsi="黑体" w:eastAsia="黑体" w:cs="黑体"/>
          <w:sz w:val="28"/>
          <w:szCs w:val="28"/>
        </w:rPr>
        <w:t>第三条 技术要求</w:t>
      </w:r>
      <w:r>
        <w:rPr>
          <w:rFonts w:hint="eastAsia" w:ascii="黑体" w:hAnsi="黑体" w:eastAsia="黑体" w:cs="黑体"/>
          <w:sz w:val="28"/>
          <w:szCs w:val="28"/>
          <w:lang w:val="en-US" w:eastAsia="zh-CN"/>
        </w:rPr>
        <w:t>及工作量</w:t>
      </w:r>
    </w:p>
    <w:p w14:paraId="2DA12BA4">
      <w:pPr>
        <w:pStyle w:val="22"/>
        <w:keepNext w:val="0"/>
        <w:keepLines w:val="0"/>
        <w:pageBreakBefore w:val="0"/>
        <w:numPr>
          <w:ilvl w:val="0"/>
          <w:numId w:val="0"/>
        </w:numPr>
        <w:kinsoku/>
        <w:wordWrap/>
        <w:overflowPunct/>
        <w:topLinePunct w:val="0"/>
        <w:autoSpaceDE/>
        <w:autoSpaceDN/>
        <w:bidi w:val="0"/>
        <w:adjustRightInd w:val="0"/>
        <w:snapToGrid w:val="0"/>
        <w:spacing w:after="0" w:line="579" w:lineRule="exact"/>
        <w:ind w:left="0" w:leftChars="0" w:firstLine="560" w:firstLineChars="200"/>
        <w:jc w:val="both"/>
        <w:textAlignment w:val="auto"/>
        <w:outlineLvl w:val="1"/>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u w:val="single"/>
          <w:lang w:val="en-US" w:eastAsia="zh-CN"/>
        </w:rPr>
        <w:t>技术要求</w:t>
      </w:r>
    </w:p>
    <w:p w14:paraId="69CBA6B8">
      <w:pPr>
        <w:pStyle w:val="34"/>
        <w:keepNext w:val="0"/>
        <w:keepLines w:val="0"/>
        <w:pageBreakBefore w:val="0"/>
        <w:widowControl/>
        <w:kinsoku/>
        <w:wordWrap/>
        <w:overflowPunct/>
        <w:topLinePunct w:val="0"/>
        <w:autoSpaceDE/>
        <w:autoSpaceDN/>
        <w:bidi w:val="0"/>
        <w:adjustRightInd w:val="0"/>
        <w:snapToGrid w:val="0"/>
        <w:spacing w:after="0" w:line="579" w:lineRule="exact"/>
        <w:ind w:left="559" w:leftChars="266" w:firstLine="0" w:firstLineChars="0"/>
        <w:contextualSpacing/>
        <w:jc w:val="both"/>
        <w:textAlignment w:val="auto"/>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①雾化盘回装后量测-下圆 0.022至/上圆 0.035 至 0.038mm。</w:t>
      </w:r>
      <w:r>
        <w:rPr>
          <w:rFonts w:hint="eastAsia" w:ascii="方正仿宋_GBK" w:hAnsi="方正仿宋_GBK" w:eastAsia="方正仿宋_GBK" w:cs="方正仿宋_GBK"/>
          <w:sz w:val="28"/>
          <w:szCs w:val="28"/>
          <w:highlight w:val="none"/>
          <w:lang w:val="en-US" w:eastAsia="zh-CN"/>
        </w:rPr>
        <w:br w:type="textWrapping"/>
      </w:r>
      <w:r>
        <w:rPr>
          <w:rFonts w:hint="eastAsia" w:ascii="方正仿宋_GBK" w:hAnsi="方正仿宋_GBK" w:eastAsia="方正仿宋_GBK" w:cs="方正仿宋_GBK"/>
          <w:sz w:val="28"/>
          <w:szCs w:val="28"/>
          <w:highlight w:val="none"/>
          <w:lang w:val="en-US" w:eastAsia="zh-CN"/>
        </w:rPr>
        <w:t>②轴心量测-偏摆 0.02 至 0.022mm。</w:t>
      </w:r>
      <w:r>
        <w:rPr>
          <w:rFonts w:hint="eastAsia" w:ascii="方正仿宋_GBK" w:hAnsi="方正仿宋_GBK" w:eastAsia="方正仿宋_GBK" w:cs="方正仿宋_GBK"/>
          <w:sz w:val="28"/>
          <w:szCs w:val="28"/>
          <w:highlight w:val="none"/>
          <w:lang w:val="en-US" w:eastAsia="zh-CN"/>
        </w:rPr>
        <w:br w:type="textWrapping"/>
      </w:r>
      <w:r>
        <w:rPr>
          <w:rFonts w:hint="eastAsia" w:ascii="方正仿宋_GBK" w:hAnsi="方正仿宋_GBK" w:eastAsia="方正仿宋_GBK" w:cs="方正仿宋_GBK"/>
          <w:sz w:val="28"/>
          <w:szCs w:val="28"/>
          <w:highlight w:val="none"/>
          <w:lang w:val="en-US" w:eastAsia="zh-CN"/>
        </w:rPr>
        <w:t>③轴心联轴器间隙-1.20 至 1.35mm。</w:t>
      </w:r>
      <w:r>
        <w:rPr>
          <w:rFonts w:hint="eastAsia" w:ascii="方正仿宋_GBK" w:hAnsi="方正仿宋_GBK" w:eastAsia="方正仿宋_GBK" w:cs="方正仿宋_GBK"/>
          <w:sz w:val="28"/>
          <w:szCs w:val="28"/>
          <w:highlight w:val="none"/>
          <w:lang w:val="en-US" w:eastAsia="zh-CN"/>
        </w:rPr>
        <w:br w:type="textWrapping"/>
      </w:r>
      <w:r>
        <w:rPr>
          <w:rFonts w:hint="eastAsia" w:ascii="方正仿宋_GBK" w:hAnsi="方正仿宋_GBK" w:eastAsia="方正仿宋_GBK" w:cs="方正仿宋_GBK"/>
          <w:sz w:val="28"/>
          <w:szCs w:val="28"/>
          <w:highlight w:val="none"/>
          <w:lang w:val="en-US" w:eastAsia="zh-CN"/>
        </w:rPr>
        <w:t>④振动偏移检测-10.5V。</w:t>
      </w:r>
      <w:r>
        <w:rPr>
          <w:rFonts w:hint="eastAsia" w:ascii="方正仿宋_GBK" w:hAnsi="方正仿宋_GBK" w:eastAsia="方正仿宋_GBK" w:cs="方正仿宋_GBK"/>
          <w:sz w:val="28"/>
          <w:szCs w:val="28"/>
          <w:highlight w:val="none"/>
          <w:lang w:val="en-US" w:eastAsia="zh-CN"/>
        </w:rPr>
        <w:br w:type="textWrapping"/>
      </w:r>
      <w:r>
        <w:rPr>
          <w:rFonts w:hint="eastAsia" w:ascii="方正仿宋_GBK" w:hAnsi="方正仿宋_GBK" w:eastAsia="方正仿宋_GBK" w:cs="方正仿宋_GBK"/>
          <w:sz w:val="28"/>
          <w:szCs w:val="28"/>
          <w:highlight w:val="none"/>
          <w:lang w:val="en-US" w:eastAsia="zh-CN"/>
        </w:rPr>
        <w:t>⑤油泵运行正常,吸排油正常，油温温度器检测测点 110 至 112奥姆,溢油开关， 油位开关，油流量检测需正常。</w:t>
      </w:r>
      <w:r>
        <w:rPr>
          <w:rFonts w:hint="eastAsia" w:ascii="方正仿宋_GBK" w:hAnsi="方正仿宋_GBK" w:eastAsia="方正仿宋_GBK" w:cs="方正仿宋_GBK"/>
          <w:sz w:val="28"/>
          <w:szCs w:val="28"/>
          <w:highlight w:val="none"/>
          <w:lang w:val="en-US" w:eastAsia="zh-CN"/>
        </w:rPr>
        <w:br w:type="textWrapping"/>
      </w:r>
      <w:r>
        <w:rPr>
          <w:rFonts w:hint="eastAsia" w:ascii="方正仿宋_GBK" w:hAnsi="方正仿宋_GBK" w:eastAsia="方正仿宋_GBK" w:cs="方正仿宋_GBK"/>
          <w:sz w:val="28"/>
          <w:szCs w:val="28"/>
          <w:highlight w:val="none"/>
          <w:lang w:val="en-US" w:eastAsia="zh-CN"/>
        </w:rPr>
        <w:t>⑥整机运行 1 周后,振动值在合格范围内,运行平稳，整机无漏油渗油点，达到合同验收标准。</w:t>
      </w:r>
    </w:p>
    <w:p w14:paraId="2C365F4F">
      <w:pPr>
        <w:pStyle w:val="34"/>
        <w:keepNext w:val="0"/>
        <w:keepLines w:val="0"/>
        <w:pageBreakBefore w:val="0"/>
        <w:widowControl/>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⑦质保期为一年（从验收之日起计算），在质保期内如果因维护保养不当或维护方提供更换的备件因质量原因而造成雾化器故障或损坏的由维护方负责处理正常，并经验收合格后方能认可，一年质保期也因此需重新开始计算。</w:t>
      </w:r>
    </w:p>
    <w:p w14:paraId="350212AA">
      <w:pPr>
        <w:pStyle w:val="34"/>
        <w:keepNext w:val="0"/>
        <w:keepLines w:val="0"/>
        <w:pageBreakBefore w:val="0"/>
        <w:widowControl/>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highlight w:val="none"/>
          <w:u w:val="single"/>
          <w:lang w:val="en-US" w:eastAsia="zh-CN"/>
        </w:rPr>
      </w:pPr>
      <w:r>
        <w:rPr>
          <w:rFonts w:hint="eastAsia" w:ascii="方正仿宋_GBK" w:hAnsi="方正仿宋_GBK" w:eastAsia="方正仿宋_GBK" w:cs="方正仿宋_GBK"/>
          <w:sz w:val="28"/>
          <w:szCs w:val="28"/>
          <w:highlight w:val="none"/>
          <w:u w:val="single"/>
          <w:lang w:val="en-US" w:eastAsia="zh-CN"/>
        </w:rPr>
        <w:t>工作量：</w:t>
      </w:r>
    </w:p>
    <w:p w14:paraId="17DFCDB5">
      <w:pPr>
        <w:pStyle w:val="34"/>
        <w:keepNext w:val="0"/>
        <w:keepLines w:val="0"/>
        <w:pageBreakBefore w:val="0"/>
        <w:widowControl/>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①整机及零部件的拆卸检查，清洗及组装由维护方负责。</w:t>
      </w:r>
    </w:p>
    <w:p w14:paraId="408383D5">
      <w:pPr>
        <w:pStyle w:val="34"/>
        <w:keepNext w:val="0"/>
        <w:keepLines w:val="0"/>
        <w:pageBreakBefore w:val="0"/>
        <w:widowControl/>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②合同约定由维护方提供备件及更换的由维护方负责。</w:t>
      </w:r>
    </w:p>
    <w:p w14:paraId="320306A0">
      <w:pPr>
        <w:pStyle w:val="34"/>
        <w:keepNext w:val="0"/>
        <w:keepLines w:val="0"/>
        <w:pageBreakBefore w:val="0"/>
        <w:widowControl/>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③所要保养雾化器编号：</w:t>
      </w:r>
    </w:p>
    <w:p w14:paraId="2F09DD21">
      <w:pPr>
        <w:pStyle w:val="34"/>
        <w:keepNext w:val="0"/>
        <w:keepLines w:val="0"/>
        <w:pageBreakBefore w:val="0"/>
        <w:widowControl/>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 xml:space="preserve">(1)761044-0015-S45-0117-1(2060)  </w:t>
      </w:r>
    </w:p>
    <w:p w14:paraId="4BDBDE00">
      <w:pPr>
        <w:pStyle w:val="34"/>
        <w:keepNext w:val="0"/>
        <w:keepLines w:val="0"/>
        <w:pageBreakBefore w:val="0"/>
        <w:widowControl/>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 xml:space="preserve">(2)761044-0015-S45-0117-3(2062)   </w:t>
      </w:r>
    </w:p>
    <w:p w14:paraId="6D8E21B1">
      <w:pPr>
        <w:pStyle w:val="34"/>
        <w:keepNext w:val="0"/>
        <w:keepLines w:val="0"/>
        <w:pageBreakBefore w:val="0"/>
        <w:widowControl/>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 xml:space="preserve">(3)761044-0015-S45-0117-4(2063)  </w:t>
      </w:r>
    </w:p>
    <w:p w14:paraId="7ED0567F">
      <w:pPr>
        <w:pStyle w:val="34"/>
        <w:keepNext w:val="0"/>
        <w:keepLines w:val="0"/>
        <w:pageBreakBefore w:val="0"/>
        <w:widowControl/>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 xml:space="preserve">(4)761044-0015-S45-0117-5(2061)   </w:t>
      </w:r>
    </w:p>
    <w:p w14:paraId="0A7EBEEA">
      <w:pPr>
        <w:pStyle w:val="34"/>
        <w:keepNext w:val="0"/>
        <w:keepLines w:val="0"/>
        <w:pageBreakBefore w:val="0"/>
        <w:widowControl/>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lang w:val="en-US" w:eastAsia="zh-CN"/>
        </w:rPr>
        <w:t>(5)#UCM（重庆铀桦产）。</w:t>
      </w:r>
    </w:p>
    <w:p w14:paraId="0BC69920">
      <w:pPr>
        <w:pStyle w:val="22"/>
        <w:keepNext w:val="0"/>
        <w:keepLines w:val="0"/>
        <w:pageBreakBefore w:val="0"/>
        <w:numPr>
          <w:ilvl w:val="0"/>
          <w:numId w:val="0"/>
        </w:numPr>
        <w:kinsoku/>
        <w:wordWrap/>
        <w:overflowPunct/>
        <w:topLinePunct w:val="0"/>
        <w:autoSpaceDE/>
        <w:autoSpaceDN/>
        <w:bidi w:val="0"/>
        <w:adjustRightInd w:val="0"/>
        <w:snapToGrid w:val="0"/>
        <w:spacing w:after="0" w:line="579" w:lineRule="exact"/>
        <w:ind w:left="0" w:leftChars="0"/>
        <w:jc w:val="both"/>
        <w:textAlignment w:val="auto"/>
        <w:outlineLvl w:val="1"/>
        <w:rPr>
          <w:rFonts w:hint="eastAsia" w:ascii="黑体" w:hAnsi="黑体" w:eastAsia="黑体" w:cs="黑体"/>
          <w:sz w:val="28"/>
          <w:szCs w:val="28"/>
        </w:rPr>
      </w:pPr>
      <w:r>
        <w:rPr>
          <w:rFonts w:hint="eastAsia" w:ascii="黑体" w:hAnsi="黑体" w:eastAsia="黑体" w:cs="黑体"/>
          <w:sz w:val="28"/>
          <w:szCs w:val="28"/>
        </w:rPr>
        <w:t xml:space="preserve">第四条 合同价格   </w:t>
      </w:r>
    </w:p>
    <w:p w14:paraId="736911F9">
      <w:pPr>
        <w:pStyle w:val="34"/>
        <w:keepNext w:val="0"/>
        <w:keepLines w:val="0"/>
        <w:pageBreakBefore w:val="0"/>
        <w:widowControl/>
        <w:kinsoku/>
        <w:wordWrap/>
        <w:overflowPunct/>
        <w:topLinePunct w:val="0"/>
        <w:autoSpaceDE/>
        <w:autoSpaceDN/>
        <w:bidi w:val="0"/>
        <w:adjustRightInd w:val="0"/>
        <w:snapToGrid w:val="0"/>
        <w:spacing w:after="0" w:line="579" w:lineRule="exact"/>
        <w:ind w:left="279" w:leftChars="133" w:firstLine="280" w:firstLineChars="100"/>
        <w:contextualSpacing/>
        <w:jc w:val="both"/>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合同总金额人民币（大写）</w:t>
      </w:r>
      <w:r>
        <w:rPr>
          <w:rFonts w:hint="eastAsia" w:ascii="方正仿宋_GBK" w:hAnsi="方正仿宋_GBK" w:eastAsia="方正仿宋_GBK" w:cs="方正仿宋_GBK"/>
          <w:sz w:val="28"/>
          <w:szCs w:val="28"/>
          <w:u w:val="single"/>
        </w:rPr>
        <w:t xml:space="preserve">           </w:t>
      </w:r>
      <w:r>
        <w:rPr>
          <w:rFonts w:hint="eastAsia" w:ascii="方正仿宋_GBK" w:hAnsi="方正仿宋_GBK" w:eastAsia="方正仿宋_GBK" w:cs="方正仿宋_GBK"/>
          <w:sz w:val="28"/>
          <w:szCs w:val="28"/>
        </w:rPr>
        <w:t>元整，本</w:t>
      </w:r>
      <w:r>
        <w:rPr>
          <w:rFonts w:hint="eastAsia" w:ascii="方正仿宋_GBK" w:hAnsi="方正仿宋_GBK" w:eastAsia="方正仿宋_GBK" w:cs="方正仿宋_GBK"/>
          <w:sz w:val="28"/>
          <w:szCs w:val="28"/>
          <w:highlight w:val="none"/>
        </w:rPr>
        <w:t>合同为固定</w:t>
      </w:r>
      <w:r>
        <w:rPr>
          <w:rFonts w:hint="eastAsia" w:ascii="方正仿宋_GBK" w:hAnsi="方正仿宋_GBK" w:eastAsia="方正仿宋_GBK" w:cs="方正仿宋_GBK"/>
          <w:sz w:val="28"/>
          <w:szCs w:val="28"/>
          <w:highlight w:val="none"/>
          <w:lang w:val="en-US" w:eastAsia="zh-CN"/>
        </w:rPr>
        <w:t>单价</w:t>
      </w:r>
      <w:r>
        <w:rPr>
          <w:rFonts w:hint="eastAsia" w:ascii="方正仿宋_GBK" w:hAnsi="方正仿宋_GBK" w:eastAsia="方正仿宋_GBK" w:cs="方正仿宋_GBK"/>
          <w:sz w:val="28"/>
          <w:szCs w:val="28"/>
          <w:highlight w:val="none"/>
        </w:rPr>
        <w:t>合同，金额包含包装费、运费、税金、保险费等， 双方不能因市场价格变化</w:t>
      </w:r>
      <w:r>
        <w:rPr>
          <w:rFonts w:hint="eastAsia" w:ascii="方正仿宋_GBK" w:hAnsi="方正仿宋_GBK" w:eastAsia="方正仿宋_GBK" w:cs="方正仿宋_GBK"/>
          <w:sz w:val="28"/>
          <w:szCs w:val="28"/>
        </w:rPr>
        <w:t>而调整合同价。</w:t>
      </w:r>
    </w:p>
    <w:p w14:paraId="1BB9B344">
      <w:pPr>
        <w:pStyle w:val="34"/>
        <w:keepNext w:val="0"/>
        <w:keepLines w:val="0"/>
        <w:pageBreakBefore w:val="0"/>
        <w:numPr>
          <w:ilvl w:val="0"/>
          <w:numId w:val="5"/>
        </w:numPr>
        <w:kinsoku/>
        <w:wordWrap/>
        <w:overflowPunct/>
        <w:topLinePunct w:val="0"/>
        <w:autoSpaceDE/>
        <w:autoSpaceDN/>
        <w:bidi w:val="0"/>
        <w:adjustRightInd w:val="0"/>
        <w:snapToGrid w:val="0"/>
        <w:spacing w:line="579" w:lineRule="exact"/>
        <w:ind w:left="0" w:hanging="560" w:hangingChars="200"/>
        <w:contextualSpacing/>
        <w:jc w:val="both"/>
        <w:textAlignment w:val="auto"/>
        <w:outlineLvl w:val="1"/>
        <w:rPr>
          <w:rFonts w:hint="eastAsia" w:ascii="黑体" w:hAnsi="黑体" w:eastAsia="黑体" w:cs="黑体"/>
          <w:kern w:val="2"/>
          <w:sz w:val="28"/>
          <w:szCs w:val="28"/>
          <w:lang w:val="en-US" w:eastAsia="zh-CN" w:bidi="ar-SA"/>
        </w:rPr>
      </w:pPr>
      <w:r>
        <w:rPr>
          <w:rFonts w:ascii="Times New Roman" w:hAnsi="Times New Roman" w:eastAsia="黑体"/>
          <w:kern w:val="2"/>
          <w:sz w:val="28"/>
          <w:szCs w:val="28"/>
        </w:rPr>
        <w:t>付款方式及保证金</w:t>
      </w:r>
    </w:p>
    <w:p w14:paraId="4E33AE94">
      <w:pPr>
        <w:pStyle w:val="19"/>
        <w:keepNext w:val="0"/>
        <w:keepLines w:val="0"/>
        <w:pageBreakBefore w:val="0"/>
        <w:widowControl/>
        <w:kinsoku/>
        <w:wordWrap/>
        <w:overflowPunct/>
        <w:topLinePunct w:val="0"/>
        <w:autoSpaceDE/>
        <w:autoSpaceDN/>
        <w:bidi w:val="0"/>
        <w:adjustRightInd/>
        <w:snapToGrid w:val="0"/>
        <w:spacing w:line="360" w:lineRule="auto"/>
        <w:ind w:firstLine="601"/>
        <w:textAlignment w:val="baseline"/>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本项目按“按次验收、按批结算”原则执行，供货期为一年，自合同签订之日起算。每次维保服务完成或每批次配件送达指定地点，并经甲方现场验收通过后，乙方须在3个工作日内向甲方提交经双方签字确认的对应批次送货清单、维修记录单，以及等额、合法、有效的增值税专用发票（发票信息、税率、开票项目须完全符合税务规定及甲方财务要求）。甲方自收到准确单据和合规发票且核对无误后，于次二月完成对应批次款项支付。若乙方未按时提供发票，或提供的发票存在信息错误、无法认证抵扣等不符合税务及财务要求的情形，甲方有权顺延付款期限，直至收到合规发票为止，由此产生的付款延迟不视为甲方违约，甲方无需承担任何逾期付款利息或违约责任。</w:t>
      </w:r>
    </w:p>
    <w:p w14:paraId="3B51C194">
      <w:pPr>
        <w:pStyle w:val="19"/>
        <w:keepNext w:val="0"/>
        <w:keepLines w:val="0"/>
        <w:pageBreakBefore w:val="0"/>
        <w:widowControl/>
        <w:kinsoku/>
        <w:wordWrap/>
        <w:overflowPunct/>
        <w:topLinePunct w:val="0"/>
        <w:autoSpaceDE/>
        <w:autoSpaceDN/>
        <w:bidi w:val="0"/>
        <w:adjustRightInd/>
        <w:snapToGrid w:val="0"/>
        <w:spacing w:line="360" w:lineRule="auto"/>
        <w:ind w:firstLine="601"/>
        <w:textAlignment w:val="baseline"/>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乙方需提供一年质保，其履约保证金（合同价的5%）到时（全部维保服务及配件供货验收合格后）自动转为质保金，质保期自最后一批配件供货或最后一次维保服务验收合格之日起统一计算，质保金于质保期满且无未决质量争议后无息退还。质保期内，若因乙方维护保养操作不当，或提供的更换备件存在质量问题，导致雾化器出现故障或损坏的，乙方须免费完成维修或更换，维修或更换后的部件质保期自维修/更换完成并经甲方验收合格之日起重新计算一年，直至验收合格方视为完成质保义务。</w:t>
      </w:r>
    </w:p>
    <w:p w14:paraId="0ABEAB09">
      <w:pPr>
        <w:pStyle w:val="34"/>
        <w:numPr>
          <w:ilvl w:val="0"/>
          <w:numId w:val="0"/>
        </w:numPr>
        <w:spacing w:beforeAutospacing="0" w:line="579" w:lineRule="exact"/>
        <w:ind w:left="560" w:hanging="560" w:hangingChars="200"/>
        <w:contextualSpacing/>
        <w:jc w:val="both"/>
        <w:outlineLvl w:val="0"/>
        <w:rPr>
          <w:rFonts w:ascii="Times New Roman" w:hAnsi="Times New Roman" w:eastAsia="黑体"/>
          <w:kern w:val="2"/>
          <w:sz w:val="28"/>
          <w:szCs w:val="28"/>
        </w:rPr>
      </w:pPr>
      <w:bookmarkStart w:id="14" w:name="_Toc13660"/>
      <w:r>
        <w:rPr>
          <w:rFonts w:hint="eastAsia" w:ascii="Times New Roman" w:hAnsi="Times New Roman" w:eastAsia="黑体" w:cs="Times New Roman"/>
          <w:kern w:val="2"/>
          <w:sz w:val="28"/>
          <w:szCs w:val="28"/>
          <w:lang w:val="en-US" w:eastAsia="zh-CN" w:bidi="ar-SA"/>
        </w:rPr>
        <w:t xml:space="preserve">第六条 </w:t>
      </w:r>
      <w:r>
        <w:rPr>
          <w:rFonts w:ascii="Times New Roman" w:hAnsi="Times New Roman" w:eastAsia="黑体"/>
          <w:kern w:val="2"/>
          <w:sz w:val="28"/>
          <w:szCs w:val="28"/>
        </w:rPr>
        <w:t>验收标准</w:t>
      </w:r>
      <w:bookmarkEnd w:id="14"/>
    </w:p>
    <w:p w14:paraId="2A247297">
      <w:pPr>
        <w:pStyle w:val="34"/>
        <w:keepNext w:val="0"/>
        <w:keepLines w:val="0"/>
        <w:pageBreakBefore w:val="0"/>
        <w:widowControl/>
        <w:kinsoku/>
        <w:wordWrap/>
        <w:overflowPunct/>
        <w:topLinePunct w:val="0"/>
        <w:autoSpaceDE/>
        <w:autoSpaceDN/>
        <w:bidi w:val="0"/>
        <w:adjustRightInd w:val="0"/>
        <w:snapToGrid w:val="0"/>
        <w:spacing w:line="579" w:lineRule="exact"/>
        <w:ind w:left="0" w:leftChars="0" w:firstLine="560" w:firstLineChars="200"/>
        <w:contextualSpacing/>
        <w:jc w:val="both"/>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eastAsia="zh-CN"/>
        </w:rPr>
        <w:t>乙方应提供相应的送货单，甲方</w:t>
      </w:r>
      <w:r>
        <w:rPr>
          <w:rFonts w:hint="eastAsia" w:ascii="方正仿宋_GBK" w:hAnsi="方正仿宋_GBK" w:eastAsia="方正仿宋_GBK" w:cs="方正仿宋_GBK"/>
          <w:sz w:val="28"/>
          <w:szCs w:val="28"/>
        </w:rPr>
        <w:t>按</w:t>
      </w:r>
      <w:r>
        <w:rPr>
          <w:rFonts w:hint="eastAsia" w:ascii="方正仿宋_GBK" w:hAnsi="方正仿宋_GBK" w:eastAsia="方正仿宋_GBK" w:cs="方正仿宋_GBK"/>
          <w:sz w:val="28"/>
          <w:szCs w:val="28"/>
          <w:lang w:eastAsia="zh-CN"/>
        </w:rPr>
        <w:t>相关</w:t>
      </w:r>
      <w:r>
        <w:rPr>
          <w:rFonts w:hint="eastAsia" w:ascii="方正仿宋_GBK" w:hAnsi="方正仿宋_GBK" w:eastAsia="方正仿宋_GBK" w:cs="方正仿宋_GBK"/>
          <w:sz w:val="28"/>
          <w:szCs w:val="28"/>
        </w:rPr>
        <w:t>技术协议</w:t>
      </w:r>
      <w:r>
        <w:rPr>
          <w:rFonts w:hint="eastAsia" w:ascii="方正仿宋_GBK" w:hAnsi="方正仿宋_GBK" w:eastAsia="方正仿宋_GBK" w:cs="方正仿宋_GBK"/>
          <w:sz w:val="28"/>
          <w:szCs w:val="28"/>
          <w:lang w:eastAsia="zh-CN"/>
        </w:rPr>
        <w:t>、行业规范或</w:t>
      </w:r>
      <w:r>
        <w:rPr>
          <w:rFonts w:hint="eastAsia" w:ascii="方正仿宋_GBK" w:hAnsi="方正仿宋_GBK" w:eastAsia="方正仿宋_GBK" w:cs="方正仿宋_GBK"/>
          <w:sz w:val="28"/>
          <w:szCs w:val="28"/>
        </w:rPr>
        <w:t>国家标准</w:t>
      </w:r>
      <w:r>
        <w:rPr>
          <w:rFonts w:hint="eastAsia" w:ascii="方正仿宋_GBK" w:hAnsi="方正仿宋_GBK" w:eastAsia="方正仿宋_GBK" w:cs="方正仿宋_GBK"/>
          <w:sz w:val="28"/>
          <w:szCs w:val="28"/>
          <w:lang w:eastAsia="zh-CN"/>
        </w:rPr>
        <w:t>进行</w:t>
      </w:r>
      <w:r>
        <w:rPr>
          <w:rFonts w:hint="eastAsia" w:ascii="方正仿宋_GBK" w:hAnsi="方正仿宋_GBK" w:eastAsia="方正仿宋_GBK" w:cs="方正仿宋_GBK"/>
          <w:sz w:val="28"/>
          <w:szCs w:val="28"/>
        </w:rPr>
        <w:t>验收，</w:t>
      </w:r>
      <w:r>
        <w:rPr>
          <w:rFonts w:hint="eastAsia" w:ascii="方正仿宋_GBK" w:hAnsi="方正仿宋_GBK" w:eastAsia="方正仿宋_GBK" w:cs="方正仿宋_GBK"/>
          <w:sz w:val="28"/>
          <w:szCs w:val="28"/>
          <w:lang w:eastAsia="zh-CN"/>
        </w:rPr>
        <w:t>验收标准以严格者（</w:t>
      </w:r>
      <w:r>
        <w:rPr>
          <w:rFonts w:hint="eastAsia" w:ascii="方正仿宋_GBK" w:hAnsi="方正仿宋_GBK" w:eastAsia="方正仿宋_GBK" w:cs="方正仿宋_GBK"/>
          <w:sz w:val="28"/>
          <w:szCs w:val="28"/>
          <w:lang w:val="en-US" w:eastAsia="zh-CN"/>
        </w:rPr>
        <w:t>高者）</w:t>
      </w:r>
      <w:r>
        <w:rPr>
          <w:rFonts w:hint="eastAsia" w:ascii="方正仿宋_GBK" w:hAnsi="方正仿宋_GBK" w:eastAsia="方正仿宋_GBK" w:cs="方正仿宋_GBK"/>
          <w:sz w:val="28"/>
          <w:szCs w:val="28"/>
          <w:lang w:eastAsia="zh-CN"/>
        </w:rPr>
        <w:t>为基准，规格、质量等应符合相关质量标准。</w:t>
      </w:r>
      <w:r>
        <w:rPr>
          <w:rFonts w:hint="eastAsia" w:ascii="方正仿宋_GBK" w:hAnsi="方正仿宋_GBK" w:eastAsia="方正仿宋_GBK" w:cs="方正仿宋_GBK"/>
          <w:sz w:val="28"/>
          <w:szCs w:val="28"/>
        </w:rPr>
        <w:t>甲方对货物的品种、规格、型号、数量、外观、随附文件（合格证、说明书等）进行清点核对。此验收合格只能视为初步验收，并不能</w:t>
      </w:r>
      <w:r>
        <w:rPr>
          <w:rFonts w:hint="eastAsia" w:ascii="方正仿宋_GBK" w:hAnsi="方正仿宋_GBK" w:eastAsia="方正仿宋_GBK" w:cs="方正仿宋_GBK"/>
          <w:sz w:val="28"/>
          <w:szCs w:val="28"/>
          <w:lang w:val="en-US" w:eastAsia="zh-CN"/>
        </w:rPr>
        <w:t>免除</w:t>
      </w:r>
      <w:r>
        <w:rPr>
          <w:rFonts w:hint="eastAsia" w:ascii="方正仿宋_GBK" w:hAnsi="方正仿宋_GBK" w:eastAsia="方正仿宋_GBK" w:cs="方正仿宋_GBK"/>
          <w:sz w:val="28"/>
          <w:szCs w:val="28"/>
          <w:lang w:eastAsia="zh-CN"/>
        </w:rPr>
        <w:t>乙方</w:t>
      </w:r>
      <w:r>
        <w:rPr>
          <w:rFonts w:hint="eastAsia" w:ascii="方正仿宋_GBK" w:hAnsi="方正仿宋_GBK" w:eastAsia="方正仿宋_GBK" w:cs="方正仿宋_GBK"/>
          <w:sz w:val="28"/>
          <w:szCs w:val="28"/>
        </w:rPr>
        <w:t>对其产品在质保期内的质量担保责任，对于必须安装运转后才能发现的隐蔽瑕疵，甲方有权在质保期内提出异议。</w:t>
      </w:r>
    </w:p>
    <w:p w14:paraId="0B9F682E">
      <w:pPr>
        <w:pStyle w:val="34"/>
        <w:spacing w:line="579" w:lineRule="exact"/>
        <w:ind w:firstLine="560" w:firstLineChars="200"/>
        <w:contextualSpacing/>
        <w:jc w:val="both"/>
        <w:rPr>
          <w:rFonts w:ascii="Times New Roman" w:hAnsi="Times New Roman"/>
        </w:rPr>
      </w:pPr>
      <w:r>
        <w:rPr>
          <w:rFonts w:hint="default" w:ascii="Times New Roman" w:hAnsi="Times New Roman" w:eastAsia="方正仿宋_GBK" w:cs="Times New Roman"/>
          <w:sz w:val="28"/>
          <w:szCs w:val="28"/>
          <w:lang w:eastAsia="zh-CN"/>
        </w:rPr>
        <w:t>凡甲</w:t>
      </w:r>
      <w:r>
        <w:rPr>
          <w:rFonts w:hint="eastAsia" w:ascii="Times New Roman" w:hAnsi="Times New Roman" w:eastAsia="方正仿宋_GBK" w:cs="Times New Roman"/>
          <w:sz w:val="28"/>
          <w:szCs w:val="28"/>
          <w:lang w:eastAsia="zh-CN"/>
        </w:rPr>
        <w:t>方在</w:t>
      </w:r>
      <w:r>
        <w:rPr>
          <w:rFonts w:hint="default" w:ascii="Times New Roman" w:hAnsi="Times New Roman" w:eastAsia="方正仿宋_GBK" w:cs="Times New Roman"/>
          <w:sz w:val="28"/>
          <w:szCs w:val="28"/>
          <w:lang w:eastAsia="zh-CN"/>
        </w:rPr>
        <w:t>验收过程中发现</w:t>
      </w:r>
      <w:r>
        <w:rPr>
          <w:rFonts w:hint="eastAsia" w:ascii="Times New Roman" w:hAnsi="Times New Roman" w:eastAsia="方正仿宋_GBK"/>
          <w:sz w:val="28"/>
          <w:szCs w:val="28"/>
        </w:rPr>
        <w:t>乙方提供的货物不符合合同约定的</w:t>
      </w:r>
      <w:r>
        <w:rPr>
          <w:rFonts w:ascii="Times New Roman" w:hAnsi="Times New Roman" w:eastAsia="方正仿宋_GBK"/>
          <w:sz w:val="28"/>
          <w:szCs w:val="28"/>
        </w:rPr>
        <w:t>，</w:t>
      </w:r>
      <w:r>
        <w:rPr>
          <w:rFonts w:hint="eastAsia" w:ascii="Times New Roman" w:hAnsi="Times New Roman" w:eastAsia="方正仿宋_GBK"/>
          <w:sz w:val="28"/>
          <w:szCs w:val="28"/>
        </w:rPr>
        <w:t>甲方可选择退货或要求乙方整改，甲方选择退货的，合同总金额按甲方实际验收合格的货物数量结算；甲方选择由乙方整改的</w:t>
      </w:r>
      <w:r>
        <w:rPr>
          <w:rFonts w:hint="default" w:ascii="Times New Roman" w:hAnsi="Times New Roman" w:eastAsia="方正仿宋_GBK" w:cs="Times New Roman"/>
          <w:sz w:val="28"/>
          <w:szCs w:val="28"/>
          <w:lang w:eastAsia="zh-CN"/>
        </w:rPr>
        <w:t>，乙方必须无偿</w:t>
      </w:r>
      <w:r>
        <w:rPr>
          <w:rFonts w:hint="eastAsia" w:ascii="Times New Roman" w:hAnsi="Times New Roman" w:eastAsia="方正仿宋_GBK" w:cs="Times New Roman"/>
          <w:sz w:val="28"/>
          <w:szCs w:val="28"/>
          <w:lang w:val="en-US" w:eastAsia="zh-CN"/>
        </w:rPr>
        <w:t>进行</w:t>
      </w:r>
      <w:r>
        <w:rPr>
          <w:rFonts w:hint="default" w:ascii="Times New Roman" w:hAnsi="Times New Roman" w:eastAsia="方正仿宋_GBK" w:cs="Times New Roman"/>
          <w:sz w:val="28"/>
          <w:szCs w:val="28"/>
          <w:lang w:eastAsia="zh-CN"/>
        </w:rPr>
        <w:t>整改直至符合</w:t>
      </w:r>
      <w:r>
        <w:rPr>
          <w:rFonts w:hint="eastAsia" w:ascii="Times New Roman" w:hAnsi="Times New Roman" w:eastAsia="方正仿宋_GBK" w:cs="Times New Roman"/>
          <w:sz w:val="28"/>
          <w:szCs w:val="28"/>
          <w:lang w:val="en-US" w:eastAsia="zh-CN"/>
        </w:rPr>
        <w:t>甲方</w:t>
      </w:r>
      <w:r>
        <w:rPr>
          <w:rFonts w:hint="default" w:ascii="Times New Roman" w:hAnsi="Times New Roman" w:eastAsia="方正仿宋_GBK" w:cs="Times New Roman"/>
          <w:sz w:val="28"/>
          <w:szCs w:val="28"/>
          <w:lang w:eastAsia="zh-CN"/>
        </w:rPr>
        <w:t>要求，</w:t>
      </w:r>
      <w:r>
        <w:rPr>
          <w:rFonts w:hint="eastAsia" w:ascii="Times New Roman" w:hAnsi="Times New Roman" w:eastAsia="方正仿宋_GBK" w:cs="Times New Roman"/>
          <w:sz w:val="28"/>
          <w:szCs w:val="28"/>
          <w:lang w:val="en-US" w:eastAsia="zh-CN"/>
        </w:rPr>
        <w:t>并</w:t>
      </w:r>
      <w:r>
        <w:rPr>
          <w:rFonts w:hint="default" w:ascii="Times New Roman" w:hAnsi="Times New Roman" w:eastAsia="方正仿宋_GBK" w:cs="Times New Roman"/>
          <w:sz w:val="28"/>
          <w:szCs w:val="28"/>
          <w:lang w:eastAsia="zh-CN"/>
        </w:rPr>
        <w:t>承担整改过程中所发生的一切费用和甲方的所有经济损失，整改</w:t>
      </w:r>
      <w:r>
        <w:rPr>
          <w:rFonts w:hint="eastAsia" w:ascii="Times New Roman" w:hAnsi="Times New Roman" w:eastAsia="方正仿宋_GBK" w:cs="Times New Roman"/>
          <w:sz w:val="28"/>
          <w:szCs w:val="28"/>
          <w:lang w:val="en-US" w:eastAsia="zh-CN"/>
        </w:rPr>
        <w:t>2次</w:t>
      </w:r>
      <w:r>
        <w:rPr>
          <w:rFonts w:hint="default" w:ascii="Times New Roman" w:hAnsi="Times New Roman" w:eastAsia="方正仿宋_GBK" w:cs="Times New Roman"/>
          <w:sz w:val="28"/>
          <w:szCs w:val="28"/>
          <w:lang w:eastAsia="zh-CN"/>
        </w:rPr>
        <w:t>后</w:t>
      </w:r>
      <w:r>
        <w:rPr>
          <w:rFonts w:hint="eastAsia" w:ascii="Times New Roman" w:hAnsi="Times New Roman" w:eastAsia="方正仿宋_GBK" w:cs="Times New Roman"/>
          <w:sz w:val="28"/>
          <w:szCs w:val="28"/>
          <w:lang w:val="en-US" w:eastAsia="zh-CN"/>
        </w:rPr>
        <w:t>仍</w:t>
      </w:r>
      <w:r>
        <w:rPr>
          <w:rFonts w:hint="default" w:ascii="Times New Roman" w:hAnsi="Times New Roman" w:eastAsia="方正仿宋_GBK" w:cs="Times New Roman"/>
          <w:sz w:val="28"/>
          <w:szCs w:val="28"/>
          <w:lang w:eastAsia="zh-CN"/>
        </w:rPr>
        <w:t>无法达到要求的，甲方有权解除合同</w:t>
      </w:r>
      <w:r>
        <w:rPr>
          <w:rFonts w:hint="eastAsia" w:ascii="Times New Roman" w:hAnsi="Times New Roman" w:eastAsia="方正仿宋_GBK" w:cs="Times New Roman"/>
          <w:sz w:val="28"/>
          <w:szCs w:val="28"/>
          <w:lang w:val="en-US" w:eastAsia="zh-CN"/>
        </w:rPr>
        <w:t>并扣除</w:t>
      </w:r>
      <w:r>
        <w:rPr>
          <w:rFonts w:hint="eastAsia" w:ascii="Times New Roman" w:hAnsi="Times New Roman" w:eastAsia="方正仿宋_GBK"/>
          <w:sz w:val="28"/>
          <w:szCs w:val="28"/>
        </w:rPr>
        <w:t>履约保证金（质保金）</w:t>
      </w:r>
      <w:r>
        <w:rPr>
          <w:rFonts w:hint="eastAsia" w:ascii="Times New Roman" w:hAnsi="Times New Roman" w:eastAsia="方正仿宋_GBK" w:cs="Times New Roman"/>
          <w:sz w:val="28"/>
          <w:szCs w:val="28"/>
          <w:lang w:val="en-US" w:eastAsia="zh-CN"/>
        </w:rPr>
        <w:t>。</w:t>
      </w:r>
      <w:r>
        <w:rPr>
          <w:rFonts w:hint="eastAsia" w:ascii="Times New Roman" w:hAnsi="Times New Roman" w:eastAsia="方正仿宋_GBK"/>
          <w:sz w:val="28"/>
          <w:szCs w:val="28"/>
        </w:rPr>
        <w:t>因整改而超过合同约定供货时间的，乙方应按本合同第九条承担逾期供货违约责任。</w:t>
      </w:r>
      <w:r>
        <w:rPr>
          <w:rFonts w:ascii="Times New Roman" w:hAnsi="Times New Roman"/>
        </w:rPr>
        <w:t xml:space="preserve">                                                                         </w:t>
      </w:r>
    </w:p>
    <w:p w14:paraId="76C90302">
      <w:pPr>
        <w:pStyle w:val="34"/>
        <w:spacing w:line="579" w:lineRule="exact"/>
        <w:contextualSpacing/>
        <w:jc w:val="both"/>
        <w:outlineLvl w:val="0"/>
        <w:rPr>
          <w:rFonts w:ascii="Times New Roman" w:hAnsi="Times New Roman"/>
        </w:rPr>
      </w:pPr>
      <w:bookmarkStart w:id="15" w:name="_Toc16945"/>
      <w:r>
        <w:rPr>
          <w:rFonts w:ascii="Times New Roman" w:hAnsi="Times New Roman" w:eastAsia="黑体"/>
          <w:kern w:val="2"/>
          <w:sz w:val="28"/>
          <w:szCs w:val="28"/>
        </w:rPr>
        <w:t>第七条 包装标准、包装物的供应与回收</w:t>
      </w:r>
      <w:bookmarkEnd w:id="15"/>
    </w:p>
    <w:p w14:paraId="406A90DE">
      <w:pPr>
        <w:pStyle w:val="34"/>
        <w:spacing w:line="579" w:lineRule="exact"/>
        <w:ind w:firstLine="560" w:firstLineChars="200"/>
        <w:contextualSpacing/>
        <w:jc w:val="both"/>
        <w:rPr>
          <w:rFonts w:ascii="Times New Roman" w:hAnsi="Times New Roman" w:eastAsia="方正仿宋_GBK"/>
          <w:sz w:val="28"/>
          <w:szCs w:val="28"/>
        </w:rPr>
      </w:pPr>
      <w:r>
        <w:rPr>
          <w:rFonts w:hint="eastAsia" w:ascii="Times New Roman" w:hAnsi="Times New Roman" w:eastAsia="方正仿宋_GBK"/>
          <w:sz w:val="28"/>
          <w:szCs w:val="28"/>
          <w:lang w:eastAsia="zh-CN"/>
        </w:rPr>
        <w:t>乙方</w:t>
      </w:r>
      <w:r>
        <w:rPr>
          <w:rFonts w:ascii="Times New Roman" w:hAnsi="Times New Roman" w:eastAsia="方正仿宋_GBK"/>
          <w:sz w:val="28"/>
          <w:szCs w:val="28"/>
        </w:rPr>
        <w:t>所交付的货品必须包装完整，并采取防潮、防湿、防震、防锈、防腐蚀等措施，以保证在长途运输中经受多次搬运和装卸后，货物完好无损，安全到达目的地。由于采用不充分或不妥善的防护措施造成货物的任何损坏、腐蚀或变形，</w:t>
      </w:r>
      <w:r>
        <w:rPr>
          <w:rFonts w:hint="eastAsia" w:ascii="Times New Roman" w:hAnsi="Times New Roman" w:eastAsia="方正仿宋_GBK"/>
          <w:sz w:val="28"/>
          <w:szCs w:val="28"/>
          <w:lang w:eastAsia="zh-CN"/>
        </w:rPr>
        <w:t>乙方</w:t>
      </w:r>
      <w:r>
        <w:rPr>
          <w:rFonts w:ascii="Times New Roman" w:hAnsi="Times New Roman" w:eastAsia="方正仿宋_GBK"/>
          <w:sz w:val="28"/>
          <w:szCs w:val="28"/>
        </w:rPr>
        <w:t>应承担由此造成的一切损失。</w:t>
      </w:r>
    </w:p>
    <w:p w14:paraId="1712F6D8">
      <w:pPr>
        <w:pStyle w:val="34"/>
        <w:spacing w:line="579" w:lineRule="exact"/>
        <w:contextualSpacing/>
        <w:jc w:val="both"/>
        <w:outlineLvl w:val="0"/>
        <w:rPr>
          <w:rFonts w:ascii="Times New Roman" w:hAnsi="Times New Roman" w:eastAsia="黑体"/>
          <w:sz w:val="28"/>
          <w:szCs w:val="28"/>
        </w:rPr>
      </w:pPr>
      <w:bookmarkStart w:id="16" w:name="_Toc11396"/>
      <w:r>
        <w:rPr>
          <w:rFonts w:ascii="Times New Roman" w:hAnsi="Times New Roman" w:eastAsia="黑体"/>
          <w:sz w:val="28"/>
          <w:szCs w:val="28"/>
        </w:rPr>
        <w:t>第八条 质量保证</w:t>
      </w:r>
      <w:bookmarkEnd w:id="16"/>
    </w:p>
    <w:p w14:paraId="3146C0BA">
      <w:pPr>
        <w:pStyle w:val="34"/>
        <w:spacing w:after="0" w:line="579" w:lineRule="exact"/>
        <w:ind w:firstLine="560" w:firstLineChars="200"/>
        <w:contextualSpacing/>
        <w:jc w:val="both"/>
        <w:rPr>
          <w:rFonts w:ascii="Times New Roman" w:hAnsi="Times New Roman"/>
        </w:rPr>
      </w:pPr>
      <w:r>
        <w:rPr>
          <w:rFonts w:ascii="Times New Roman" w:hAnsi="Times New Roman" w:eastAsia="方正仿宋_GBK"/>
          <w:sz w:val="28"/>
          <w:szCs w:val="28"/>
          <w:highlight w:val="none"/>
        </w:rPr>
        <w:t>质保</w:t>
      </w:r>
      <w:r>
        <w:rPr>
          <w:rFonts w:hint="eastAsia" w:ascii="Times New Roman" w:hAnsi="Times New Roman" w:eastAsia="方正仿宋_GBK"/>
          <w:sz w:val="28"/>
          <w:szCs w:val="28"/>
          <w:highlight w:val="none"/>
          <w:lang w:eastAsia="zh-CN"/>
        </w:rPr>
        <w:t>期一年，</w:t>
      </w:r>
      <w:r>
        <w:rPr>
          <w:rFonts w:hint="eastAsia" w:ascii="Times New Roman" w:hAnsi="Times New Roman" w:eastAsia="方正仿宋_GBK"/>
          <w:sz w:val="28"/>
          <w:szCs w:val="28"/>
          <w:highlight w:val="none"/>
          <w:lang w:val="en-US" w:eastAsia="zh-CN"/>
        </w:rPr>
        <w:t>自甲方入库验收合格之日起计算</w:t>
      </w:r>
      <w:r>
        <w:rPr>
          <w:rFonts w:ascii="Times New Roman" w:hAnsi="Times New Roman" w:eastAsia="方正仿宋_GBK"/>
          <w:sz w:val="28"/>
          <w:szCs w:val="28"/>
          <w:highlight w:val="none"/>
        </w:rPr>
        <w:t>。</w:t>
      </w:r>
      <w:r>
        <w:rPr>
          <w:rFonts w:hint="eastAsia" w:ascii="Times New Roman" w:hAnsi="Times New Roman" w:eastAsia="方正仿宋_GBK"/>
          <w:sz w:val="28"/>
          <w:szCs w:val="28"/>
          <w:highlight w:val="none"/>
          <w:lang w:eastAsia="zh-CN"/>
        </w:rPr>
        <w:t>乙方</w:t>
      </w:r>
      <w:r>
        <w:rPr>
          <w:rFonts w:ascii="Times New Roman" w:hAnsi="Times New Roman" w:eastAsia="方正仿宋_GBK"/>
          <w:sz w:val="28"/>
          <w:szCs w:val="28"/>
          <w:highlight w:val="none"/>
        </w:rPr>
        <w:t>保证其供应</w:t>
      </w:r>
      <w:r>
        <w:rPr>
          <w:rFonts w:ascii="Times New Roman" w:hAnsi="Times New Roman" w:eastAsia="方正仿宋_GBK"/>
          <w:sz w:val="28"/>
          <w:szCs w:val="28"/>
        </w:rPr>
        <w:t>的本合同标的是全新的，技术水平先进、成熟、质量优良、安全可靠、经济运行和易于维护。本合同下质量标准为国家标准及相关行业标准（不同标准之间如有冲突，比较严格者为准）。在正常使用过程中，如有产品质量问题，</w:t>
      </w:r>
      <w:r>
        <w:rPr>
          <w:rFonts w:hint="eastAsia" w:ascii="Times New Roman" w:hAnsi="Times New Roman" w:eastAsia="方正仿宋_GBK"/>
          <w:sz w:val="28"/>
          <w:szCs w:val="28"/>
          <w:lang w:eastAsia="zh-CN"/>
        </w:rPr>
        <w:t>乙方</w:t>
      </w:r>
      <w:r>
        <w:rPr>
          <w:rFonts w:ascii="Times New Roman" w:hAnsi="Times New Roman" w:eastAsia="方正仿宋_GBK"/>
          <w:sz w:val="28"/>
          <w:szCs w:val="28"/>
        </w:rPr>
        <w:t>需依据国家法律法规进行维修或更换</w:t>
      </w:r>
      <w:r>
        <w:rPr>
          <w:rFonts w:hint="eastAsia" w:ascii="Times New Roman" w:hAnsi="Times New Roman" w:eastAsia="方正仿宋_GBK"/>
          <w:sz w:val="28"/>
          <w:szCs w:val="28"/>
        </w:rPr>
        <w:t>，所产生的费用由乙方承担，乙方逾期提供质保服务或提供的质保服务不合格的，甲方可自行委托第三方进行维修，所产生的费用甲方可在质保金中直接扣除，不足部分甲方可继续向乙方追偿</w:t>
      </w:r>
      <w:r>
        <w:rPr>
          <w:rFonts w:ascii="Times New Roman" w:hAnsi="Times New Roman" w:eastAsia="方正仿宋_GBK"/>
          <w:sz w:val="28"/>
          <w:szCs w:val="28"/>
        </w:rPr>
        <w:t xml:space="preserve">。 </w:t>
      </w:r>
      <w:r>
        <w:rPr>
          <w:rFonts w:ascii="Times New Roman" w:hAnsi="Times New Roman"/>
        </w:rPr>
        <w:t xml:space="preserve">                                                                                                                                                                                                                                                                                                                               </w:t>
      </w:r>
    </w:p>
    <w:p w14:paraId="1A0C3757">
      <w:pPr>
        <w:pStyle w:val="34"/>
        <w:numPr>
          <w:ilvl w:val="0"/>
          <w:numId w:val="0"/>
        </w:numPr>
        <w:spacing w:after="0" w:line="579" w:lineRule="exact"/>
        <w:contextualSpacing/>
        <w:jc w:val="both"/>
        <w:outlineLvl w:val="0"/>
        <w:rPr>
          <w:rFonts w:ascii="Times New Roman" w:hAnsi="Times New Roman" w:eastAsia="黑体"/>
          <w:sz w:val="28"/>
          <w:szCs w:val="28"/>
        </w:rPr>
      </w:pPr>
      <w:bookmarkStart w:id="17" w:name="_Toc14794"/>
      <w:r>
        <w:rPr>
          <w:rFonts w:hint="eastAsia" w:ascii="Times New Roman" w:hAnsi="Times New Roman" w:eastAsia="黑体" w:cs="Times New Roman"/>
          <w:sz w:val="28"/>
          <w:szCs w:val="28"/>
          <w:lang w:val="en-US" w:eastAsia="zh-CN" w:bidi="ar-SA"/>
        </w:rPr>
        <w:t>第九条 违约责任</w:t>
      </w:r>
      <w:bookmarkEnd w:id="17"/>
    </w:p>
    <w:p w14:paraId="21D698AB">
      <w:pPr>
        <w:pStyle w:val="34"/>
        <w:spacing w:after="0" w:line="579" w:lineRule="exact"/>
        <w:ind w:firstLine="560" w:firstLineChars="200"/>
        <w:contextualSpacing/>
        <w:jc w:val="both"/>
        <w:rPr>
          <w:rFonts w:hint="eastAsia" w:ascii="Times New Roman" w:hAnsi="Times New Roman" w:eastAsia="方正仿宋_GBK"/>
          <w:sz w:val="28"/>
          <w:szCs w:val="28"/>
          <w:highlight w:val="none"/>
        </w:rPr>
      </w:pPr>
      <w:r>
        <w:rPr>
          <w:rFonts w:hint="eastAsia" w:ascii="Times New Roman" w:hAnsi="Times New Roman" w:eastAsia="方正仿宋_GBK"/>
          <w:sz w:val="28"/>
          <w:szCs w:val="28"/>
          <w:highlight w:val="none"/>
          <w:lang w:val="en-US" w:eastAsia="zh-CN"/>
        </w:rPr>
        <w:t>乙方</w:t>
      </w:r>
      <w:r>
        <w:rPr>
          <w:rFonts w:hint="eastAsia" w:ascii="Times New Roman" w:hAnsi="Times New Roman" w:eastAsia="方正仿宋_GBK"/>
          <w:sz w:val="28"/>
          <w:szCs w:val="28"/>
          <w:highlight w:val="none"/>
        </w:rPr>
        <w:t>未能按约定的</w:t>
      </w:r>
      <w:r>
        <w:rPr>
          <w:rFonts w:hint="eastAsia" w:ascii="Times New Roman" w:hAnsi="Times New Roman" w:eastAsia="方正仿宋_GBK"/>
          <w:sz w:val="28"/>
          <w:szCs w:val="28"/>
          <w:highlight w:val="none"/>
          <w:lang w:val="en-US" w:eastAsia="zh-CN"/>
        </w:rPr>
        <w:t>时间交货</w:t>
      </w:r>
      <w:r>
        <w:rPr>
          <w:rFonts w:hint="eastAsia" w:ascii="Times New Roman" w:hAnsi="Times New Roman" w:eastAsia="方正仿宋_GBK"/>
          <w:sz w:val="28"/>
          <w:szCs w:val="28"/>
          <w:highlight w:val="none"/>
        </w:rPr>
        <w:t>，每逾期一天，应向甲方支付合同总金额</w:t>
      </w:r>
      <w:r>
        <w:rPr>
          <w:rFonts w:hint="eastAsia" w:ascii="Times New Roman" w:hAnsi="Times New Roman" w:eastAsia="方正仿宋_GBK"/>
          <w:sz w:val="28"/>
          <w:szCs w:val="28"/>
          <w:highlight w:val="none"/>
          <w:lang w:val="en-US" w:eastAsia="zh-CN"/>
        </w:rPr>
        <w:t>千</w:t>
      </w:r>
      <w:r>
        <w:rPr>
          <w:rFonts w:hint="eastAsia" w:ascii="Times New Roman" w:hAnsi="Times New Roman" w:eastAsia="方正仿宋_GBK"/>
          <w:sz w:val="28"/>
          <w:szCs w:val="28"/>
          <w:highlight w:val="none"/>
        </w:rPr>
        <w:t>分之五的违约金，逾期10天（含）及以上，则</w:t>
      </w:r>
      <w:r>
        <w:rPr>
          <w:rFonts w:hint="eastAsia" w:ascii="Times New Roman" w:hAnsi="Times New Roman" w:eastAsia="方正仿宋_GBK"/>
          <w:sz w:val="28"/>
          <w:szCs w:val="28"/>
          <w:highlight w:val="none"/>
          <w:lang w:val="en-US" w:eastAsia="zh-CN"/>
        </w:rPr>
        <w:t>甲方</w:t>
      </w:r>
      <w:r>
        <w:rPr>
          <w:rFonts w:hint="eastAsia" w:ascii="Times New Roman" w:hAnsi="Times New Roman" w:eastAsia="方正仿宋_GBK"/>
          <w:sz w:val="28"/>
          <w:szCs w:val="28"/>
          <w:highlight w:val="none"/>
        </w:rPr>
        <w:t>有权单方</w:t>
      </w:r>
      <w:r>
        <w:rPr>
          <w:rFonts w:hint="eastAsia" w:ascii="Times New Roman" w:hAnsi="Times New Roman" w:eastAsia="方正仿宋_GBK"/>
          <w:sz w:val="28"/>
          <w:szCs w:val="28"/>
          <w:highlight w:val="none"/>
          <w:lang w:val="en-US" w:eastAsia="zh-CN"/>
        </w:rPr>
        <w:t>解除合同</w:t>
      </w:r>
      <w:r>
        <w:rPr>
          <w:rFonts w:hint="eastAsia" w:ascii="Times New Roman" w:hAnsi="Times New Roman" w:eastAsia="方正仿宋_GBK"/>
          <w:sz w:val="28"/>
          <w:szCs w:val="28"/>
          <w:highlight w:val="none"/>
        </w:rPr>
        <w:t>并不再退还履约保证金</w:t>
      </w:r>
      <w:r>
        <w:rPr>
          <w:rFonts w:hint="eastAsia" w:ascii="Times New Roman" w:hAnsi="Times New Roman" w:eastAsia="方正仿宋_GBK"/>
          <w:sz w:val="28"/>
          <w:szCs w:val="28"/>
          <w:lang w:eastAsia="zh-CN"/>
        </w:rPr>
        <w:t>（</w:t>
      </w:r>
      <w:r>
        <w:rPr>
          <w:rFonts w:hint="eastAsia" w:ascii="Times New Roman" w:hAnsi="Times New Roman" w:eastAsia="方正仿宋_GBK"/>
          <w:sz w:val="28"/>
          <w:szCs w:val="28"/>
          <w:lang w:val="en-US" w:eastAsia="zh-CN"/>
        </w:rPr>
        <w:t>质保金）</w:t>
      </w:r>
      <w:r>
        <w:rPr>
          <w:rFonts w:hint="eastAsia" w:ascii="Times New Roman" w:hAnsi="Times New Roman" w:eastAsia="方正仿宋_GBK"/>
          <w:sz w:val="28"/>
          <w:szCs w:val="28"/>
          <w:highlight w:val="none"/>
        </w:rPr>
        <w:t>。</w:t>
      </w:r>
    </w:p>
    <w:p w14:paraId="29D3D8C5">
      <w:pPr>
        <w:pStyle w:val="34"/>
        <w:spacing w:after="0" w:line="579" w:lineRule="exact"/>
        <w:ind w:firstLine="560" w:firstLineChars="200"/>
        <w:contextualSpacing/>
        <w:jc w:val="both"/>
        <w:rPr>
          <w:rFonts w:hint="eastAsia" w:ascii="Times New Roman" w:hAnsi="Times New Roman" w:eastAsia="方正仿宋_GBK"/>
          <w:sz w:val="28"/>
          <w:szCs w:val="28"/>
        </w:rPr>
      </w:pPr>
      <w:r>
        <w:rPr>
          <w:rFonts w:ascii="Times New Roman" w:hAnsi="Times New Roman" w:eastAsia="方正仿宋_GBK"/>
          <w:sz w:val="28"/>
          <w:szCs w:val="28"/>
        </w:rPr>
        <w:t xml:space="preserve"> </w:t>
      </w:r>
      <w:r>
        <w:rPr>
          <w:rFonts w:hint="eastAsia" w:ascii="Times New Roman" w:hAnsi="Times New Roman" w:eastAsia="方正仿宋_GBK"/>
          <w:sz w:val="28"/>
          <w:szCs w:val="28"/>
        </w:rPr>
        <w:t>因乙方货物存在产品质量问题，致使甲方在使用过程中产生人身伤害、财产损失的，一切经济与法律责任均由乙方承担，甲方先行赔付的，有权向乙方追偿。</w:t>
      </w:r>
    </w:p>
    <w:p w14:paraId="0CF55334">
      <w:pPr>
        <w:pStyle w:val="34"/>
        <w:spacing w:after="0" w:line="579" w:lineRule="exact"/>
        <w:ind w:firstLine="560" w:firstLineChars="200"/>
        <w:contextualSpacing/>
        <w:jc w:val="both"/>
        <w:rPr>
          <w:rFonts w:hint="eastAsia" w:ascii="Times New Roman" w:hAnsi="Times New Roman" w:eastAsia="方正仿宋_GBK"/>
          <w:sz w:val="28"/>
          <w:szCs w:val="28"/>
        </w:rPr>
      </w:pPr>
      <w:r>
        <w:rPr>
          <w:rFonts w:hint="eastAsia" w:ascii="Times New Roman" w:hAnsi="Times New Roman" w:eastAsia="方正仿宋_GBK"/>
          <w:sz w:val="28"/>
          <w:szCs w:val="28"/>
        </w:rPr>
        <w:t>本合同项下乙方应支付的违约金、赔偿金等，甲方有权直接从应付货款或履约保证金（质保金）中扣除，不足部分有权向乙方追偿。</w:t>
      </w:r>
    </w:p>
    <w:p w14:paraId="22F46103">
      <w:pPr>
        <w:pStyle w:val="34"/>
        <w:spacing w:after="0" w:line="579" w:lineRule="exact"/>
        <w:ind w:firstLine="560" w:firstLineChars="200"/>
        <w:contextualSpacing/>
        <w:jc w:val="both"/>
        <w:rPr>
          <w:rFonts w:ascii="Times New Roman" w:hAnsi="Times New Roman"/>
        </w:rPr>
      </w:pPr>
      <w:r>
        <w:rPr>
          <w:rFonts w:hint="eastAsia" w:ascii="Times New Roman" w:hAnsi="Times New Roman" w:eastAsia="方正仿宋_GBK"/>
          <w:sz w:val="28"/>
          <w:szCs w:val="28"/>
        </w:rPr>
        <w:t>违约方因违约行为造成守约方损失的，违约方应赔偿守约方的直接经济损失，包括但不限于鉴定费、律师费、诉讼费、保全费、差旅费、赔偿金等。</w:t>
      </w:r>
      <w:r>
        <w:rPr>
          <w:rFonts w:ascii="Times New Roman" w:hAnsi="Times New Roman" w:eastAsia="方正仿宋_GBK"/>
          <w:sz w:val="28"/>
          <w:szCs w:val="28"/>
        </w:rPr>
        <w:t xml:space="preserve">   </w:t>
      </w:r>
      <w:r>
        <w:rPr>
          <w:rFonts w:ascii="Times New Roman" w:hAnsi="Times New Roman"/>
        </w:rPr>
        <w:t xml:space="preserve">                           </w:t>
      </w:r>
    </w:p>
    <w:p w14:paraId="2F7DCDC3">
      <w:pPr>
        <w:pStyle w:val="34"/>
        <w:numPr>
          <w:ilvl w:val="0"/>
          <w:numId w:val="0"/>
        </w:numPr>
        <w:spacing w:after="0" w:line="579" w:lineRule="exact"/>
        <w:contextualSpacing/>
        <w:jc w:val="both"/>
        <w:outlineLvl w:val="0"/>
        <w:rPr>
          <w:rFonts w:hint="eastAsia" w:ascii="Times New Roman" w:hAnsi="Times New Roman" w:eastAsia="方正仿宋_GBK"/>
          <w:sz w:val="28"/>
          <w:szCs w:val="28"/>
          <w:lang w:eastAsia="zh-CN"/>
        </w:rPr>
      </w:pPr>
      <w:bookmarkStart w:id="18" w:name="_Toc28966"/>
      <w:r>
        <w:rPr>
          <w:rFonts w:hint="eastAsia" w:ascii="Times New Roman" w:hAnsi="Times New Roman" w:eastAsia="黑体" w:cs="Times New Roman"/>
          <w:sz w:val="28"/>
          <w:szCs w:val="28"/>
          <w:lang w:val="en-US" w:eastAsia="zh-CN" w:bidi="ar-SA"/>
        </w:rPr>
        <w:t>第十条</w:t>
      </w:r>
      <w:r>
        <w:rPr>
          <w:rFonts w:hint="eastAsia" w:ascii="Times New Roman" w:hAnsi="Times New Roman" w:eastAsia="方正仿宋_GBK" w:cs="Times New Roman"/>
          <w:sz w:val="28"/>
          <w:szCs w:val="28"/>
          <w:lang w:val="en-US" w:eastAsia="zh-CN" w:bidi="ar-SA"/>
        </w:rPr>
        <w:t xml:space="preserve"> </w:t>
      </w:r>
      <w:r>
        <w:rPr>
          <w:rFonts w:ascii="Times New Roman" w:hAnsi="Times New Roman" w:eastAsia="黑体"/>
          <w:sz w:val="28"/>
          <w:szCs w:val="28"/>
        </w:rPr>
        <w:t>本合同解除的条件</w:t>
      </w:r>
      <w:bookmarkEnd w:id="18"/>
    </w:p>
    <w:p w14:paraId="423012C6">
      <w:pPr>
        <w:pStyle w:val="34"/>
        <w:spacing w:after="0" w:line="579" w:lineRule="exact"/>
        <w:ind w:firstLine="560" w:firstLineChars="200"/>
        <w:contextualSpacing/>
        <w:jc w:val="both"/>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highlight w:val="none"/>
          <w:lang w:eastAsia="zh-CN"/>
        </w:rPr>
        <w:t>1. 甲乙双方的任何一方由于不可抗力的原因不能履行合同时，应及时向对方通报不能履行或不能完全履行的理由。在取得有关证明后，允许延期履行、部分履行或</w:t>
      </w:r>
      <w:r>
        <w:rPr>
          <w:rFonts w:hint="eastAsia" w:ascii="Times New Roman" w:hAnsi="Times New Roman" w:eastAsia="方正仿宋_GBK"/>
          <w:sz w:val="28"/>
          <w:szCs w:val="28"/>
        </w:rPr>
        <w:t>协商一致</w:t>
      </w:r>
      <w:r>
        <w:rPr>
          <w:rFonts w:hint="eastAsia" w:ascii="Times New Roman" w:hAnsi="Times New Roman" w:eastAsia="方正仿宋_GBK"/>
          <w:sz w:val="28"/>
          <w:szCs w:val="28"/>
          <w:highlight w:val="none"/>
          <w:lang w:eastAsia="zh-CN"/>
        </w:rPr>
        <w:t>解除合同。</w:t>
      </w:r>
    </w:p>
    <w:p w14:paraId="48EB24C4">
      <w:pPr>
        <w:pStyle w:val="34"/>
        <w:spacing w:after="0" w:line="579" w:lineRule="exact"/>
        <w:ind w:firstLine="560" w:firstLineChars="200"/>
        <w:contextualSpacing/>
        <w:jc w:val="both"/>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highlight w:val="none"/>
          <w:lang w:eastAsia="zh-CN"/>
        </w:rPr>
        <w:t>2. 乙方出现下列情形之一的，甲方有权单方解除本合同，且乙方已支付的履约保证金</w:t>
      </w:r>
      <w:r>
        <w:rPr>
          <w:rFonts w:hint="eastAsia" w:ascii="Times New Roman" w:hAnsi="Times New Roman" w:eastAsia="方正仿宋_GBK"/>
          <w:sz w:val="28"/>
          <w:szCs w:val="28"/>
        </w:rPr>
        <w:t>（质保金）</w:t>
      </w:r>
      <w:r>
        <w:rPr>
          <w:rFonts w:hint="eastAsia" w:ascii="Times New Roman" w:hAnsi="Times New Roman" w:eastAsia="方正仿宋_GBK"/>
          <w:sz w:val="28"/>
          <w:szCs w:val="28"/>
          <w:highlight w:val="none"/>
          <w:lang w:eastAsia="zh-CN"/>
        </w:rPr>
        <w:t>不予退还，</w:t>
      </w:r>
      <w:r>
        <w:rPr>
          <w:rFonts w:hint="eastAsia" w:ascii="Times New Roman" w:hAnsi="Times New Roman" w:eastAsia="方正仿宋_GBK"/>
          <w:sz w:val="28"/>
          <w:szCs w:val="28"/>
        </w:rPr>
        <w:t>同时对</w:t>
      </w:r>
      <w:r>
        <w:rPr>
          <w:rFonts w:hint="eastAsia" w:ascii="Times New Roman" w:hAnsi="Times New Roman" w:eastAsia="方正仿宋_GBK"/>
          <w:sz w:val="28"/>
          <w:szCs w:val="28"/>
          <w:highlight w:val="none"/>
          <w:lang w:eastAsia="zh-CN"/>
        </w:rPr>
        <w:t>甲方</w:t>
      </w:r>
      <w:r>
        <w:rPr>
          <w:rFonts w:hint="eastAsia" w:ascii="Times New Roman" w:hAnsi="Times New Roman" w:eastAsia="方正仿宋_GBK"/>
          <w:sz w:val="28"/>
          <w:szCs w:val="28"/>
        </w:rPr>
        <w:t>造成</w:t>
      </w:r>
      <w:r>
        <w:rPr>
          <w:rFonts w:hint="eastAsia" w:ascii="Times New Roman" w:hAnsi="Times New Roman" w:eastAsia="方正仿宋_GBK"/>
          <w:sz w:val="28"/>
          <w:szCs w:val="28"/>
          <w:highlight w:val="none"/>
          <w:lang w:eastAsia="zh-CN"/>
        </w:rPr>
        <w:t>损失的，甲方有权另行向乙方追偿：</w:t>
      </w:r>
    </w:p>
    <w:p w14:paraId="54C7A3C2">
      <w:pPr>
        <w:pStyle w:val="34"/>
        <w:spacing w:after="0" w:line="579" w:lineRule="exact"/>
        <w:ind w:firstLine="560" w:firstLineChars="200"/>
        <w:contextualSpacing/>
        <w:jc w:val="both"/>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highlight w:val="none"/>
          <w:lang w:val="en-US" w:eastAsia="zh-CN"/>
        </w:rPr>
        <w:t>2.1</w:t>
      </w:r>
      <w:r>
        <w:rPr>
          <w:rFonts w:hint="eastAsia" w:ascii="Times New Roman" w:hAnsi="Times New Roman" w:eastAsia="方正仿宋_GBK"/>
          <w:sz w:val="28"/>
          <w:szCs w:val="28"/>
          <w:highlight w:val="none"/>
          <w:lang w:eastAsia="zh-CN"/>
        </w:rPr>
        <w:t>乙方以书面形式明确表示或以行为表明将不履行本合同主要义务的；</w:t>
      </w:r>
    </w:p>
    <w:p w14:paraId="28B65EA4">
      <w:pPr>
        <w:pStyle w:val="34"/>
        <w:spacing w:after="0" w:line="579" w:lineRule="exact"/>
        <w:ind w:firstLine="560" w:firstLineChars="200"/>
        <w:contextualSpacing/>
        <w:jc w:val="both"/>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highlight w:val="none"/>
          <w:lang w:val="en-US" w:eastAsia="zh-CN"/>
        </w:rPr>
        <w:t>2.2</w:t>
      </w:r>
      <w:r>
        <w:rPr>
          <w:rFonts w:hint="eastAsia" w:ascii="Times New Roman" w:hAnsi="Times New Roman" w:eastAsia="方正仿宋_GBK"/>
          <w:sz w:val="28"/>
          <w:szCs w:val="28"/>
          <w:highlight w:val="none"/>
          <w:lang w:eastAsia="zh-CN"/>
        </w:rPr>
        <w:t>在合同履约过程中，乙方提供的服务/交付的</w:t>
      </w:r>
      <w:r>
        <w:rPr>
          <w:rFonts w:hint="eastAsia" w:ascii="Times New Roman" w:hAnsi="Times New Roman" w:eastAsia="方正仿宋_GBK"/>
          <w:sz w:val="28"/>
          <w:szCs w:val="28"/>
          <w:highlight w:val="none"/>
          <w:lang w:val="en-US" w:eastAsia="zh-CN"/>
        </w:rPr>
        <w:t>产品</w:t>
      </w:r>
      <w:r>
        <w:rPr>
          <w:rFonts w:hint="eastAsia" w:ascii="Times New Roman" w:hAnsi="Times New Roman" w:eastAsia="方正仿宋_GBK"/>
          <w:sz w:val="28"/>
          <w:szCs w:val="28"/>
          <w:highlight w:val="none"/>
          <w:lang w:eastAsia="zh-CN"/>
        </w:rPr>
        <w:t>存在严重质量问题或重大缺陷，经甲方书面要求限期改进后，乙方仍未完成改进或改进后仍无法达到合同约定标准，导致合同目的无法实现的；</w:t>
      </w:r>
    </w:p>
    <w:p w14:paraId="63AA7C63">
      <w:pPr>
        <w:pStyle w:val="34"/>
        <w:spacing w:after="0" w:line="579" w:lineRule="exact"/>
        <w:ind w:firstLine="560" w:firstLineChars="200"/>
        <w:contextualSpacing/>
        <w:jc w:val="both"/>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highlight w:val="none"/>
          <w:lang w:val="en-US" w:eastAsia="zh-CN"/>
        </w:rPr>
        <w:t>2.3</w:t>
      </w:r>
      <w:r>
        <w:rPr>
          <w:rFonts w:hint="eastAsia" w:ascii="Times New Roman" w:hAnsi="Times New Roman" w:eastAsia="方正仿宋_GBK"/>
          <w:sz w:val="28"/>
          <w:szCs w:val="28"/>
          <w:highlight w:val="none"/>
          <w:lang w:eastAsia="zh-CN"/>
        </w:rPr>
        <w:t>乙方实施违反法律、行政法规强制性规定的行为，且该行为与本合同履行直接相关，经查证属实的；</w:t>
      </w:r>
    </w:p>
    <w:p w14:paraId="1D35D79F">
      <w:pPr>
        <w:pStyle w:val="34"/>
        <w:spacing w:after="0" w:line="579" w:lineRule="exact"/>
        <w:ind w:firstLine="560" w:firstLineChars="200"/>
        <w:contextualSpacing/>
        <w:jc w:val="both"/>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highlight w:val="none"/>
          <w:lang w:val="en-US" w:eastAsia="zh-CN"/>
        </w:rPr>
        <w:t>2.4</w:t>
      </w:r>
      <w:r>
        <w:rPr>
          <w:rFonts w:hint="eastAsia" w:ascii="Times New Roman" w:hAnsi="Times New Roman" w:eastAsia="方正仿宋_GBK"/>
          <w:sz w:val="28"/>
          <w:szCs w:val="28"/>
          <w:highlight w:val="none"/>
          <w:lang w:eastAsia="zh-CN"/>
        </w:rPr>
        <w:t>乙方的履约行为严重损害国家利益、社会公共利益或甲方合法权益的；</w:t>
      </w:r>
    </w:p>
    <w:p w14:paraId="3413E91B">
      <w:pPr>
        <w:pStyle w:val="34"/>
        <w:spacing w:after="0" w:line="579" w:lineRule="exact"/>
        <w:ind w:firstLine="560" w:firstLineChars="200"/>
        <w:contextualSpacing/>
        <w:jc w:val="both"/>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highlight w:val="none"/>
          <w:lang w:val="en-US" w:eastAsia="zh-CN"/>
        </w:rPr>
        <w:t>2.5</w:t>
      </w:r>
      <w:r>
        <w:rPr>
          <w:rFonts w:hint="eastAsia" w:ascii="Times New Roman" w:hAnsi="Times New Roman" w:eastAsia="方正仿宋_GBK"/>
          <w:sz w:val="28"/>
          <w:szCs w:val="28"/>
          <w:highlight w:val="none"/>
          <w:lang w:eastAsia="zh-CN"/>
        </w:rPr>
        <w:t>乙方未按合同约定的期限、要求履行主要义务</w:t>
      </w:r>
      <w:r>
        <w:rPr>
          <w:rFonts w:hint="eastAsia" w:ascii="Times New Roman" w:hAnsi="Times New Roman" w:eastAsia="方正仿宋_GBK"/>
          <w:sz w:val="28"/>
          <w:szCs w:val="28"/>
        </w:rPr>
        <w:t>（含质保期未提供质保服务或提供的质保服务不合格等）</w:t>
      </w:r>
      <w:r>
        <w:rPr>
          <w:rFonts w:hint="eastAsia" w:ascii="Times New Roman" w:hAnsi="Times New Roman" w:eastAsia="方正仿宋_GBK"/>
          <w:sz w:val="28"/>
          <w:szCs w:val="28"/>
          <w:highlight w:val="none"/>
          <w:lang w:eastAsia="zh-CN"/>
        </w:rPr>
        <w:t>，经甲方催告后</w:t>
      </w:r>
      <w:r>
        <w:rPr>
          <w:rFonts w:hint="eastAsia" w:ascii="Times New Roman" w:hAnsi="Times New Roman" w:eastAsia="方正仿宋_GBK"/>
          <w:sz w:val="28"/>
          <w:szCs w:val="28"/>
          <w:highlight w:val="none"/>
          <w:lang w:val="en-US" w:eastAsia="zh-CN"/>
        </w:rPr>
        <w:t>5日</w:t>
      </w:r>
      <w:r>
        <w:rPr>
          <w:rFonts w:hint="eastAsia" w:ascii="Times New Roman" w:hAnsi="Times New Roman" w:eastAsia="方正仿宋_GBK"/>
          <w:sz w:val="28"/>
          <w:szCs w:val="28"/>
          <w:highlight w:val="none"/>
          <w:lang w:eastAsia="zh-CN"/>
        </w:rPr>
        <w:t>仍未纠正</w:t>
      </w:r>
      <w:r>
        <w:rPr>
          <w:rFonts w:hint="eastAsia" w:ascii="Times New Roman" w:hAnsi="Times New Roman" w:eastAsia="方正仿宋_GBK"/>
          <w:sz w:val="28"/>
          <w:szCs w:val="28"/>
        </w:rPr>
        <w:t>或累计发生3次（含）以上</w:t>
      </w:r>
      <w:r>
        <w:rPr>
          <w:rFonts w:hint="eastAsia" w:ascii="Times New Roman" w:hAnsi="Times New Roman" w:eastAsia="方正仿宋_GBK"/>
          <w:sz w:val="28"/>
          <w:szCs w:val="28"/>
          <w:highlight w:val="none"/>
          <w:lang w:eastAsia="zh-CN"/>
        </w:rPr>
        <w:t>的；</w:t>
      </w:r>
    </w:p>
    <w:p w14:paraId="0F2D4413">
      <w:pPr>
        <w:pStyle w:val="34"/>
        <w:spacing w:after="0" w:line="579" w:lineRule="exact"/>
        <w:ind w:firstLine="560" w:firstLineChars="200"/>
        <w:contextualSpacing/>
        <w:jc w:val="both"/>
        <w:rPr>
          <w:rFonts w:hint="eastAsia" w:ascii="Times New Roman" w:hAnsi="Times New Roman" w:eastAsia="方正仿宋_GBK"/>
          <w:sz w:val="28"/>
          <w:szCs w:val="28"/>
          <w:highlight w:val="none"/>
          <w:lang w:val="en-US" w:eastAsia="zh-CN"/>
        </w:rPr>
      </w:pPr>
      <w:r>
        <w:rPr>
          <w:rFonts w:hint="eastAsia" w:ascii="Times New Roman" w:hAnsi="Times New Roman" w:eastAsia="方正仿宋_GBK"/>
          <w:sz w:val="28"/>
          <w:szCs w:val="28"/>
          <w:highlight w:val="none"/>
          <w:lang w:val="en-US" w:eastAsia="zh-CN"/>
        </w:rPr>
        <w:t>2.6其他本合同规定的相应条款；</w:t>
      </w:r>
    </w:p>
    <w:p w14:paraId="0FC151AD">
      <w:pPr>
        <w:pStyle w:val="34"/>
        <w:spacing w:after="0" w:line="579" w:lineRule="exact"/>
        <w:ind w:firstLine="560" w:firstLineChars="200"/>
        <w:contextualSpacing/>
        <w:jc w:val="both"/>
        <w:rPr>
          <w:rFonts w:ascii="Times New Roman" w:hAnsi="Times New Roman"/>
        </w:rPr>
      </w:pPr>
      <w:r>
        <w:rPr>
          <w:rFonts w:hint="eastAsia" w:ascii="Times New Roman" w:hAnsi="Times New Roman" w:eastAsia="方正仿宋_GBK"/>
          <w:sz w:val="28"/>
          <w:szCs w:val="28"/>
          <w:highlight w:val="none"/>
          <w:lang w:eastAsia="zh-CN"/>
        </w:rPr>
        <w:t>本合同在双方责任、义务履行完毕后终止。</w:t>
      </w:r>
      <w:r>
        <w:rPr>
          <w:rFonts w:ascii="Times New Roman" w:hAnsi="Times New Roman"/>
        </w:rPr>
        <w:t xml:space="preserve">                                                                                                                                            </w:t>
      </w:r>
    </w:p>
    <w:p w14:paraId="702BDF54">
      <w:pPr>
        <w:pStyle w:val="34"/>
        <w:spacing w:after="0" w:line="579" w:lineRule="exact"/>
        <w:contextualSpacing/>
        <w:jc w:val="both"/>
        <w:outlineLvl w:val="0"/>
        <w:rPr>
          <w:rFonts w:ascii="Times New Roman" w:hAnsi="Times New Roman" w:eastAsia="黑体"/>
          <w:sz w:val="28"/>
          <w:szCs w:val="28"/>
        </w:rPr>
      </w:pPr>
      <w:bookmarkStart w:id="19" w:name="_Toc8629"/>
      <w:r>
        <w:rPr>
          <w:rFonts w:ascii="Times New Roman" w:hAnsi="Times New Roman" w:eastAsia="黑体"/>
          <w:sz w:val="28"/>
          <w:szCs w:val="28"/>
        </w:rPr>
        <w:t xml:space="preserve">第十一条 </w:t>
      </w:r>
      <w:r>
        <w:rPr>
          <w:rFonts w:hint="eastAsia" w:ascii="Times New Roman" w:hAnsi="Times New Roman" w:eastAsia="黑体"/>
          <w:sz w:val="28"/>
          <w:szCs w:val="28"/>
        </w:rPr>
        <w:t>本合同未尽事宜</w:t>
      </w:r>
      <w:bookmarkEnd w:id="19"/>
    </w:p>
    <w:p w14:paraId="03FE0EBF">
      <w:pPr>
        <w:pStyle w:val="34"/>
        <w:spacing w:after="0" w:line="579" w:lineRule="exact"/>
        <w:ind w:firstLine="560" w:firstLineChars="200"/>
        <w:contextualSpacing/>
        <w:jc w:val="both"/>
        <w:rPr>
          <w:rFonts w:ascii="Times New Roman" w:hAnsi="Times New Roman"/>
        </w:rPr>
      </w:pPr>
      <w:r>
        <w:rPr>
          <w:rFonts w:hint="eastAsia" w:ascii="Times New Roman" w:hAnsi="Times New Roman" w:eastAsia="方正仿宋_GBK"/>
          <w:sz w:val="28"/>
          <w:szCs w:val="28"/>
          <w:lang w:eastAsia="zh-CN"/>
        </w:rPr>
        <w:t>按照《中华人民共和国</w:t>
      </w:r>
      <w:r>
        <w:rPr>
          <w:rFonts w:ascii="Times New Roman" w:hAnsi="Times New Roman" w:eastAsia="方正仿宋_GBK"/>
          <w:sz w:val="28"/>
          <w:szCs w:val="28"/>
        </w:rPr>
        <w:t>民法典》相关条款 。</w:t>
      </w:r>
      <w:r>
        <w:rPr>
          <w:rFonts w:ascii="Times New Roman" w:hAnsi="Times New Roman"/>
        </w:rPr>
        <w:t xml:space="preserve">                                </w:t>
      </w:r>
    </w:p>
    <w:p w14:paraId="2C05E5DF">
      <w:pPr>
        <w:pStyle w:val="34"/>
        <w:numPr>
          <w:ilvl w:val="0"/>
          <w:numId w:val="0"/>
        </w:numPr>
        <w:spacing w:after="0" w:line="579" w:lineRule="exact"/>
        <w:ind w:left="560" w:hanging="560" w:hangingChars="200"/>
        <w:contextualSpacing/>
        <w:jc w:val="both"/>
        <w:outlineLvl w:val="0"/>
        <w:rPr>
          <w:rFonts w:ascii="Times New Roman" w:hAnsi="Times New Roman" w:eastAsia="黑体"/>
          <w:sz w:val="28"/>
          <w:szCs w:val="28"/>
        </w:rPr>
      </w:pPr>
      <w:bookmarkStart w:id="20" w:name="_Toc28562"/>
      <w:r>
        <w:rPr>
          <w:rFonts w:hint="eastAsia" w:ascii="Times New Roman" w:hAnsi="Times New Roman" w:eastAsia="黑体" w:cs="Times New Roman"/>
          <w:sz w:val="28"/>
          <w:szCs w:val="28"/>
          <w:lang w:val="en-US" w:eastAsia="zh-CN" w:bidi="ar-SA"/>
        </w:rPr>
        <w:t xml:space="preserve">第十二条 </w:t>
      </w:r>
      <w:r>
        <w:rPr>
          <w:rFonts w:ascii="Times New Roman" w:hAnsi="Times New Roman" w:eastAsia="黑体"/>
          <w:sz w:val="28"/>
          <w:szCs w:val="28"/>
        </w:rPr>
        <w:t>合同争议的解决方式</w:t>
      </w:r>
      <w:bookmarkEnd w:id="20"/>
    </w:p>
    <w:p w14:paraId="69108DBD">
      <w:pPr>
        <w:pStyle w:val="34"/>
        <w:spacing w:after="0" w:line="579" w:lineRule="exact"/>
        <w:ind w:firstLine="560" w:firstLineChars="200"/>
        <w:contextualSpacing/>
        <w:jc w:val="both"/>
        <w:rPr>
          <w:rFonts w:ascii="Times New Roman" w:hAnsi="Times New Roman" w:eastAsia="方正仿宋_GBK"/>
          <w:sz w:val="28"/>
          <w:szCs w:val="28"/>
        </w:rPr>
      </w:pPr>
      <w:r>
        <w:rPr>
          <w:rFonts w:ascii="Times New Roman" w:hAnsi="Times New Roman" w:eastAsia="方正仿宋_GBK"/>
          <w:sz w:val="28"/>
          <w:szCs w:val="28"/>
        </w:rPr>
        <w:t>本合同在履行过程中发生的争议，由双方当事人协商解决；也可由当地工商行政管理部门调解；协商或调解不成的，依法向</w:t>
      </w:r>
      <w:r>
        <w:rPr>
          <w:rFonts w:hint="eastAsia" w:ascii="Times New Roman" w:hAnsi="Times New Roman" w:eastAsia="方正仿宋_GBK"/>
          <w:sz w:val="28"/>
          <w:szCs w:val="28"/>
          <w:lang w:eastAsia="zh-CN"/>
        </w:rPr>
        <w:t>甲方</w:t>
      </w:r>
      <w:r>
        <w:rPr>
          <w:rFonts w:ascii="Times New Roman" w:hAnsi="Times New Roman" w:eastAsia="方正仿宋_GBK"/>
          <w:sz w:val="28"/>
          <w:szCs w:val="28"/>
        </w:rPr>
        <w:t xml:space="preserve">所在地人民法院起诉。   </w:t>
      </w:r>
    </w:p>
    <w:p w14:paraId="74E78C5A">
      <w:pPr>
        <w:pStyle w:val="34"/>
        <w:numPr>
          <w:ilvl w:val="0"/>
          <w:numId w:val="0"/>
        </w:numPr>
        <w:spacing w:after="0" w:line="579" w:lineRule="exact"/>
        <w:ind w:left="560" w:hanging="560" w:hangingChars="200"/>
        <w:contextualSpacing/>
        <w:jc w:val="both"/>
        <w:outlineLvl w:val="0"/>
        <w:rPr>
          <w:rFonts w:ascii="Times New Roman" w:hAnsi="Times New Roman" w:eastAsia="黑体"/>
          <w:sz w:val="28"/>
          <w:szCs w:val="28"/>
        </w:rPr>
      </w:pPr>
      <w:bookmarkStart w:id="21" w:name="_Toc32016"/>
      <w:r>
        <w:rPr>
          <w:rFonts w:hint="eastAsia" w:ascii="Times New Roman" w:hAnsi="Times New Roman" w:eastAsia="黑体" w:cs="Times New Roman"/>
          <w:sz w:val="28"/>
          <w:szCs w:val="28"/>
          <w:lang w:val="en-US" w:eastAsia="zh-CN" w:bidi="ar-SA"/>
        </w:rPr>
        <w:t xml:space="preserve">第十三条 </w:t>
      </w:r>
      <w:r>
        <w:rPr>
          <w:rFonts w:ascii="Times New Roman" w:hAnsi="Times New Roman" w:eastAsia="黑体"/>
          <w:sz w:val="28"/>
          <w:szCs w:val="28"/>
        </w:rPr>
        <w:t>售后要求</w:t>
      </w:r>
      <w:bookmarkEnd w:id="21"/>
    </w:p>
    <w:p w14:paraId="5B2F5BC0">
      <w:pPr>
        <w:pStyle w:val="34"/>
        <w:spacing w:after="0" w:line="579" w:lineRule="exact"/>
        <w:ind w:firstLine="560" w:firstLineChars="200"/>
        <w:contextualSpacing/>
        <w:jc w:val="both"/>
        <w:rPr>
          <w:rFonts w:ascii="Times New Roman" w:hAnsi="Times New Roman" w:eastAsia="方正仿宋_GBK"/>
          <w:sz w:val="28"/>
          <w:szCs w:val="28"/>
        </w:rPr>
      </w:pPr>
      <w:r>
        <w:rPr>
          <w:rFonts w:hint="eastAsia" w:ascii="Times New Roman" w:hAnsi="Times New Roman" w:eastAsia="方正仿宋_GBK"/>
          <w:sz w:val="28"/>
          <w:szCs w:val="28"/>
          <w:lang w:eastAsia="zh-CN"/>
        </w:rPr>
        <w:t>乙方</w:t>
      </w:r>
      <w:r>
        <w:rPr>
          <w:rFonts w:ascii="Times New Roman" w:hAnsi="Times New Roman" w:eastAsia="方正仿宋_GBK"/>
          <w:sz w:val="28"/>
          <w:szCs w:val="28"/>
        </w:rPr>
        <w:t>必须满足</w:t>
      </w:r>
      <w:r>
        <w:rPr>
          <w:rFonts w:hint="eastAsia" w:ascii="Times New Roman" w:hAnsi="Times New Roman" w:eastAsia="方正仿宋_GBK"/>
          <w:sz w:val="28"/>
          <w:szCs w:val="28"/>
          <w:lang w:eastAsia="zh-CN"/>
        </w:rPr>
        <w:t>甲方</w:t>
      </w:r>
      <w:r>
        <w:rPr>
          <w:rFonts w:ascii="Times New Roman" w:hAnsi="Times New Roman" w:eastAsia="方正仿宋_GBK"/>
          <w:sz w:val="28"/>
          <w:szCs w:val="28"/>
        </w:rPr>
        <w:t>售后服务要求。如产品使用过</w:t>
      </w:r>
      <w:r>
        <w:rPr>
          <w:rFonts w:hint="eastAsia" w:ascii="Times New Roman" w:hAnsi="Times New Roman" w:eastAsia="方正仿宋_GBK"/>
          <w:sz w:val="28"/>
          <w:szCs w:val="28"/>
          <w:lang w:eastAsia="zh-CN"/>
        </w:rPr>
        <w:t>程中</w:t>
      </w:r>
      <w:r>
        <w:rPr>
          <w:rFonts w:ascii="Times New Roman" w:hAnsi="Times New Roman" w:eastAsia="方正仿宋_GBK"/>
          <w:sz w:val="28"/>
          <w:szCs w:val="28"/>
        </w:rPr>
        <w:t>发生问题，</w:t>
      </w:r>
      <w:r>
        <w:rPr>
          <w:rFonts w:hint="eastAsia" w:ascii="Times New Roman" w:hAnsi="Times New Roman" w:eastAsia="方正仿宋_GBK"/>
          <w:sz w:val="28"/>
          <w:szCs w:val="28"/>
          <w:lang w:eastAsia="zh-CN"/>
        </w:rPr>
        <w:t>乙方</w:t>
      </w:r>
      <w:r>
        <w:rPr>
          <w:rFonts w:ascii="Times New Roman" w:hAnsi="Times New Roman" w:eastAsia="方正仿宋_GBK"/>
          <w:sz w:val="28"/>
          <w:szCs w:val="28"/>
        </w:rPr>
        <w:t>须在接到</w:t>
      </w:r>
      <w:r>
        <w:rPr>
          <w:rFonts w:hint="eastAsia" w:ascii="Times New Roman" w:hAnsi="Times New Roman" w:eastAsia="方正仿宋_GBK"/>
          <w:sz w:val="28"/>
          <w:szCs w:val="28"/>
          <w:lang w:eastAsia="zh-CN"/>
        </w:rPr>
        <w:t>甲方</w:t>
      </w:r>
      <w:r>
        <w:rPr>
          <w:rFonts w:ascii="Times New Roman" w:hAnsi="Times New Roman" w:eastAsia="方正仿宋_GBK"/>
          <w:sz w:val="28"/>
          <w:szCs w:val="28"/>
        </w:rPr>
        <w:t>通知后24小时内做出书面答复并提供解决方案。若需要派遣技术人员，则应在接到</w:t>
      </w:r>
      <w:r>
        <w:rPr>
          <w:rFonts w:hint="eastAsia" w:ascii="Times New Roman" w:hAnsi="Times New Roman" w:eastAsia="方正仿宋_GBK"/>
          <w:sz w:val="28"/>
          <w:szCs w:val="28"/>
          <w:lang w:eastAsia="zh-CN"/>
        </w:rPr>
        <w:t>甲方</w:t>
      </w:r>
      <w:r>
        <w:rPr>
          <w:rFonts w:ascii="Times New Roman" w:hAnsi="Times New Roman" w:eastAsia="方正仿宋_GBK"/>
          <w:sz w:val="28"/>
          <w:szCs w:val="28"/>
        </w:rPr>
        <w:t>通知后48小时内派人员到达现场进行免费指导解决问题。</w:t>
      </w:r>
    </w:p>
    <w:p w14:paraId="7679766D">
      <w:pPr>
        <w:pStyle w:val="34"/>
        <w:spacing w:after="0" w:line="579" w:lineRule="exact"/>
        <w:ind w:firstLine="560" w:firstLineChars="200"/>
        <w:contextualSpacing/>
        <w:jc w:val="both"/>
        <w:rPr>
          <w:rFonts w:hint="eastAsia" w:ascii="Times New Roman" w:hAnsi="Times New Roman" w:eastAsia="方正仿宋_GBK"/>
          <w:sz w:val="28"/>
          <w:szCs w:val="28"/>
          <w:lang w:eastAsia="zh-CN"/>
        </w:rPr>
      </w:pPr>
      <w:r>
        <w:rPr>
          <w:rFonts w:hint="eastAsia" w:ascii="Times New Roman" w:hAnsi="Times New Roman" w:eastAsia="方正仿宋_GBK"/>
          <w:sz w:val="28"/>
          <w:szCs w:val="28"/>
          <w:lang w:eastAsia="zh-CN"/>
        </w:rPr>
        <w:t>甲方</w:t>
      </w:r>
      <w:r>
        <w:rPr>
          <w:rFonts w:ascii="Times New Roman" w:hAnsi="Times New Roman" w:eastAsia="方正仿宋_GBK"/>
          <w:sz w:val="28"/>
          <w:szCs w:val="28"/>
        </w:rPr>
        <w:t>不再对任何售后服务进行付费。</w:t>
      </w:r>
      <w:r>
        <w:rPr>
          <w:rFonts w:hint="eastAsia" w:ascii="Times New Roman" w:hAnsi="Times New Roman" w:eastAsia="方正仿宋_GBK"/>
          <w:sz w:val="28"/>
          <w:szCs w:val="28"/>
          <w:lang w:eastAsia="zh-CN"/>
        </w:rPr>
        <w:t>乙方</w:t>
      </w:r>
      <w:r>
        <w:rPr>
          <w:rFonts w:ascii="Times New Roman" w:hAnsi="Times New Roman" w:eastAsia="方正仿宋_GBK"/>
          <w:sz w:val="28"/>
          <w:szCs w:val="28"/>
        </w:rPr>
        <w:t>的派遣人员产生的一切费用由</w:t>
      </w:r>
      <w:r>
        <w:rPr>
          <w:rFonts w:hint="eastAsia" w:ascii="Times New Roman" w:hAnsi="Times New Roman" w:eastAsia="方正仿宋_GBK"/>
          <w:sz w:val="28"/>
          <w:szCs w:val="28"/>
          <w:lang w:eastAsia="zh-CN"/>
        </w:rPr>
        <w:t>乙方</w:t>
      </w:r>
      <w:r>
        <w:rPr>
          <w:rFonts w:ascii="Times New Roman" w:hAnsi="Times New Roman" w:eastAsia="方正仿宋_GBK"/>
          <w:sz w:val="28"/>
          <w:szCs w:val="28"/>
        </w:rPr>
        <w:t>承担</w:t>
      </w:r>
      <w:r>
        <w:rPr>
          <w:rFonts w:hint="eastAsia" w:ascii="Times New Roman" w:hAnsi="Times New Roman" w:eastAsia="方正仿宋_GBK"/>
          <w:sz w:val="28"/>
          <w:szCs w:val="28"/>
          <w:lang w:eastAsia="zh-CN"/>
        </w:rPr>
        <w:t>。</w:t>
      </w:r>
    </w:p>
    <w:p w14:paraId="5F73ADAD">
      <w:pPr>
        <w:pStyle w:val="34"/>
        <w:numPr>
          <w:ilvl w:val="0"/>
          <w:numId w:val="0"/>
        </w:numPr>
        <w:spacing w:after="0" w:line="579" w:lineRule="exact"/>
        <w:ind w:left="560" w:hanging="560" w:hangingChars="200"/>
        <w:contextualSpacing/>
        <w:jc w:val="both"/>
        <w:outlineLvl w:val="0"/>
        <w:rPr>
          <w:rFonts w:ascii="Times New Roman" w:hAnsi="Times New Roman" w:eastAsia="黑体"/>
          <w:sz w:val="28"/>
          <w:szCs w:val="28"/>
        </w:rPr>
      </w:pPr>
      <w:bookmarkStart w:id="22" w:name="_Toc28236"/>
      <w:r>
        <w:rPr>
          <w:rFonts w:hint="eastAsia" w:ascii="Times New Roman" w:hAnsi="Times New Roman" w:eastAsia="黑体" w:cs="Times New Roman"/>
          <w:sz w:val="28"/>
          <w:szCs w:val="28"/>
          <w:lang w:val="en-US" w:eastAsia="zh-CN" w:bidi="ar-SA"/>
        </w:rPr>
        <w:t xml:space="preserve">第十四条 </w:t>
      </w:r>
      <w:r>
        <w:rPr>
          <w:rFonts w:ascii="Times New Roman" w:hAnsi="Times New Roman" w:eastAsia="黑体"/>
          <w:sz w:val="28"/>
          <w:szCs w:val="28"/>
        </w:rPr>
        <w:t>其他要求</w:t>
      </w:r>
      <w:bookmarkEnd w:id="22"/>
    </w:p>
    <w:p w14:paraId="786B33D9">
      <w:pPr>
        <w:pStyle w:val="34"/>
        <w:spacing w:after="0" w:line="579" w:lineRule="exact"/>
        <w:ind w:firstLine="560" w:firstLineChars="200"/>
        <w:contextualSpacing/>
        <w:jc w:val="both"/>
        <w:rPr>
          <w:rFonts w:ascii="Times New Roman" w:hAnsi="Times New Roman" w:eastAsia="方正仿宋_GBK"/>
          <w:sz w:val="28"/>
          <w:szCs w:val="28"/>
        </w:rPr>
      </w:pPr>
      <w:r>
        <w:rPr>
          <w:rFonts w:ascii="Times New Roman" w:hAnsi="Times New Roman" w:eastAsia="方正仿宋_GBK"/>
          <w:sz w:val="28"/>
          <w:szCs w:val="28"/>
        </w:rPr>
        <w:t>本合同一式六份，</w:t>
      </w:r>
      <w:r>
        <w:rPr>
          <w:rFonts w:hint="eastAsia" w:ascii="Times New Roman" w:hAnsi="Times New Roman" w:eastAsia="方正仿宋_GBK"/>
          <w:sz w:val="28"/>
          <w:szCs w:val="28"/>
          <w:lang w:eastAsia="zh-CN"/>
        </w:rPr>
        <w:t>甲方</w:t>
      </w:r>
      <w:r>
        <w:rPr>
          <w:rFonts w:ascii="Times New Roman" w:hAnsi="Times New Roman" w:eastAsia="方正仿宋_GBK"/>
          <w:sz w:val="28"/>
          <w:szCs w:val="28"/>
        </w:rPr>
        <w:t>五份；</w:t>
      </w:r>
      <w:r>
        <w:rPr>
          <w:rFonts w:hint="eastAsia" w:ascii="Times New Roman" w:hAnsi="Times New Roman" w:eastAsia="方正仿宋_GBK"/>
          <w:sz w:val="28"/>
          <w:szCs w:val="28"/>
          <w:lang w:eastAsia="zh-CN"/>
        </w:rPr>
        <w:t>乙方</w:t>
      </w:r>
      <w:r>
        <w:rPr>
          <w:rFonts w:ascii="Times New Roman" w:hAnsi="Times New Roman" w:eastAsia="方正仿宋_GBK"/>
          <w:sz w:val="28"/>
          <w:szCs w:val="28"/>
        </w:rPr>
        <w:t>一份，签章后生效。</w:t>
      </w:r>
    </w:p>
    <w:p w14:paraId="74A70551">
      <w:pPr>
        <w:pStyle w:val="34"/>
        <w:spacing w:after="0" w:line="579" w:lineRule="atLeast"/>
        <w:contextualSpacing/>
        <w:jc w:val="both"/>
        <w:outlineLvl w:val="0"/>
        <w:rPr>
          <w:rFonts w:hint="eastAsia" w:ascii="Times New Roman" w:hAnsi="Times New Roman" w:eastAsia="方正仿宋_GBK"/>
          <w:sz w:val="28"/>
          <w:szCs w:val="28"/>
        </w:rPr>
      </w:pPr>
      <w:r>
        <w:rPr>
          <w:rFonts w:hint="eastAsia" w:ascii="方正仿宋_GBK" w:hAnsi="方正仿宋_GBK" w:eastAsia="方正仿宋_GBK" w:cs="方正仿宋_GBK"/>
          <w:sz w:val="28"/>
          <w:szCs w:val="28"/>
        </w:rPr>
        <w:br w:type="page"/>
      </w:r>
      <w:bookmarkStart w:id="23" w:name="_Toc30647"/>
      <w:bookmarkStart w:id="24" w:name="_Toc2257"/>
      <w:bookmarkStart w:id="25" w:name="_Toc4257"/>
      <w:r>
        <w:rPr>
          <w:rFonts w:hint="eastAsia" w:ascii="Times New Roman" w:hAnsi="Times New Roman" w:eastAsia="方正仿宋_GBK" w:cs="Times New Roman"/>
          <w:b/>
          <w:bCs/>
          <w:sz w:val="28"/>
          <w:szCs w:val="28"/>
          <w:highlight w:val="none"/>
          <w:lang w:val="en-US" w:eastAsia="zh-CN"/>
        </w:rPr>
        <w:t>附件：</w:t>
      </w:r>
      <w:bookmarkEnd w:id="23"/>
      <w:bookmarkEnd w:id="24"/>
      <w:bookmarkEnd w:id="25"/>
    </w:p>
    <w:p w14:paraId="072DF412">
      <w:pPr>
        <w:spacing w:after="0" w:line="579" w:lineRule="atLeast"/>
        <w:jc w:val="center"/>
        <w:outlineLvl w:val="1"/>
        <w:rPr>
          <w:rFonts w:hint="eastAsia" w:ascii="宋体" w:hAnsi="宋体" w:cs="宋体"/>
          <w:b/>
          <w:sz w:val="24"/>
          <w:highlight w:val="none"/>
        </w:rPr>
      </w:pPr>
      <w:r>
        <w:rPr>
          <w:rFonts w:hint="eastAsia" w:ascii="Times New Roman" w:hAnsi="Times New Roman" w:eastAsia="方正小标宋_GBK"/>
          <w:b/>
          <w:sz w:val="36"/>
          <w:szCs w:val="36"/>
        </w:rPr>
        <w:t>廉政责任书</w:t>
      </w:r>
    </w:p>
    <w:p w14:paraId="7B0E205A">
      <w:pPr>
        <w:spacing w:after="0" w:line="579" w:lineRule="atLeast"/>
        <w:rPr>
          <w:rFonts w:hint="eastAsia" w:ascii="方正仿宋_GBK" w:hAnsi="方正仿宋_GBK" w:eastAsia="方正仿宋_GBK" w:cs="方正仿宋_GBK"/>
          <w:b/>
          <w:bCs/>
          <w:sz w:val="24"/>
          <w:szCs w:val="24"/>
          <w:highlight w:val="none"/>
        </w:rPr>
      </w:pPr>
    </w:p>
    <w:p w14:paraId="7CDB0066">
      <w:pPr>
        <w:spacing w:after="0" w:line="579" w:lineRule="atLeast"/>
        <w:rPr>
          <w:rFonts w:hint="eastAsia" w:ascii="方正仿宋_GBK" w:hAnsi="方正仿宋_GBK" w:eastAsia="方正仿宋_GBK" w:cs="方正仿宋_GBK"/>
          <w:b/>
          <w:bCs/>
          <w:sz w:val="24"/>
          <w:szCs w:val="24"/>
          <w:highlight w:val="none"/>
        </w:rPr>
      </w:pPr>
      <w:r>
        <w:rPr>
          <w:rFonts w:hint="eastAsia" w:ascii="方正仿宋_GBK" w:hAnsi="方正仿宋_GBK" w:eastAsia="方正仿宋_GBK" w:cs="方正仿宋_GBK"/>
          <w:b/>
          <w:bCs/>
          <w:sz w:val="24"/>
          <w:szCs w:val="24"/>
          <w:highlight w:val="none"/>
        </w:rPr>
        <w:t>项目名称：绍兴市再生能源发展有限公司</w:t>
      </w:r>
      <w:r>
        <w:rPr>
          <w:rFonts w:hint="eastAsia" w:ascii="方正仿宋_GBK" w:hAnsi="方正仿宋_GBK" w:eastAsia="方正仿宋_GBK" w:cs="方正仿宋_GBK"/>
          <w:b/>
          <w:bCs/>
          <w:sz w:val="24"/>
          <w:szCs w:val="24"/>
          <w:highlight w:val="none"/>
          <w:lang w:val="en-US" w:eastAsia="zh-CN"/>
        </w:rPr>
        <w:t>雾化器年度保养项目</w:t>
      </w:r>
    </w:p>
    <w:p w14:paraId="33A352CA">
      <w:pPr>
        <w:spacing w:after="0" w:line="579" w:lineRule="atLeast"/>
        <w:rPr>
          <w:rFonts w:hint="eastAsia" w:ascii="方正仿宋_GBK" w:hAnsi="方正仿宋_GBK" w:eastAsia="方正仿宋_GBK" w:cs="方正仿宋_GBK"/>
          <w:b/>
          <w:bCs/>
          <w:sz w:val="24"/>
          <w:szCs w:val="24"/>
          <w:highlight w:val="none"/>
        </w:rPr>
      </w:pPr>
      <w:r>
        <w:rPr>
          <w:rFonts w:hint="eastAsia" w:ascii="方正仿宋_GBK" w:hAnsi="方正仿宋_GBK" w:eastAsia="方正仿宋_GBK" w:cs="方正仿宋_GBK"/>
          <w:b/>
          <w:bCs/>
          <w:sz w:val="24"/>
          <w:szCs w:val="24"/>
          <w:highlight w:val="none"/>
        </w:rPr>
        <w:t>甲方</w:t>
      </w:r>
      <w:r>
        <w:rPr>
          <w:rFonts w:hint="eastAsia" w:ascii="方正仿宋_GBK" w:hAnsi="方正仿宋_GBK" w:eastAsia="方正仿宋_GBK" w:cs="方正仿宋_GBK"/>
          <w:b/>
          <w:bCs/>
          <w:sz w:val="24"/>
          <w:szCs w:val="24"/>
          <w:highlight w:val="none"/>
          <w:lang w:eastAsia="zh-CN"/>
        </w:rPr>
        <w:t>（</w:t>
      </w:r>
      <w:r>
        <w:rPr>
          <w:rFonts w:hint="eastAsia" w:ascii="方正仿宋_GBK" w:hAnsi="方正仿宋_GBK" w:eastAsia="方正仿宋_GBK" w:cs="方正仿宋_GBK"/>
          <w:b/>
          <w:bCs/>
          <w:sz w:val="24"/>
          <w:szCs w:val="24"/>
          <w:highlight w:val="none"/>
        </w:rPr>
        <w:t>全称</w:t>
      </w:r>
      <w:r>
        <w:rPr>
          <w:rFonts w:hint="eastAsia" w:ascii="方正仿宋_GBK" w:hAnsi="方正仿宋_GBK" w:eastAsia="方正仿宋_GBK" w:cs="方正仿宋_GBK"/>
          <w:b/>
          <w:bCs/>
          <w:sz w:val="24"/>
          <w:szCs w:val="24"/>
          <w:highlight w:val="none"/>
          <w:lang w:eastAsia="zh-CN"/>
        </w:rPr>
        <w:t>）</w:t>
      </w:r>
      <w:r>
        <w:rPr>
          <w:rFonts w:hint="eastAsia" w:ascii="方正仿宋_GBK" w:hAnsi="方正仿宋_GBK" w:eastAsia="方正仿宋_GBK" w:cs="方正仿宋_GBK"/>
          <w:b/>
          <w:bCs/>
          <w:sz w:val="24"/>
          <w:szCs w:val="24"/>
          <w:highlight w:val="none"/>
        </w:rPr>
        <w:t>：绍兴市再生能源发展有限公司            （以下简称甲方）</w:t>
      </w:r>
    </w:p>
    <w:p w14:paraId="48486C83">
      <w:pPr>
        <w:spacing w:after="0" w:line="579" w:lineRule="atLeast"/>
        <w:rPr>
          <w:rFonts w:hint="eastAsia" w:ascii="方正仿宋_GBK" w:hAnsi="方正仿宋_GBK" w:eastAsia="方正仿宋_GBK" w:cs="方正仿宋_GBK"/>
          <w:b/>
          <w:bCs/>
          <w:sz w:val="24"/>
          <w:szCs w:val="24"/>
        </w:rPr>
      </w:pPr>
      <w:r>
        <w:rPr>
          <w:rFonts w:hint="eastAsia" w:ascii="方正仿宋_GBK" w:hAnsi="方正仿宋_GBK" w:eastAsia="方正仿宋_GBK" w:cs="方正仿宋_GBK"/>
          <w:b/>
          <w:bCs/>
          <w:sz w:val="24"/>
          <w:szCs w:val="24"/>
        </w:rPr>
        <w:t>乙方</w:t>
      </w:r>
      <w:r>
        <w:rPr>
          <w:rFonts w:hint="eastAsia" w:ascii="方正仿宋_GBK" w:hAnsi="方正仿宋_GBK" w:eastAsia="方正仿宋_GBK" w:cs="方正仿宋_GBK"/>
          <w:b/>
          <w:bCs/>
          <w:sz w:val="24"/>
          <w:szCs w:val="24"/>
          <w:lang w:eastAsia="zh-CN"/>
        </w:rPr>
        <w:t>（</w:t>
      </w:r>
      <w:r>
        <w:rPr>
          <w:rFonts w:hint="eastAsia" w:ascii="方正仿宋_GBK" w:hAnsi="方正仿宋_GBK" w:eastAsia="方正仿宋_GBK" w:cs="方正仿宋_GBK"/>
          <w:b/>
          <w:bCs/>
          <w:sz w:val="24"/>
          <w:szCs w:val="24"/>
        </w:rPr>
        <w:t>全称</w:t>
      </w:r>
      <w:r>
        <w:rPr>
          <w:rFonts w:hint="eastAsia" w:ascii="方正仿宋_GBK" w:hAnsi="方正仿宋_GBK" w:eastAsia="方正仿宋_GBK" w:cs="方正仿宋_GBK"/>
          <w:b/>
          <w:bCs/>
          <w:sz w:val="24"/>
          <w:szCs w:val="24"/>
          <w:lang w:eastAsia="zh-CN"/>
        </w:rPr>
        <w:t>）</w:t>
      </w:r>
      <w:r>
        <w:rPr>
          <w:rFonts w:hint="eastAsia" w:ascii="方正仿宋_GBK" w:hAnsi="方正仿宋_GBK" w:eastAsia="方正仿宋_GBK" w:cs="方正仿宋_GBK"/>
          <w:b/>
          <w:bCs/>
          <w:sz w:val="24"/>
          <w:szCs w:val="24"/>
        </w:rPr>
        <w:t>：</w:t>
      </w:r>
      <w:r>
        <w:rPr>
          <w:rFonts w:hint="eastAsia" w:ascii="方正仿宋_GBK" w:hAnsi="方正仿宋_GBK" w:eastAsia="方正仿宋_GBK" w:cs="方正仿宋_GBK"/>
          <w:b/>
          <w:bCs/>
          <w:sz w:val="24"/>
          <w:szCs w:val="24"/>
          <w:lang w:val="en-US" w:eastAsia="zh-CN"/>
        </w:rPr>
        <w:t xml:space="preserve">                               </w:t>
      </w:r>
      <w:r>
        <w:rPr>
          <w:rFonts w:hint="eastAsia" w:ascii="方正仿宋_GBK" w:hAnsi="方正仿宋_GBK" w:eastAsia="方正仿宋_GBK" w:cs="方正仿宋_GBK"/>
          <w:b/>
          <w:bCs/>
          <w:sz w:val="24"/>
          <w:szCs w:val="24"/>
        </w:rPr>
        <w:t xml:space="preserve">       （以下简称乙方）</w:t>
      </w:r>
    </w:p>
    <w:p w14:paraId="6D9789D5">
      <w:pPr>
        <w:pStyle w:val="34"/>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Times New Roman" w:hAnsi="Times New Roman" w:eastAsia="方正仿宋_GBK"/>
          <w:sz w:val="28"/>
          <w:szCs w:val="28"/>
        </w:rPr>
        <w:t>为加强项目实施过程中的廉政建设，规范项目承发包双方的各项活动，防止发生各种谋取不正当利益的违法违纪行为，保护国家、集体和当事人的合法权益，根据国家有关的法律法规和廉政建设责任制规定，特订立本廉政责任书。</w:t>
      </w:r>
    </w:p>
    <w:p w14:paraId="7043EDC9">
      <w:pPr>
        <w:pStyle w:val="34"/>
        <w:spacing w:after="0" w:line="579" w:lineRule="atLeast"/>
        <w:ind w:firstLine="560" w:firstLineChars="200"/>
        <w:contextualSpacing/>
        <w:jc w:val="both"/>
        <w:rPr>
          <w:rFonts w:hint="eastAsia" w:ascii="方正黑体_GBK" w:hAnsi="方正黑体_GBK" w:eastAsia="方正黑体_GBK" w:cs="方正黑体_GBK"/>
          <w:sz w:val="28"/>
          <w:szCs w:val="28"/>
        </w:rPr>
      </w:pPr>
      <w:r>
        <w:rPr>
          <w:rFonts w:hint="eastAsia" w:ascii="方正黑体_GBK" w:hAnsi="方正黑体_GBK" w:eastAsia="方正黑体_GBK" w:cs="方正黑体_GBK"/>
          <w:sz w:val="28"/>
          <w:szCs w:val="28"/>
        </w:rPr>
        <w:t>第一条 甲、乙双方的责任</w:t>
      </w:r>
    </w:p>
    <w:p w14:paraId="4B2D1570">
      <w:pPr>
        <w:pStyle w:val="34"/>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（一）</w:t>
      </w:r>
      <w:r>
        <w:rPr>
          <w:rFonts w:hint="eastAsia" w:ascii="Times New Roman" w:hAnsi="Times New Roman" w:eastAsia="方正仿宋_GBK"/>
          <w:sz w:val="28"/>
          <w:szCs w:val="28"/>
        </w:rPr>
        <w:t>应严格遵守国家关于市场准入、项目招标投和市场活动等有关法律、法规，相关政策，以及廉政建设的各项规定。</w:t>
      </w:r>
    </w:p>
    <w:p w14:paraId="16AE1DDE">
      <w:pPr>
        <w:pStyle w:val="34"/>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（二）</w:t>
      </w:r>
      <w:r>
        <w:rPr>
          <w:rFonts w:hint="eastAsia" w:ascii="Times New Roman" w:hAnsi="Times New Roman" w:eastAsia="方正仿宋_GBK"/>
          <w:sz w:val="28"/>
          <w:szCs w:val="28"/>
        </w:rPr>
        <w:t>严格执行项目承发包合同文件，自觉按合同办事。</w:t>
      </w:r>
    </w:p>
    <w:p w14:paraId="139C66DB">
      <w:pPr>
        <w:pStyle w:val="34"/>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（三）</w:t>
      </w:r>
      <w:r>
        <w:rPr>
          <w:rFonts w:hint="eastAsia" w:ascii="Times New Roman" w:hAnsi="Times New Roman" w:eastAsia="方正仿宋_GBK"/>
          <w:sz w:val="28"/>
          <w:szCs w:val="28"/>
        </w:rPr>
        <w:t>业务活动必须坚持公开、公平、公正、诚信、透明的原则（除法律法规另有规定者外），不得为获取不正当的利益，损害国家、集体和对方利益，不得违反项目管理、施工安装的规章制度。</w:t>
      </w:r>
    </w:p>
    <w:p w14:paraId="3E9451AD">
      <w:pPr>
        <w:pStyle w:val="34"/>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（四）</w:t>
      </w:r>
      <w:r>
        <w:rPr>
          <w:rFonts w:hint="eastAsia" w:ascii="Times New Roman" w:hAnsi="Times New Roman" w:eastAsia="方正仿宋_GBK"/>
          <w:sz w:val="28"/>
          <w:szCs w:val="28"/>
        </w:rPr>
        <w:t>发现对方在业务活动中有违规、违纪、违法行为的，应及时提醒对方，情节严重的，应向其上级主管部门或纪检监察、司法等有关机关举报。</w:t>
      </w:r>
    </w:p>
    <w:p w14:paraId="326CBA87">
      <w:pPr>
        <w:pStyle w:val="34"/>
        <w:spacing w:after="0" w:line="579" w:lineRule="atLeast"/>
        <w:ind w:firstLine="560" w:firstLineChars="200"/>
        <w:contextualSpacing/>
        <w:jc w:val="both"/>
        <w:rPr>
          <w:rFonts w:hint="eastAsia" w:ascii="方正黑体_GBK" w:hAnsi="方正黑体_GBK" w:eastAsia="方正黑体_GBK" w:cs="方正黑体_GBK"/>
          <w:sz w:val="28"/>
          <w:szCs w:val="28"/>
        </w:rPr>
      </w:pPr>
      <w:r>
        <w:rPr>
          <w:rFonts w:hint="eastAsia" w:ascii="方正黑体_GBK" w:hAnsi="方正黑体_GBK" w:eastAsia="方正黑体_GBK" w:cs="方正黑体_GBK"/>
          <w:sz w:val="28"/>
          <w:szCs w:val="28"/>
        </w:rPr>
        <w:t>第二条 甲方的责任</w:t>
      </w:r>
    </w:p>
    <w:p w14:paraId="72372DB0">
      <w:pPr>
        <w:pStyle w:val="34"/>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Times New Roman" w:hAnsi="Times New Roman" w:eastAsia="方正仿宋_GBK"/>
          <w:sz w:val="28"/>
          <w:szCs w:val="28"/>
        </w:rPr>
        <w:t>甲方的领导和从事该项目管理的工作人员，在项目服务的事前、事中、事后应遵守以下规定：</w:t>
      </w:r>
    </w:p>
    <w:p w14:paraId="6C536E02">
      <w:pPr>
        <w:pStyle w:val="34"/>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（一）</w:t>
      </w:r>
      <w:r>
        <w:rPr>
          <w:rFonts w:hint="eastAsia" w:ascii="Times New Roman" w:hAnsi="Times New Roman" w:eastAsia="方正仿宋_GBK"/>
          <w:sz w:val="28"/>
          <w:szCs w:val="28"/>
        </w:rPr>
        <w:t>不准向乙方和相关单位索要或接受回扣、礼金、有价证券、贵重物品和好处费、感谢费等。</w:t>
      </w:r>
    </w:p>
    <w:p w14:paraId="19E8561F">
      <w:pPr>
        <w:pStyle w:val="34"/>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（二）</w:t>
      </w:r>
      <w:r>
        <w:rPr>
          <w:rFonts w:hint="eastAsia" w:ascii="Times New Roman" w:hAnsi="Times New Roman" w:eastAsia="方正仿宋_GBK"/>
          <w:sz w:val="28"/>
          <w:szCs w:val="28"/>
        </w:rPr>
        <w:t>不准在乙方和相关单位报销任何应由甲方或个人支付的费用。</w:t>
      </w:r>
    </w:p>
    <w:p w14:paraId="4648777B">
      <w:pPr>
        <w:pStyle w:val="34"/>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（三）</w:t>
      </w:r>
      <w:r>
        <w:rPr>
          <w:rFonts w:hint="eastAsia" w:ascii="Times New Roman" w:hAnsi="Times New Roman" w:eastAsia="方正仿宋_GBK"/>
          <w:sz w:val="28"/>
          <w:szCs w:val="28"/>
        </w:rPr>
        <w:t>不准要求、暗示和接受乙方和相关单位为个人装修住房、婚丧嫁娶、配偶子女的工作安排以及出国（境）、旅游等提供方便。</w:t>
      </w:r>
    </w:p>
    <w:p w14:paraId="6A3C7223">
      <w:pPr>
        <w:pStyle w:val="34"/>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（四）</w:t>
      </w:r>
      <w:r>
        <w:rPr>
          <w:rFonts w:hint="eastAsia" w:ascii="Times New Roman" w:hAnsi="Times New Roman" w:eastAsia="方正仿宋_GBK"/>
          <w:sz w:val="28"/>
          <w:szCs w:val="28"/>
        </w:rPr>
        <w:t>不准参加有可能影响公正执行公务的乙方和相关单位的宴请和健身、娱乐等活动。</w:t>
      </w:r>
    </w:p>
    <w:p w14:paraId="44475148">
      <w:pPr>
        <w:pStyle w:val="34"/>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（五）</w:t>
      </w:r>
      <w:r>
        <w:rPr>
          <w:rFonts w:hint="eastAsia" w:ascii="Times New Roman" w:hAnsi="Times New Roman" w:eastAsia="方正仿宋_GBK"/>
          <w:sz w:val="28"/>
          <w:szCs w:val="28"/>
        </w:rPr>
        <w:t>不准向乙方介绍或为配偶、子女、亲属参与同甲方项目合同有关的设备、材料、工程分包、劳务等经济活动。不得以任何理由向乙方和相关单位推荐分包单位和要求乙方购买项目合同规定以外的材料、设备等。</w:t>
      </w:r>
    </w:p>
    <w:p w14:paraId="094F8490">
      <w:pPr>
        <w:pStyle w:val="34"/>
        <w:spacing w:after="0" w:line="579" w:lineRule="atLeast"/>
        <w:ind w:firstLine="560" w:firstLineChars="200"/>
        <w:contextualSpacing/>
        <w:jc w:val="both"/>
        <w:rPr>
          <w:rFonts w:hint="eastAsia" w:ascii="方正黑体_GBK" w:hAnsi="方正黑体_GBK" w:eastAsia="方正黑体_GBK" w:cs="方正黑体_GBK"/>
          <w:sz w:val="28"/>
          <w:szCs w:val="28"/>
        </w:rPr>
      </w:pPr>
      <w:r>
        <w:rPr>
          <w:rFonts w:hint="eastAsia" w:ascii="方正黑体_GBK" w:hAnsi="方正黑体_GBK" w:eastAsia="方正黑体_GBK" w:cs="方正黑体_GBK"/>
          <w:sz w:val="28"/>
          <w:szCs w:val="28"/>
        </w:rPr>
        <w:t>第三条 乙方的责任</w:t>
      </w:r>
    </w:p>
    <w:p w14:paraId="2F871DEC">
      <w:pPr>
        <w:pStyle w:val="34"/>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Times New Roman" w:hAnsi="Times New Roman" w:eastAsia="方正仿宋_GBK"/>
          <w:sz w:val="28"/>
          <w:szCs w:val="28"/>
        </w:rPr>
        <w:t>应与甲方保持正常的业务交往，按照有关法律法规和程序开展业务工作，严格执行项目的有关方针、政策，并遵守以下规定：</w:t>
      </w:r>
    </w:p>
    <w:p w14:paraId="368E5650">
      <w:pPr>
        <w:pStyle w:val="34"/>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（一）</w:t>
      </w:r>
      <w:r>
        <w:rPr>
          <w:rFonts w:hint="eastAsia" w:ascii="Times New Roman" w:hAnsi="Times New Roman" w:eastAsia="方正仿宋_GBK"/>
          <w:sz w:val="28"/>
          <w:szCs w:val="28"/>
        </w:rPr>
        <w:t>不准以任何理由向甲方、相关单位及其工作人员索要、接受或赠送礼金、有价证券、贵重物品和回扣、好处费、感谢费等。</w:t>
      </w:r>
    </w:p>
    <w:p w14:paraId="66C9A142">
      <w:pPr>
        <w:pStyle w:val="34"/>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（二）</w:t>
      </w:r>
      <w:r>
        <w:rPr>
          <w:rFonts w:hint="eastAsia" w:ascii="Times New Roman" w:hAnsi="Times New Roman" w:eastAsia="方正仿宋_GBK"/>
          <w:sz w:val="28"/>
          <w:szCs w:val="28"/>
        </w:rPr>
        <w:t>不准以任何理由为甲方和相关单位报销应由对方或个人支付的费用。</w:t>
      </w:r>
    </w:p>
    <w:p w14:paraId="3F58C484">
      <w:pPr>
        <w:pStyle w:val="34"/>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（三）</w:t>
      </w:r>
      <w:r>
        <w:rPr>
          <w:rFonts w:hint="eastAsia" w:ascii="Times New Roman" w:hAnsi="Times New Roman" w:eastAsia="方正仿宋_GBK"/>
          <w:sz w:val="28"/>
          <w:szCs w:val="28"/>
        </w:rPr>
        <w:t>不准接受或暗示为甲方、相关单位或个人装修住房、婚丧嫁娶、配偶子女的工作安排以及出国（境）、旅游等提供方便。</w:t>
      </w:r>
    </w:p>
    <w:p w14:paraId="1455FD1F">
      <w:pPr>
        <w:pStyle w:val="34"/>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（四）</w:t>
      </w:r>
      <w:r>
        <w:rPr>
          <w:rFonts w:hint="eastAsia" w:ascii="Times New Roman" w:hAnsi="Times New Roman" w:eastAsia="方正仿宋_GBK"/>
          <w:sz w:val="28"/>
          <w:szCs w:val="28"/>
        </w:rPr>
        <w:t>不准以任何理由为甲方、相关单位或个人组织有可能影响公正执行公务的宴请、健身、娱乐等活动。</w:t>
      </w:r>
    </w:p>
    <w:p w14:paraId="62C2BEF1">
      <w:pPr>
        <w:pStyle w:val="34"/>
        <w:spacing w:after="0" w:line="579" w:lineRule="atLeast"/>
        <w:ind w:firstLine="560" w:firstLineChars="200"/>
        <w:contextualSpacing/>
        <w:jc w:val="both"/>
        <w:rPr>
          <w:rFonts w:hint="eastAsia" w:ascii="方正黑体_GBK" w:hAnsi="方正黑体_GBK" w:eastAsia="方正黑体_GBK" w:cs="方正黑体_GBK"/>
          <w:sz w:val="28"/>
          <w:szCs w:val="28"/>
        </w:rPr>
      </w:pPr>
      <w:r>
        <w:rPr>
          <w:rFonts w:hint="eastAsia" w:ascii="方正黑体_GBK" w:hAnsi="方正黑体_GBK" w:eastAsia="方正黑体_GBK" w:cs="方正黑体_GBK"/>
          <w:sz w:val="28"/>
          <w:szCs w:val="28"/>
        </w:rPr>
        <w:t>第四条 违约责任</w:t>
      </w:r>
    </w:p>
    <w:p w14:paraId="754174D7">
      <w:pPr>
        <w:pStyle w:val="34"/>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（一）</w:t>
      </w:r>
      <w:r>
        <w:rPr>
          <w:rFonts w:hint="eastAsia" w:ascii="Times New Roman" w:hAnsi="Times New Roman" w:eastAsia="方正仿宋_GBK"/>
          <w:sz w:val="28"/>
          <w:szCs w:val="28"/>
        </w:rPr>
        <w:t>甲方工作人员有违反本责任书第一、二条责任行为的，按照管理权限，依据有关法律法规和规定给予党纪、政纪处分或组织处理；涉嫌犯罪的，移交司法机关追究刑事责任。</w:t>
      </w:r>
    </w:p>
    <w:p w14:paraId="3FF27947">
      <w:pPr>
        <w:pStyle w:val="34"/>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（二）</w:t>
      </w:r>
      <w:r>
        <w:rPr>
          <w:rFonts w:hint="eastAsia" w:ascii="Times New Roman" w:hAnsi="Times New Roman" w:eastAsia="方正仿宋_GBK"/>
          <w:sz w:val="28"/>
          <w:szCs w:val="28"/>
        </w:rPr>
        <w:t>乙方工作人员有违反本责任书第一、三条责任行为的，按照管理权限，依据有关法律法规和规定给予党纪、政纪处分或组织处理；涉嫌犯罪的，移交司法机关追究刑事责任；给甲方单位造成经济损失的，应予以赔偿；廉政建设风险抵押金不予返还。</w:t>
      </w:r>
    </w:p>
    <w:p w14:paraId="46FA36E5">
      <w:pPr>
        <w:pStyle w:val="34"/>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 xml:space="preserve">第五条 </w:t>
      </w:r>
      <w:r>
        <w:rPr>
          <w:rFonts w:hint="eastAsia" w:ascii="Times New Roman" w:hAnsi="Times New Roman" w:eastAsia="方正仿宋_GBK"/>
          <w:sz w:val="28"/>
          <w:szCs w:val="28"/>
        </w:rPr>
        <w:t xml:space="preserve"> 本责任书作为合同的附件，与合同具有同等法律效力。经双方签署后立即生效。</w:t>
      </w:r>
    </w:p>
    <w:p w14:paraId="1F557F8D">
      <w:pPr>
        <w:pStyle w:val="34"/>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 xml:space="preserve">第六条  </w:t>
      </w:r>
      <w:r>
        <w:rPr>
          <w:rFonts w:hint="eastAsia" w:ascii="Times New Roman" w:hAnsi="Times New Roman" w:eastAsia="方正仿宋_GBK"/>
          <w:sz w:val="28"/>
          <w:szCs w:val="28"/>
        </w:rPr>
        <w:t>本责任书的有效期为双方签署之日起至该项目结束时止。</w:t>
      </w:r>
    </w:p>
    <w:p w14:paraId="5A4E2C07">
      <w:pPr>
        <w:pStyle w:val="34"/>
        <w:spacing w:line="579" w:lineRule="atLeast"/>
        <w:ind w:firstLine="480" w:firstLineChars="200"/>
        <w:contextualSpacing/>
        <w:jc w:val="both"/>
        <w:rPr>
          <w:rFonts w:ascii="Times New Roman" w:eastAsia="方正仿宋_GBK" w:cs="Times New Roman"/>
        </w:rPr>
      </w:pPr>
    </w:p>
    <w:p w14:paraId="2E644D2D">
      <w:pPr>
        <w:spacing w:after="0" w:line="579" w:lineRule="atLeast"/>
        <w:jc w:val="both"/>
        <w:rPr>
          <w:rFonts w:ascii="Times New Roman" w:hAnsi="Times New Roman" w:eastAsia="方正仿宋_GBK"/>
          <w:b/>
          <w:bCs/>
          <w:sz w:val="24"/>
        </w:rPr>
      </w:pPr>
      <w:r>
        <w:rPr>
          <w:rFonts w:ascii="Times New Roman" w:hAnsi="Times New Roman" w:eastAsia="方正仿宋_GBK"/>
          <w:b/>
          <w:bCs/>
          <w:sz w:val="24"/>
        </w:rPr>
        <w:t xml:space="preserve">甲方（盖章）                            </w:t>
      </w:r>
      <w:r>
        <w:rPr>
          <w:rFonts w:hint="eastAsia" w:ascii="Times New Roman" w:hAnsi="Times New Roman" w:eastAsia="方正仿宋_GBK"/>
          <w:b/>
          <w:bCs/>
          <w:sz w:val="24"/>
        </w:rPr>
        <w:t xml:space="preserve">       </w:t>
      </w:r>
      <w:r>
        <w:rPr>
          <w:rFonts w:ascii="Times New Roman" w:hAnsi="Times New Roman" w:eastAsia="方正仿宋_GBK"/>
          <w:b/>
          <w:bCs/>
          <w:sz w:val="24"/>
        </w:rPr>
        <w:t>乙方（盖章）</w:t>
      </w:r>
    </w:p>
    <w:p w14:paraId="5E2D4A42">
      <w:pPr>
        <w:spacing w:after="0" w:line="579" w:lineRule="atLeast"/>
        <w:jc w:val="both"/>
        <w:rPr>
          <w:rFonts w:ascii="Times New Roman" w:hAnsi="Times New Roman" w:eastAsia="方正仿宋_GBK"/>
          <w:b/>
          <w:bCs/>
          <w:sz w:val="24"/>
        </w:rPr>
      </w:pPr>
      <w:r>
        <w:rPr>
          <w:rFonts w:ascii="Times New Roman" w:hAnsi="Times New Roman" w:eastAsia="方正仿宋_GBK"/>
          <w:b/>
          <w:bCs/>
          <w:sz w:val="24"/>
        </w:rPr>
        <w:t xml:space="preserve">法定代表人（签名或盖章）                </w:t>
      </w:r>
      <w:r>
        <w:rPr>
          <w:rFonts w:hint="eastAsia" w:ascii="Times New Roman" w:hAnsi="Times New Roman" w:eastAsia="方正仿宋_GBK"/>
          <w:b/>
          <w:bCs/>
          <w:sz w:val="24"/>
        </w:rPr>
        <w:t xml:space="preserve">       </w:t>
      </w:r>
      <w:r>
        <w:rPr>
          <w:rFonts w:ascii="Times New Roman" w:hAnsi="Times New Roman" w:eastAsia="方正仿宋_GBK"/>
          <w:b/>
          <w:bCs/>
          <w:sz w:val="24"/>
        </w:rPr>
        <w:t>法定代表人（签名或盖章）</w:t>
      </w:r>
    </w:p>
    <w:p w14:paraId="08D29535">
      <w:pPr>
        <w:spacing w:after="0" w:line="579" w:lineRule="atLeast"/>
        <w:jc w:val="both"/>
        <w:rPr>
          <w:rFonts w:hint="eastAsia" w:ascii="Times New Roman" w:hAnsi="Times New Roman" w:eastAsia="方正仿宋_GBK"/>
          <w:b/>
          <w:bCs/>
          <w:sz w:val="24"/>
        </w:rPr>
      </w:pPr>
      <w:r>
        <w:rPr>
          <w:rFonts w:ascii="Times New Roman" w:hAnsi="Times New Roman" w:eastAsia="方正仿宋_GBK"/>
          <w:b/>
          <w:bCs/>
          <w:sz w:val="24"/>
        </w:rPr>
        <w:t xml:space="preserve">或委托代理人（签名）                   </w:t>
      </w:r>
      <w:r>
        <w:rPr>
          <w:rFonts w:hint="eastAsia" w:ascii="Times New Roman" w:hAnsi="Times New Roman" w:eastAsia="方正仿宋_GBK"/>
          <w:b/>
          <w:bCs/>
          <w:sz w:val="24"/>
        </w:rPr>
        <w:t xml:space="preserve">        </w:t>
      </w:r>
      <w:r>
        <w:rPr>
          <w:rFonts w:ascii="Times New Roman" w:hAnsi="Times New Roman" w:eastAsia="方正仿宋_GBK"/>
          <w:b/>
          <w:bCs/>
          <w:sz w:val="24"/>
        </w:rPr>
        <w:t>或委托代理人（签名）</w:t>
      </w:r>
    </w:p>
    <w:p w14:paraId="2706D55B">
      <w:pPr>
        <w:spacing w:after="0" w:line="579" w:lineRule="atLeast"/>
        <w:jc w:val="center"/>
        <w:rPr>
          <w:rFonts w:hint="eastAsia" w:ascii="Times New Roman" w:hAnsi="Times New Roman" w:eastAsia="方正仿宋_GBK"/>
          <w:b/>
          <w:bCs/>
          <w:sz w:val="24"/>
          <w:lang w:val="en-US" w:eastAsia="zh-CN"/>
        </w:rPr>
      </w:pPr>
      <w:r>
        <w:rPr>
          <w:rFonts w:hint="eastAsia" w:ascii="Times New Roman" w:hAnsi="Times New Roman" w:eastAsia="方正仿宋_GBK"/>
          <w:b/>
          <w:bCs/>
          <w:sz w:val="24"/>
          <w:lang w:val="en-US" w:eastAsia="zh-CN"/>
        </w:rPr>
        <w:t xml:space="preserve">                                               </w:t>
      </w:r>
    </w:p>
    <w:p w14:paraId="20252DFD">
      <w:pPr>
        <w:spacing w:after="0" w:line="579" w:lineRule="atLeast"/>
        <w:jc w:val="center"/>
        <w:rPr>
          <w:rFonts w:ascii="Times New Roman" w:hAnsi="Times New Roman" w:eastAsia="方正仿宋_GBK"/>
          <w:b/>
          <w:bCs/>
          <w:sz w:val="32"/>
          <w:szCs w:val="32"/>
        </w:rPr>
      </w:pPr>
      <w:r>
        <w:rPr>
          <w:rFonts w:hint="eastAsia" w:ascii="Times New Roman" w:hAnsi="Times New Roman" w:eastAsia="方正仿宋_GBK"/>
          <w:b/>
          <w:bCs/>
          <w:sz w:val="24"/>
          <w:lang w:val="en-US" w:eastAsia="zh-CN"/>
        </w:rPr>
        <w:t xml:space="preserve">      </w:t>
      </w:r>
      <w:r>
        <w:rPr>
          <w:rFonts w:hint="eastAsia" w:ascii="Times New Roman" w:hAnsi="Times New Roman" w:eastAsia="方正仿宋_GBK"/>
          <w:b/>
          <w:bCs/>
          <w:sz w:val="24"/>
        </w:rPr>
        <w:t xml:space="preserve"> </w:t>
      </w:r>
      <w:r>
        <w:rPr>
          <w:rFonts w:ascii="Times New Roman" w:hAnsi="Times New Roman" w:eastAsia="方正仿宋_GBK"/>
          <w:b/>
          <w:bCs/>
          <w:sz w:val="24"/>
        </w:rPr>
        <w:t>年</w:t>
      </w:r>
      <w:r>
        <w:rPr>
          <w:rFonts w:hint="eastAsia" w:ascii="Times New Roman" w:hAnsi="Times New Roman" w:eastAsia="方正仿宋_GBK"/>
          <w:b/>
          <w:bCs/>
          <w:sz w:val="24"/>
          <w:lang w:val="en-US" w:eastAsia="zh-CN"/>
        </w:rPr>
        <w:t xml:space="preserve">    </w:t>
      </w:r>
      <w:r>
        <w:rPr>
          <w:rFonts w:ascii="Times New Roman" w:hAnsi="Times New Roman" w:eastAsia="方正仿宋_GBK"/>
          <w:b/>
          <w:bCs/>
          <w:sz w:val="24"/>
        </w:rPr>
        <w:t>月</w:t>
      </w:r>
      <w:r>
        <w:rPr>
          <w:rFonts w:hint="eastAsia" w:ascii="Times New Roman" w:hAnsi="Times New Roman" w:eastAsia="方正仿宋_GBK"/>
          <w:b/>
          <w:bCs/>
          <w:sz w:val="24"/>
          <w:lang w:val="en-US" w:eastAsia="zh-CN"/>
        </w:rPr>
        <w:t xml:space="preserve">    </w:t>
      </w:r>
      <w:r>
        <w:rPr>
          <w:rFonts w:ascii="Times New Roman" w:hAnsi="Times New Roman" w:eastAsia="方正仿宋_GBK"/>
          <w:b/>
          <w:bCs/>
          <w:sz w:val="24"/>
        </w:rPr>
        <w:t>日</w:t>
      </w:r>
    </w:p>
    <w:p w14:paraId="0B5C69DD">
      <w:pPr>
        <w:keepNext w:val="0"/>
        <w:keepLines w:val="0"/>
        <w:pageBreakBefore w:val="0"/>
        <w:widowControl/>
        <w:kinsoku/>
        <w:wordWrap/>
        <w:overflowPunct/>
        <w:topLinePunct w:val="0"/>
        <w:bidi w:val="0"/>
        <w:adjustRightInd w:val="0"/>
        <w:snapToGrid w:val="0"/>
        <w:spacing w:after="0" w:line="579" w:lineRule="atLeast"/>
        <w:jc w:val="center"/>
        <w:textAlignment w:val="auto"/>
        <w:rPr>
          <w:rFonts w:hint="default" w:ascii="Times New Roman" w:hAnsi="Times New Roman" w:eastAsia="方正仿宋_GBK" w:cs="Times New Roman"/>
          <w:b/>
          <w:bCs/>
          <w:color w:val="auto"/>
          <w:kern w:val="0"/>
          <w:sz w:val="24"/>
          <w:highlight w:val="none"/>
        </w:rPr>
      </w:pPr>
    </w:p>
    <w:p w14:paraId="669456BD">
      <w:pPr>
        <w:keepNext w:val="0"/>
        <w:keepLines w:val="0"/>
        <w:pageBreakBefore w:val="0"/>
        <w:widowControl/>
        <w:kinsoku/>
        <w:wordWrap/>
        <w:overflowPunct/>
        <w:topLinePunct w:val="0"/>
        <w:bidi w:val="0"/>
        <w:adjustRightInd w:val="0"/>
        <w:snapToGrid w:val="0"/>
        <w:spacing w:after="0" w:line="579" w:lineRule="atLeast"/>
        <w:jc w:val="center"/>
        <w:textAlignment w:val="auto"/>
        <w:rPr>
          <w:rFonts w:hint="eastAsia" w:ascii="Times New Roman" w:hAnsi="Times New Roman" w:eastAsia="方正仿宋_GBK" w:cs="Times New Roman"/>
          <w:b/>
          <w:bCs/>
          <w:color w:val="auto"/>
          <w:kern w:val="0"/>
          <w:sz w:val="24"/>
          <w:highlight w:val="none"/>
        </w:rPr>
      </w:pPr>
    </w:p>
    <w:p w14:paraId="59E79190">
      <w:pPr>
        <w:pStyle w:val="12"/>
        <w:rPr>
          <w:rFonts w:hint="eastAsia" w:ascii="Times New Roman" w:hAnsi="Times New Roman" w:eastAsia="方正仿宋_GBK" w:cs="Times New Roman"/>
          <w:b/>
          <w:bCs/>
          <w:color w:val="auto"/>
          <w:kern w:val="0"/>
          <w:sz w:val="24"/>
          <w:highlight w:val="none"/>
        </w:rPr>
      </w:pPr>
    </w:p>
    <w:p w14:paraId="6957FF43">
      <w:pPr>
        <w:pStyle w:val="12"/>
        <w:rPr>
          <w:rFonts w:hint="eastAsia" w:ascii="Times New Roman" w:hAnsi="Times New Roman" w:eastAsia="方正仿宋_GBK" w:cs="Times New Roman"/>
          <w:b/>
          <w:bCs/>
          <w:color w:val="auto"/>
          <w:kern w:val="0"/>
          <w:sz w:val="24"/>
          <w:highlight w:val="none"/>
        </w:rPr>
      </w:pPr>
    </w:p>
    <w:p w14:paraId="7B00A02B">
      <w:pPr>
        <w:pStyle w:val="12"/>
        <w:rPr>
          <w:rFonts w:hint="eastAsia" w:ascii="Times New Roman" w:hAnsi="Times New Roman" w:eastAsia="方正仿宋_GBK" w:cs="Times New Roman"/>
          <w:b/>
          <w:bCs/>
          <w:color w:val="auto"/>
          <w:kern w:val="0"/>
          <w:sz w:val="24"/>
          <w:highlight w:val="none"/>
        </w:rPr>
      </w:pPr>
    </w:p>
    <w:p w14:paraId="2C64D323">
      <w:pPr>
        <w:pStyle w:val="12"/>
        <w:rPr>
          <w:rFonts w:hint="eastAsia" w:ascii="Times New Roman" w:hAnsi="Times New Roman" w:eastAsia="方正仿宋_GBK" w:cs="Times New Roman"/>
          <w:b/>
          <w:bCs/>
          <w:color w:val="auto"/>
          <w:kern w:val="0"/>
          <w:sz w:val="24"/>
          <w:highlight w:val="none"/>
        </w:rPr>
      </w:pPr>
    </w:p>
    <w:p w14:paraId="433E1DEA">
      <w:pPr>
        <w:pStyle w:val="12"/>
        <w:rPr>
          <w:rFonts w:hint="eastAsia" w:ascii="Times New Roman" w:hAnsi="Times New Roman" w:eastAsia="方正仿宋_GBK" w:cs="Times New Roman"/>
          <w:b/>
          <w:bCs/>
          <w:color w:val="auto"/>
          <w:kern w:val="0"/>
          <w:sz w:val="24"/>
          <w:highlight w:val="none"/>
        </w:rPr>
      </w:pPr>
    </w:p>
    <w:p w14:paraId="30EFC97E">
      <w:pPr>
        <w:pStyle w:val="12"/>
        <w:rPr>
          <w:rFonts w:hint="eastAsia" w:ascii="Times New Roman" w:hAnsi="Times New Roman" w:eastAsia="方正仿宋_GBK" w:cs="Times New Roman"/>
          <w:b/>
          <w:bCs/>
          <w:color w:val="auto"/>
          <w:kern w:val="0"/>
          <w:sz w:val="24"/>
          <w:highlight w:val="none"/>
        </w:rPr>
      </w:pPr>
    </w:p>
    <w:p w14:paraId="3B382B15">
      <w:pPr>
        <w:pStyle w:val="12"/>
        <w:rPr>
          <w:rFonts w:hint="eastAsia" w:ascii="Times New Roman" w:hAnsi="Times New Roman" w:eastAsia="方正仿宋_GBK" w:cs="Times New Roman"/>
          <w:b/>
          <w:bCs/>
          <w:color w:val="auto"/>
          <w:kern w:val="0"/>
          <w:sz w:val="24"/>
          <w:highlight w:val="none"/>
        </w:rPr>
      </w:pPr>
    </w:p>
    <w:p w14:paraId="6F5B56E0">
      <w:pPr>
        <w:pStyle w:val="12"/>
        <w:rPr>
          <w:rFonts w:hint="eastAsia" w:ascii="Times New Roman" w:hAnsi="Times New Roman" w:eastAsia="方正仿宋_GBK" w:cs="Times New Roman"/>
          <w:b/>
          <w:bCs/>
          <w:color w:val="auto"/>
          <w:kern w:val="0"/>
          <w:sz w:val="24"/>
          <w:highlight w:val="none"/>
        </w:rPr>
      </w:pPr>
    </w:p>
    <w:p w14:paraId="1ED94817">
      <w:pPr>
        <w:pStyle w:val="12"/>
        <w:rPr>
          <w:rFonts w:hint="eastAsia" w:ascii="Times New Roman" w:hAnsi="Times New Roman" w:eastAsia="方正仿宋_GBK" w:cs="Times New Roman"/>
          <w:b/>
          <w:bCs/>
          <w:color w:val="auto"/>
          <w:kern w:val="0"/>
          <w:sz w:val="24"/>
          <w:highlight w:val="none"/>
        </w:rPr>
      </w:pPr>
    </w:p>
    <w:p w14:paraId="7DE9D414">
      <w:pPr>
        <w:pStyle w:val="2"/>
        <w:keepNext/>
        <w:keepLines/>
        <w:pageBreakBefore w:val="0"/>
        <w:widowControl w:val="0"/>
        <w:numPr>
          <w:ilvl w:val="0"/>
          <w:numId w:val="0"/>
        </w:numPr>
        <w:tabs>
          <w:tab w:val="left" w:pos="0"/>
          <w:tab w:val="clear" w:pos="360"/>
        </w:tabs>
        <w:kinsoku/>
        <w:wordWrap/>
        <w:overflowPunct/>
        <w:topLinePunct w:val="0"/>
        <w:autoSpaceDE w:val="0"/>
        <w:autoSpaceDN w:val="0"/>
        <w:bidi w:val="0"/>
        <w:adjustRightInd w:val="0"/>
        <w:snapToGrid/>
        <w:jc w:val="center"/>
        <w:textAlignment w:val="baseline"/>
        <w:rPr>
          <w:rFonts w:hint="eastAsia" w:ascii="仿宋" w:hAnsi="仿宋" w:eastAsia="仿宋" w:cs="仿宋"/>
          <w:snapToGrid w:val="0"/>
          <w:sz w:val="44"/>
          <w:szCs w:val="44"/>
        </w:rPr>
      </w:pPr>
      <w:bookmarkStart w:id="26" w:name="_Toc15860"/>
      <w:r>
        <w:rPr>
          <w:rFonts w:hint="eastAsia" w:ascii="仿宋" w:hAnsi="仿宋" w:eastAsia="仿宋" w:cs="仿宋"/>
          <w:snapToGrid w:val="0"/>
          <w:sz w:val="44"/>
          <w:szCs w:val="44"/>
        </w:rPr>
        <w:t>第</w:t>
      </w:r>
      <w:r>
        <w:rPr>
          <w:rFonts w:hint="eastAsia" w:ascii="仿宋" w:hAnsi="仿宋" w:eastAsia="仿宋" w:cs="仿宋"/>
          <w:snapToGrid w:val="0"/>
          <w:sz w:val="44"/>
          <w:szCs w:val="44"/>
          <w:lang w:eastAsia="zh-CN"/>
        </w:rPr>
        <w:t>五</w:t>
      </w:r>
      <w:r>
        <w:rPr>
          <w:rFonts w:hint="eastAsia" w:ascii="仿宋" w:hAnsi="仿宋" w:eastAsia="仿宋" w:cs="仿宋"/>
          <w:snapToGrid w:val="0"/>
          <w:sz w:val="44"/>
          <w:szCs w:val="44"/>
        </w:rPr>
        <w:t>部分    报价文件格式</w:t>
      </w:r>
      <w:bookmarkEnd w:id="12"/>
      <w:bookmarkEnd w:id="26"/>
    </w:p>
    <w:p w14:paraId="43C9EF44">
      <w:pPr>
        <w:spacing w:line="480" w:lineRule="auto"/>
        <w:jc w:val="right"/>
        <w:rPr>
          <w:rFonts w:hint="eastAsia" w:ascii="仿宋" w:hAnsi="仿宋" w:eastAsia="仿宋" w:cs="仿宋"/>
          <w:sz w:val="32"/>
        </w:rPr>
      </w:pPr>
    </w:p>
    <w:p w14:paraId="6D16F87F">
      <w:pPr>
        <w:rPr>
          <w:rFonts w:hint="eastAsia" w:ascii="仿宋" w:hAnsi="仿宋" w:eastAsia="仿宋" w:cs="仿宋"/>
          <w:sz w:val="44"/>
        </w:rPr>
      </w:pPr>
    </w:p>
    <w:p w14:paraId="3EFA8C98">
      <w:pPr>
        <w:spacing w:line="360" w:lineRule="auto"/>
        <w:jc w:val="center"/>
        <w:rPr>
          <w:rFonts w:hint="eastAsia" w:ascii="仿宋" w:hAnsi="仿宋" w:eastAsia="仿宋" w:cs="仿宋"/>
          <w:sz w:val="52"/>
          <w:highlight w:val="none"/>
          <w:lang w:val="en-US" w:eastAsia="zh-CN"/>
        </w:rPr>
      </w:pPr>
      <w:r>
        <w:rPr>
          <w:rFonts w:hint="eastAsia" w:ascii="仿宋" w:hAnsi="仿宋" w:eastAsia="仿宋" w:cs="仿宋"/>
          <w:sz w:val="52"/>
          <w:highlight w:val="none"/>
          <w:lang w:val="en-US" w:eastAsia="zh-CN"/>
        </w:rPr>
        <w:t>绍兴市再生能源发展有限公司</w:t>
      </w:r>
    </w:p>
    <w:p w14:paraId="1BF065C3">
      <w:pPr>
        <w:spacing w:line="360" w:lineRule="auto"/>
        <w:jc w:val="center"/>
        <w:rPr>
          <w:rFonts w:hint="eastAsia" w:ascii="仿宋" w:hAnsi="仿宋" w:eastAsia="仿宋" w:cs="仿宋"/>
          <w:sz w:val="52"/>
          <w:highlight w:val="none"/>
        </w:rPr>
      </w:pPr>
      <w:r>
        <w:rPr>
          <w:rFonts w:hint="eastAsia" w:ascii="仿宋" w:hAnsi="仿宋" w:eastAsia="仿宋" w:cs="仿宋"/>
          <w:sz w:val="52"/>
          <w:highlight w:val="none"/>
          <w:lang w:val="en-US" w:eastAsia="zh-CN"/>
        </w:rPr>
        <w:t>雾化器年度保养项目</w:t>
      </w:r>
    </w:p>
    <w:p w14:paraId="43E2F06B">
      <w:pPr>
        <w:spacing w:line="360" w:lineRule="auto"/>
        <w:jc w:val="center"/>
        <w:rPr>
          <w:rFonts w:hint="default" w:ascii="仿宋" w:hAnsi="仿宋" w:eastAsia="仿宋" w:cs="仿宋"/>
          <w:sz w:val="36"/>
          <w:lang w:val="en-US" w:eastAsia="zh-CN"/>
        </w:rPr>
      </w:pPr>
      <w:r>
        <w:rPr>
          <w:rFonts w:hint="eastAsia" w:ascii="仿宋" w:hAnsi="仿宋" w:eastAsia="仿宋" w:cs="仿宋"/>
          <w:sz w:val="36"/>
        </w:rPr>
        <w:t>采购编号：</w:t>
      </w:r>
      <w:r>
        <w:rPr>
          <w:rFonts w:hint="eastAsia" w:ascii="仿宋" w:hAnsi="仿宋" w:eastAsia="仿宋" w:cs="仿宋"/>
          <w:sz w:val="36"/>
          <w:lang w:val="en-US" w:eastAsia="zh-CN"/>
        </w:rPr>
        <w:t>SX-CG-WH-2609015</w:t>
      </w:r>
    </w:p>
    <w:p w14:paraId="6F7EC41B">
      <w:pPr>
        <w:rPr>
          <w:rFonts w:hint="eastAsia" w:ascii="仿宋" w:hAnsi="仿宋" w:eastAsia="仿宋" w:cs="仿宋"/>
          <w:sz w:val="44"/>
        </w:rPr>
      </w:pPr>
    </w:p>
    <w:p w14:paraId="1B8AF216">
      <w:pPr>
        <w:rPr>
          <w:rFonts w:hint="eastAsia" w:ascii="仿宋" w:hAnsi="仿宋" w:eastAsia="仿宋" w:cs="仿宋"/>
          <w:sz w:val="44"/>
        </w:rPr>
      </w:pPr>
    </w:p>
    <w:p w14:paraId="258D6BE4">
      <w:pPr>
        <w:rPr>
          <w:rFonts w:hint="eastAsia" w:ascii="仿宋" w:hAnsi="仿宋" w:eastAsia="仿宋" w:cs="仿宋"/>
          <w:sz w:val="84"/>
        </w:rPr>
      </w:pPr>
    </w:p>
    <w:p w14:paraId="14083582">
      <w:pPr>
        <w:jc w:val="center"/>
        <w:rPr>
          <w:rFonts w:hint="eastAsia" w:ascii="仿宋" w:hAnsi="仿宋" w:eastAsia="仿宋" w:cs="仿宋"/>
          <w:sz w:val="84"/>
        </w:rPr>
      </w:pPr>
      <w:r>
        <w:rPr>
          <w:rFonts w:hint="eastAsia" w:ascii="仿宋" w:hAnsi="仿宋" w:eastAsia="仿宋" w:cs="仿宋"/>
          <w:sz w:val="84"/>
        </w:rPr>
        <w:t>报价文件</w:t>
      </w:r>
    </w:p>
    <w:p w14:paraId="763E3073">
      <w:pPr>
        <w:jc w:val="center"/>
        <w:rPr>
          <w:rFonts w:hint="eastAsia" w:ascii="仿宋" w:hAnsi="仿宋" w:eastAsia="仿宋" w:cs="仿宋"/>
          <w:sz w:val="24"/>
        </w:rPr>
      </w:pPr>
    </w:p>
    <w:p w14:paraId="1DF28980">
      <w:pPr>
        <w:jc w:val="center"/>
        <w:rPr>
          <w:rFonts w:hint="eastAsia" w:ascii="仿宋" w:hAnsi="仿宋" w:eastAsia="仿宋" w:cs="仿宋"/>
          <w:sz w:val="24"/>
        </w:rPr>
      </w:pPr>
    </w:p>
    <w:p w14:paraId="77C3BD23">
      <w:pPr>
        <w:spacing w:line="480" w:lineRule="auto"/>
        <w:jc w:val="center"/>
        <w:rPr>
          <w:rFonts w:hint="eastAsia" w:ascii="仿宋" w:hAnsi="仿宋" w:eastAsia="仿宋" w:cs="仿宋"/>
          <w:sz w:val="24"/>
        </w:rPr>
      </w:pPr>
    </w:p>
    <w:p w14:paraId="53DBF7AE">
      <w:pPr>
        <w:spacing w:line="480" w:lineRule="auto"/>
        <w:jc w:val="center"/>
        <w:rPr>
          <w:rFonts w:hint="eastAsia" w:ascii="仿宋" w:hAnsi="仿宋" w:eastAsia="仿宋" w:cs="仿宋"/>
          <w:sz w:val="24"/>
        </w:rPr>
      </w:pPr>
    </w:p>
    <w:p w14:paraId="5B6FC157">
      <w:pPr>
        <w:spacing w:line="480" w:lineRule="auto"/>
        <w:jc w:val="center"/>
        <w:rPr>
          <w:rFonts w:hint="default" w:ascii="仿宋" w:hAnsi="仿宋" w:eastAsia="仿宋" w:cs="仿宋"/>
          <w:sz w:val="36"/>
          <w:lang w:val="en-US" w:eastAsia="zh-CN"/>
        </w:rPr>
      </w:pPr>
      <w:r>
        <w:rPr>
          <w:rFonts w:hint="eastAsia" w:ascii="仿宋" w:hAnsi="仿宋" w:eastAsia="仿宋" w:cs="仿宋"/>
          <w:sz w:val="36"/>
        </w:rPr>
        <w:t>报价单位全称</w:t>
      </w:r>
      <w:r>
        <w:rPr>
          <w:rFonts w:hint="eastAsia" w:ascii="仿宋" w:hAnsi="仿宋" w:eastAsia="仿宋" w:cs="仿宋"/>
          <w:sz w:val="36"/>
          <w:lang w:eastAsia="zh-CN"/>
        </w:rPr>
        <w:t>：</w:t>
      </w:r>
      <w:r>
        <w:rPr>
          <w:rFonts w:hint="eastAsia" w:ascii="仿宋" w:hAnsi="仿宋" w:eastAsia="仿宋" w:cs="仿宋"/>
          <w:sz w:val="36"/>
          <w:lang w:val="en-US" w:eastAsia="zh-CN"/>
        </w:rPr>
        <w:t>**</w:t>
      </w:r>
    </w:p>
    <w:p w14:paraId="29704C65">
      <w:pPr>
        <w:spacing w:line="480" w:lineRule="auto"/>
        <w:ind w:firstLine="3240" w:firstLineChars="900"/>
        <w:rPr>
          <w:rFonts w:hint="eastAsia" w:ascii="仿宋" w:hAnsi="仿宋" w:eastAsia="仿宋" w:cs="仿宋"/>
          <w:sz w:val="36"/>
        </w:rPr>
      </w:pPr>
      <w:r>
        <w:rPr>
          <w:rFonts w:hint="default" w:ascii="仿宋" w:hAnsi="仿宋" w:eastAsia="仿宋" w:cs="仿宋"/>
          <w:sz w:val="36"/>
          <w:lang w:val="en-US"/>
        </w:rPr>
        <w:t>202</w:t>
      </w:r>
      <w:r>
        <w:rPr>
          <w:rFonts w:hint="eastAsia" w:ascii="仿宋" w:hAnsi="仿宋" w:eastAsia="仿宋" w:cs="仿宋"/>
          <w:sz w:val="36"/>
          <w:lang w:val="en-US" w:eastAsia="zh-CN"/>
        </w:rPr>
        <w:t>6</w:t>
      </w:r>
      <w:r>
        <w:rPr>
          <w:rFonts w:hint="default" w:ascii="仿宋" w:hAnsi="仿宋" w:eastAsia="仿宋" w:cs="仿宋"/>
          <w:sz w:val="36"/>
          <w:lang w:val="en-US"/>
        </w:rPr>
        <w:t>年</w:t>
      </w:r>
      <w:r>
        <w:rPr>
          <w:rFonts w:hint="eastAsia" w:ascii="仿宋" w:hAnsi="仿宋" w:eastAsia="仿宋" w:cs="仿宋"/>
          <w:sz w:val="36"/>
          <w:lang w:val="en-US" w:eastAsia="zh-CN"/>
        </w:rPr>
        <w:t xml:space="preserve">   </w:t>
      </w:r>
      <w:r>
        <w:rPr>
          <w:rFonts w:hint="eastAsia" w:ascii="仿宋" w:hAnsi="仿宋" w:eastAsia="仿宋" w:cs="仿宋"/>
          <w:sz w:val="36"/>
        </w:rPr>
        <w:t>月</w:t>
      </w:r>
      <w:r>
        <w:rPr>
          <w:rFonts w:hint="eastAsia" w:ascii="仿宋" w:hAnsi="仿宋" w:eastAsia="仿宋" w:cs="仿宋"/>
          <w:sz w:val="36"/>
          <w:lang w:val="en-US" w:eastAsia="zh-CN"/>
        </w:rPr>
        <w:t xml:space="preserve">  </w:t>
      </w:r>
      <w:r>
        <w:rPr>
          <w:rFonts w:hint="eastAsia" w:ascii="仿宋" w:hAnsi="仿宋" w:eastAsia="仿宋" w:cs="仿宋"/>
          <w:sz w:val="36"/>
        </w:rPr>
        <w:t>日</w:t>
      </w:r>
    </w:p>
    <w:p w14:paraId="0298C5E0">
      <w:pPr>
        <w:adjustRightInd w:val="0"/>
        <w:snapToGrid w:val="0"/>
        <w:spacing w:line="360" w:lineRule="auto"/>
        <w:ind w:right="480"/>
        <w:jc w:val="left"/>
        <w:rPr>
          <w:rFonts w:hint="eastAsia" w:ascii="仿宋" w:hAnsi="仿宋" w:eastAsia="仿宋" w:cs="仿宋"/>
          <w:sz w:val="30"/>
        </w:rPr>
      </w:pPr>
      <w:r>
        <w:rPr>
          <w:rStyle w:val="20"/>
          <w:rFonts w:hint="eastAsia" w:ascii="仿宋" w:hAnsi="仿宋" w:eastAsia="仿宋" w:cs="仿宋"/>
          <w:sz w:val="30"/>
        </w:rPr>
        <w:br w:type="page"/>
      </w:r>
    </w:p>
    <w:p w14:paraId="623006FE">
      <w:pPr>
        <w:adjustRightInd w:val="0"/>
        <w:snapToGrid w:val="0"/>
        <w:spacing w:line="360" w:lineRule="auto"/>
        <w:ind w:right="480"/>
        <w:jc w:val="left"/>
        <w:rPr>
          <w:rStyle w:val="20"/>
          <w:rFonts w:hint="eastAsia" w:ascii="仿宋" w:hAnsi="仿宋" w:eastAsia="仿宋" w:cs="仿宋"/>
          <w:sz w:val="30"/>
        </w:rPr>
        <w:sectPr>
          <w:footerReference r:id="rId3" w:type="default"/>
          <w:pgSz w:w="11906" w:h="16838"/>
          <w:pgMar w:top="1701" w:right="1418" w:bottom="1134" w:left="1418" w:header="851" w:footer="992" w:gutter="0"/>
          <w:cols w:space="720" w:num="1"/>
          <w:titlePg/>
          <w:docGrid w:linePitch="312" w:charSpace="0"/>
        </w:sectPr>
      </w:pPr>
    </w:p>
    <w:p w14:paraId="23E69E62">
      <w:pPr>
        <w:jc w:val="left"/>
        <w:outlineLvl w:val="0"/>
        <w:rPr>
          <w:rStyle w:val="20"/>
          <w:rFonts w:hint="eastAsia" w:ascii="仿宋" w:hAnsi="仿宋" w:eastAsia="仿宋" w:cs="仿宋"/>
          <w:sz w:val="30"/>
        </w:rPr>
      </w:pPr>
      <w:bookmarkStart w:id="27" w:name="_Toc21948"/>
      <w:r>
        <w:rPr>
          <w:rStyle w:val="20"/>
          <w:rFonts w:hint="eastAsia" w:ascii="仿宋" w:hAnsi="仿宋" w:eastAsia="仿宋" w:cs="仿宋"/>
          <w:sz w:val="30"/>
        </w:rPr>
        <w:t>附件一：</w:t>
      </w:r>
      <w:bookmarkEnd w:id="27"/>
    </w:p>
    <w:p w14:paraId="7B642CA0">
      <w:pPr>
        <w:jc w:val="left"/>
        <w:outlineLvl w:val="0"/>
        <w:rPr>
          <w:rStyle w:val="20"/>
          <w:rFonts w:hint="eastAsia" w:ascii="仿宋" w:hAnsi="仿宋" w:eastAsia="仿宋" w:cs="仿宋"/>
          <w:sz w:val="30"/>
        </w:rPr>
      </w:pPr>
    </w:p>
    <w:p w14:paraId="651C434B">
      <w:pPr>
        <w:spacing w:line="360" w:lineRule="auto"/>
        <w:jc w:val="center"/>
        <w:rPr>
          <w:rFonts w:hint="eastAsia" w:ascii="仿宋" w:hAnsi="仿宋" w:eastAsia="仿宋" w:cs="仿宋"/>
          <w:b/>
          <w:sz w:val="44"/>
        </w:rPr>
      </w:pPr>
      <w:r>
        <w:rPr>
          <w:rFonts w:hint="eastAsia" w:ascii="仿宋" w:hAnsi="仿宋" w:eastAsia="仿宋" w:cs="仿宋"/>
          <w:b/>
          <w:sz w:val="44"/>
          <w:lang w:val="en-US" w:eastAsia="zh-CN"/>
        </w:rPr>
        <w:t>报 价 资 格</w:t>
      </w:r>
      <w:r>
        <w:rPr>
          <w:rFonts w:hint="eastAsia" w:ascii="仿宋" w:hAnsi="仿宋" w:eastAsia="仿宋" w:cs="仿宋"/>
          <w:b/>
          <w:sz w:val="44"/>
        </w:rPr>
        <w:t xml:space="preserve"> 一 览 表</w:t>
      </w:r>
    </w:p>
    <w:p w14:paraId="5A6FD88B">
      <w:pPr>
        <w:pStyle w:val="21"/>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ascii="仿宋" w:hAnsi="仿宋" w:eastAsia="仿宋" w:cs="仿宋"/>
          <w:b w:val="0"/>
          <w:sz w:val="30"/>
          <w:szCs w:val="30"/>
        </w:rPr>
      </w:pPr>
      <w:r>
        <w:rPr>
          <w:rFonts w:hint="eastAsia" w:ascii="仿宋" w:hAnsi="仿宋" w:eastAsia="仿宋" w:cs="仿宋"/>
          <w:b w:val="0"/>
          <w:sz w:val="30"/>
          <w:szCs w:val="30"/>
          <w:lang w:eastAsia="zh-CN"/>
        </w:rPr>
        <w:t>绍兴市再生能源发展有限公司</w:t>
      </w:r>
      <w:r>
        <w:rPr>
          <w:rFonts w:hint="eastAsia" w:ascii="仿宋" w:hAnsi="仿宋" w:eastAsia="仿宋" w:cs="仿宋"/>
          <w:b w:val="0"/>
          <w:sz w:val="30"/>
          <w:szCs w:val="30"/>
        </w:rPr>
        <w:t>：</w:t>
      </w:r>
    </w:p>
    <w:p w14:paraId="0CDC75A8">
      <w:pPr>
        <w:keepNext w:val="0"/>
        <w:keepLines w:val="0"/>
        <w:pageBreakBefore w:val="0"/>
        <w:widowControl w:val="0"/>
        <w:kinsoku/>
        <w:wordWrap/>
        <w:overflowPunct/>
        <w:topLinePunct w:val="0"/>
        <w:autoSpaceDE/>
        <w:autoSpaceDN/>
        <w:bidi w:val="0"/>
        <w:adjustRightInd/>
        <w:snapToGrid w:val="0"/>
        <w:spacing w:line="360" w:lineRule="auto"/>
        <w:ind w:firstLine="560" w:firstLineChars="200"/>
        <w:jc w:val="left"/>
        <w:textAlignment w:val="auto"/>
        <w:rPr>
          <w:rFonts w:hint="eastAsia" w:ascii="仿宋" w:hAnsi="仿宋" w:eastAsia="仿宋" w:cs="仿宋"/>
          <w:sz w:val="30"/>
          <w:szCs w:val="30"/>
          <w:u w:val="none"/>
          <w:lang w:val="en-US" w:eastAsia="zh-CN"/>
        </w:rPr>
      </w:pPr>
      <w:r>
        <w:rPr>
          <w:rFonts w:hint="eastAsia" w:ascii="仿宋_GB2312" w:eastAsia="仿宋_GB2312"/>
          <w:sz w:val="28"/>
          <w:szCs w:val="28"/>
        </w:rPr>
        <w:t>我公司</w:t>
      </w:r>
      <w:r>
        <w:rPr>
          <w:rFonts w:hint="eastAsia" w:ascii="仿宋_GB2312" w:eastAsia="仿宋_GB2312"/>
          <w:sz w:val="28"/>
          <w:szCs w:val="28"/>
          <w:u w:val="single"/>
        </w:rPr>
        <w:t xml:space="preserve">        （报价单位名称）         </w:t>
      </w:r>
      <w:r>
        <w:rPr>
          <w:rFonts w:hint="eastAsia" w:ascii="仿宋_GB2312" w:eastAsia="仿宋_GB2312"/>
          <w:sz w:val="28"/>
          <w:szCs w:val="28"/>
        </w:rPr>
        <w:t>根据贵单位询价文件要求，</w:t>
      </w:r>
      <w:r>
        <w:rPr>
          <w:rFonts w:hint="eastAsia" w:ascii="仿宋_GB2312" w:eastAsia="仿宋_GB2312"/>
          <w:sz w:val="28"/>
          <w:szCs w:val="28"/>
          <w:lang w:eastAsia="zh-CN"/>
        </w:rPr>
        <w:t>委派</w:t>
      </w:r>
      <w:r>
        <w:rPr>
          <w:rFonts w:hint="eastAsia" w:ascii="仿宋_GB2312" w:eastAsia="仿宋_GB2312"/>
          <w:sz w:val="28"/>
          <w:szCs w:val="28"/>
          <w:u w:val="single"/>
          <w:lang w:val="en-US" w:eastAsia="zh-CN"/>
        </w:rPr>
        <w:t xml:space="preserve"> （联系人）   </w:t>
      </w:r>
      <w:r>
        <w:rPr>
          <w:rFonts w:hint="eastAsia" w:ascii="仿宋_GB2312" w:eastAsia="仿宋_GB2312"/>
          <w:sz w:val="28"/>
          <w:szCs w:val="28"/>
          <w:u w:val="none"/>
          <w:lang w:val="en-US" w:eastAsia="zh-CN"/>
        </w:rPr>
        <w:t>，联系方式</w:t>
      </w:r>
      <w:r>
        <w:rPr>
          <w:rFonts w:hint="eastAsia" w:ascii="仿宋_GB2312" w:eastAsia="仿宋_GB2312"/>
          <w:sz w:val="28"/>
          <w:szCs w:val="28"/>
          <w:u w:val="single"/>
          <w:lang w:val="en-US" w:eastAsia="zh-CN"/>
        </w:rPr>
        <w:t xml:space="preserve">                 </w:t>
      </w:r>
      <w:r>
        <w:rPr>
          <w:rFonts w:hint="eastAsia" w:ascii="仿宋" w:hAnsi="仿宋" w:eastAsia="仿宋" w:cs="仿宋"/>
          <w:sz w:val="30"/>
          <w:szCs w:val="30"/>
        </w:rPr>
        <w:t>，参加</w:t>
      </w:r>
      <w:r>
        <w:rPr>
          <w:rFonts w:hint="eastAsia" w:ascii="仿宋" w:hAnsi="仿宋" w:eastAsia="仿宋" w:cs="仿宋"/>
          <w:sz w:val="30"/>
          <w:szCs w:val="30"/>
          <w:u w:val="single"/>
        </w:rPr>
        <w:t xml:space="preserve">  </w:t>
      </w:r>
      <w:r>
        <w:rPr>
          <w:rFonts w:hint="eastAsia" w:ascii="仿宋" w:hAnsi="仿宋" w:eastAsia="仿宋" w:cs="仿宋"/>
          <w:sz w:val="30"/>
          <w:szCs w:val="30"/>
          <w:u w:val="single"/>
          <w:lang w:val="en-US" w:eastAsia="zh-CN"/>
        </w:rPr>
        <w:t xml:space="preserve">绍兴市再生能源发展有限公司 雾化器年度保养 </w:t>
      </w:r>
      <w:r>
        <w:rPr>
          <w:rFonts w:hint="eastAsia" w:ascii="仿宋" w:hAnsi="仿宋" w:eastAsia="仿宋" w:cs="仿宋"/>
          <w:sz w:val="30"/>
          <w:szCs w:val="30"/>
          <w:u w:val="none"/>
          <w:lang w:val="en-US" w:eastAsia="zh-CN"/>
        </w:rPr>
        <w:t>项目。</w:t>
      </w:r>
    </w:p>
    <w:tbl>
      <w:tblPr>
        <w:tblStyle w:val="13"/>
        <w:tblW w:w="9999" w:type="dxa"/>
        <w:jc w:val="center"/>
        <w:tblLayout w:type="fixed"/>
        <w:tblCellMar>
          <w:top w:w="0" w:type="dxa"/>
          <w:left w:w="108" w:type="dxa"/>
          <w:bottom w:w="0" w:type="dxa"/>
          <w:right w:w="108" w:type="dxa"/>
        </w:tblCellMar>
      </w:tblPr>
      <w:tblGrid>
        <w:gridCol w:w="578"/>
        <w:gridCol w:w="1755"/>
        <w:gridCol w:w="3780"/>
        <w:gridCol w:w="1980"/>
        <w:gridCol w:w="1906"/>
      </w:tblGrid>
      <w:tr w14:paraId="47F5FD2C">
        <w:tblPrEx>
          <w:tblCellMar>
            <w:top w:w="0" w:type="dxa"/>
            <w:left w:w="108" w:type="dxa"/>
            <w:bottom w:w="0" w:type="dxa"/>
            <w:right w:w="108" w:type="dxa"/>
          </w:tblCellMar>
        </w:tblPrEx>
        <w:trPr>
          <w:trHeight w:val="1177" w:hRule="atLeast"/>
          <w:jc w:val="center"/>
        </w:trPr>
        <w:tc>
          <w:tcPr>
            <w:tcW w:w="578" w:type="dxa"/>
            <w:tcBorders>
              <w:top w:val="single" w:color="auto" w:sz="6" w:space="0"/>
              <w:left w:val="single" w:color="auto" w:sz="6" w:space="0"/>
              <w:bottom w:val="single" w:color="auto" w:sz="6" w:space="0"/>
              <w:right w:val="single" w:color="auto" w:sz="6" w:space="0"/>
            </w:tcBorders>
            <w:noWrap w:val="0"/>
            <w:vAlign w:val="center"/>
          </w:tcPr>
          <w:p w14:paraId="172C2BF4">
            <w:pPr>
              <w:keepNext w:val="0"/>
              <w:keepLines w:val="0"/>
              <w:widowControl/>
              <w:suppressLineNumbers w:val="0"/>
              <w:jc w:val="center"/>
              <w:rPr>
                <w:rFonts w:hint="eastAsia" w:ascii="仿宋" w:hAnsi="仿宋" w:eastAsia="仿宋" w:cs="仿宋"/>
                <w:b w:val="0"/>
                <w:bCs w:val="0"/>
                <w:color w:val="auto"/>
                <w:sz w:val="24"/>
                <w:szCs w:val="24"/>
                <w:highlight w:val="none"/>
              </w:rPr>
            </w:pPr>
            <w:r>
              <w:rPr>
                <w:rFonts w:hint="eastAsia" w:ascii="仿宋" w:hAnsi="仿宋" w:eastAsia="仿宋" w:cs="仿宋"/>
                <w:b w:val="0"/>
                <w:bCs w:val="0"/>
                <w:kern w:val="0"/>
                <w:sz w:val="24"/>
                <w:szCs w:val="24"/>
                <w:lang w:val="en-US" w:eastAsia="zh-CN" w:bidi="ar"/>
              </w:rPr>
              <w:t>序号</w:t>
            </w:r>
          </w:p>
        </w:tc>
        <w:tc>
          <w:tcPr>
            <w:tcW w:w="1755" w:type="dxa"/>
            <w:tcBorders>
              <w:top w:val="single" w:color="auto" w:sz="6" w:space="0"/>
              <w:left w:val="single" w:color="auto" w:sz="6" w:space="0"/>
              <w:bottom w:val="single" w:color="auto" w:sz="6" w:space="0"/>
              <w:right w:val="single" w:color="auto" w:sz="6" w:space="0"/>
            </w:tcBorders>
            <w:noWrap w:val="0"/>
            <w:vAlign w:val="center"/>
          </w:tcPr>
          <w:p w14:paraId="1B70D0AF">
            <w:pPr>
              <w:keepNext w:val="0"/>
              <w:keepLines w:val="0"/>
              <w:widowControl/>
              <w:suppressLineNumbers w:val="0"/>
              <w:jc w:val="center"/>
              <w:rPr>
                <w:rFonts w:hint="eastAsia" w:ascii="仿宋" w:hAnsi="仿宋" w:eastAsia="仿宋" w:cs="仿宋"/>
                <w:b w:val="0"/>
                <w:bCs w:val="0"/>
                <w:color w:val="auto"/>
                <w:sz w:val="24"/>
                <w:szCs w:val="24"/>
                <w:highlight w:val="none"/>
              </w:rPr>
            </w:pPr>
            <w:r>
              <w:rPr>
                <w:rFonts w:hint="eastAsia" w:ascii="仿宋" w:hAnsi="仿宋" w:eastAsia="仿宋" w:cs="仿宋"/>
                <w:b w:val="0"/>
                <w:bCs w:val="0"/>
                <w:kern w:val="0"/>
                <w:sz w:val="24"/>
                <w:szCs w:val="24"/>
                <w:lang w:val="en-US" w:eastAsia="zh-CN" w:bidi="ar"/>
              </w:rPr>
              <w:t>评审项目</w:t>
            </w:r>
          </w:p>
        </w:tc>
        <w:tc>
          <w:tcPr>
            <w:tcW w:w="3780" w:type="dxa"/>
            <w:tcBorders>
              <w:top w:val="single" w:color="auto" w:sz="6" w:space="0"/>
              <w:left w:val="single" w:color="auto" w:sz="6" w:space="0"/>
              <w:bottom w:val="single" w:color="auto" w:sz="6" w:space="0"/>
              <w:right w:val="single" w:color="auto" w:sz="6" w:space="0"/>
            </w:tcBorders>
            <w:noWrap w:val="0"/>
            <w:vAlign w:val="center"/>
          </w:tcPr>
          <w:p w14:paraId="7474ABFC">
            <w:pPr>
              <w:keepNext w:val="0"/>
              <w:keepLines w:val="0"/>
              <w:widowControl/>
              <w:suppressLineNumbers w:val="0"/>
              <w:jc w:val="center"/>
              <w:rPr>
                <w:rFonts w:hint="eastAsia" w:ascii="仿宋" w:hAnsi="仿宋" w:eastAsia="仿宋" w:cs="仿宋"/>
                <w:b w:val="0"/>
                <w:bCs w:val="0"/>
                <w:color w:val="auto"/>
                <w:sz w:val="24"/>
                <w:szCs w:val="24"/>
                <w:highlight w:val="none"/>
              </w:rPr>
            </w:pPr>
            <w:r>
              <w:rPr>
                <w:rFonts w:hint="eastAsia" w:ascii="仿宋" w:hAnsi="仿宋" w:eastAsia="仿宋" w:cs="仿宋"/>
                <w:b w:val="0"/>
                <w:bCs w:val="0"/>
                <w:kern w:val="0"/>
                <w:sz w:val="24"/>
                <w:szCs w:val="24"/>
                <w:lang w:val="en-US" w:eastAsia="zh-CN" w:bidi="ar"/>
              </w:rPr>
              <w:t>资格要求详情</w:t>
            </w:r>
          </w:p>
        </w:tc>
        <w:tc>
          <w:tcPr>
            <w:tcW w:w="1980" w:type="dxa"/>
            <w:tcBorders>
              <w:top w:val="single" w:color="auto" w:sz="6" w:space="0"/>
              <w:left w:val="single" w:color="auto" w:sz="6" w:space="0"/>
              <w:bottom w:val="single" w:color="auto" w:sz="6" w:space="0"/>
              <w:right w:val="single" w:color="auto" w:sz="6" w:space="0"/>
            </w:tcBorders>
            <w:noWrap w:val="0"/>
            <w:vAlign w:val="center"/>
          </w:tcPr>
          <w:p w14:paraId="71F1A212">
            <w:pPr>
              <w:keepNext w:val="0"/>
              <w:keepLines w:val="0"/>
              <w:widowControl/>
              <w:suppressLineNumbers w:val="0"/>
              <w:jc w:val="center"/>
              <w:rPr>
                <w:rFonts w:hint="eastAsia" w:ascii="仿宋" w:hAnsi="仿宋" w:eastAsia="仿宋" w:cs="仿宋"/>
                <w:b w:val="0"/>
                <w:bCs w:val="0"/>
                <w:color w:val="auto"/>
                <w:sz w:val="24"/>
                <w:szCs w:val="24"/>
                <w:highlight w:val="none"/>
              </w:rPr>
            </w:pPr>
            <w:r>
              <w:rPr>
                <w:rFonts w:hint="eastAsia" w:ascii="仿宋" w:hAnsi="仿宋" w:eastAsia="仿宋" w:cs="仿宋"/>
                <w:b w:val="0"/>
                <w:bCs w:val="0"/>
                <w:kern w:val="0"/>
                <w:sz w:val="24"/>
                <w:szCs w:val="24"/>
                <w:lang w:val="en-US" w:eastAsia="zh-CN" w:bidi="ar"/>
              </w:rPr>
              <w:t>投标人响应情况</w:t>
            </w:r>
            <w:r>
              <w:rPr>
                <w:rFonts w:hint="eastAsia" w:ascii="仿宋" w:hAnsi="仿宋" w:eastAsia="仿宋" w:cs="仿宋"/>
                <w:b w:val="0"/>
                <w:bCs w:val="0"/>
                <w:kern w:val="0"/>
                <w:sz w:val="24"/>
                <w:szCs w:val="24"/>
                <w:lang w:val="en-US" w:eastAsia="zh-CN" w:bidi="ar"/>
              </w:rPr>
              <w:br w:type="textWrapping"/>
            </w:r>
            <w:r>
              <w:rPr>
                <w:rFonts w:hint="eastAsia" w:ascii="仿宋" w:hAnsi="仿宋" w:eastAsia="仿宋" w:cs="仿宋"/>
                <w:b w:val="0"/>
                <w:bCs w:val="0"/>
                <w:kern w:val="0"/>
                <w:sz w:val="24"/>
                <w:szCs w:val="24"/>
                <w:lang w:val="en-US" w:eastAsia="zh-CN" w:bidi="ar"/>
              </w:rPr>
              <w:t>（请填写：满足/不满足）</w:t>
            </w:r>
          </w:p>
        </w:tc>
        <w:tc>
          <w:tcPr>
            <w:tcW w:w="1906" w:type="dxa"/>
            <w:tcBorders>
              <w:top w:val="single" w:color="auto" w:sz="6" w:space="0"/>
              <w:left w:val="single" w:color="auto" w:sz="6" w:space="0"/>
              <w:bottom w:val="single" w:color="auto" w:sz="6" w:space="0"/>
              <w:right w:val="single" w:color="auto" w:sz="6" w:space="0"/>
            </w:tcBorders>
            <w:noWrap w:val="0"/>
            <w:vAlign w:val="center"/>
          </w:tcPr>
          <w:p w14:paraId="4969EE37">
            <w:pPr>
              <w:keepNext w:val="0"/>
              <w:keepLines w:val="0"/>
              <w:widowControl/>
              <w:suppressLineNumbers w:val="0"/>
              <w:jc w:val="center"/>
              <w:rPr>
                <w:rFonts w:hint="eastAsia" w:ascii="仿宋" w:hAnsi="仿宋" w:eastAsia="仿宋" w:cs="仿宋"/>
                <w:b w:val="0"/>
                <w:bCs w:val="0"/>
                <w:color w:val="auto"/>
                <w:sz w:val="24"/>
                <w:szCs w:val="24"/>
                <w:highlight w:val="none"/>
              </w:rPr>
            </w:pPr>
            <w:r>
              <w:rPr>
                <w:rFonts w:hint="eastAsia" w:ascii="仿宋" w:hAnsi="仿宋" w:eastAsia="仿宋" w:cs="仿宋"/>
                <w:b w:val="0"/>
                <w:bCs w:val="0"/>
                <w:kern w:val="0"/>
                <w:sz w:val="24"/>
                <w:szCs w:val="24"/>
                <w:lang w:val="en-US" w:eastAsia="zh-CN" w:bidi="ar"/>
              </w:rPr>
              <w:t>证明材料索引</w:t>
            </w:r>
            <w:r>
              <w:rPr>
                <w:rFonts w:hint="eastAsia" w:ascii="仿宋" w:hAnsi="仿宋" w:eastAsia="仿宋" w:cs="仿宋"/>
                <w:b w:val="0"/>
                <w:bCs w:val="0"/>
                <w:kern w:val="0"/>
                <w:sz w:val="24"/>
                <w:szCs w:val="24"/>
                <w:lang w:val="en-US" w:eastAsia="zh-CN" w:bidi="ar"/>
              </w:rPr>
              <w:br w:type="textWrapping"/>
            </w:r>
            <w:r>
              <w:rPr>
                <w:rFonts w:hint="eastAsia" w:ascii="仿宋" w:hAnsi="仿宋" w:eastAsia="仿宋" w:cs="仿宋"/>
                <w:b w:val="0"/>
                <w:bCs w:val="0"/>
                <w:kern w:val="0"/>
                <w:sz w:val="24"/>
                <w:szCs w:val="24"/>
                <w:lang w:val="en-US" w:eastAsia="zh-CN" w:bidi="ar"/>
              </w:rPr>
              <w:t>（请填写证明文件所在的页码）</w:t>
            </w:r>
          </w:p>
        </w:tc>
      </w:tr>
      <w:tr w14:paraId="0E9667DD">
        <w:tblPrEx>
          <w:tblCellMar>
            <w:top w:w="0" w:type="dxa"/>
            <w:left w:w="108" w:type="dxa"/>
            <w:bottom w:w="0" w:type="dxa"/>
            <w:right w:w="108" w:type="dxa"/>
          </w:tblCellMar>
        </w:tblPrEx>
        <w:trPr>
          <w:trHeight w:val="659" w:hRule="atLeast"/>
          <w:jc w:val="center"/>
        </w:trPr>
        <w:tc>
          <w:tcPr>
            <w:tcW w:w="578" w:type="dxa"/>
            <w:tcBorders>
              <w:top w:val="single" w:color="auto" w:sz="6" w:space="0"/>
              <w:left w:val="single" w:color="auto" w:sz="6" w:space="0"/>
              <w:bottom w:val="single" w:color="auto" w:sz="6" w:space="0"/>
              <w:right w:val="single" w:color="auto" w:sz="6" w:space="0"/>
            </w:tcBorders>
            <w:noWrap w:val="0"/>
            <w:vAlign w:val="center"/>
          </w:tcPr>
          <w:p w14:paraId="0DAB7B9D">
            <w:pPr>
              <w:keepNext w:val="0"/>
              <w:keepLines w:val="0"/>
              <w:widowControl/>
              <w:suppressLineNumbers w:val="0"/>
              <w:jc w:val="center"/>
              <w:rPr>
                <w:rFonts w:hint="eastAsia" w:ascii="仿宋" w:hAnsi="仿宋" w:eastAsia="仿宋" w:cs="仿宋"/>
                <w:b w:val="0"/>
                <w:bCs w:val="0"/>
                <w:i w:val="0"/>
                <w:iCs w:val="0"/>
                <w:color w:val="auto"/>
                <w:sz w:val="24"/>
                <w:szCs w:val="24"/>
                <w:highlight w:val="none"/>
              </w:rPr>
            </w:pPr>
            <w:r>
              <w:rPr>
                <w:rFonts w:hint="eastAsia" w:ascii="仿宋" w:hAnsi="仿宋" w:eastAsia="仿宋" w:cs="仿宋"/>
                <w:b w:val="0"/>
                <w:bCs w:val="0"/>
                <w:i w:val="0"/>
                <w:iCs w:val="0"/>
                <w:kern w:val="0"/>
                <w:sz w:val="24"/>
                <w:szCs w:val="24"/>
                <w:lang w:val="en-US" w:eastAsia="zh-CN" w:bidi="ar"/>
              </w:rPr>
              <w:t>1</w:t>
            </w:r>
          </w:p>
        </w:tc>
        <w:tc>
          <w:tcPr>
            <w:tcW w:w="1755" w:type="dxa"/>
            <w:tcBorders>
              <w:top w:val="single" w:color="auto" w:sz="6" w:space="0"/>
              <w:left w:val="single" w:color="auto" w:sz="6" w:space="0"/>
              <w:bottom w:val="single" w:color="auto" w:sz="6" w:space="0"/>
              <w:right w:val="single" w:color="auto" w:sz="6" w:space="0"/>
            </w:tcBorders>
            <w:noWrap w:val="0"/>
            <w:vAlign w:val="center"/>
          </w:tcPr>
          <w:p w14:paraId="51F5D605">
            <w:pPr>
              <w:keepNext w:val="0"/>
              <w:keepLines w:val="0"/>
              <w:widowControl/>
              <w:suppressLineNumbers w:val="0"/>
              <w:jc w:val="center"/>
              <w:rPr>
                <w:rFonts w:hint="eastAsia" w:ascii="仿宋" w:hAnsi="仿宋" w:eastAsia="仿宋" w:cs="仿宋"/>
                <w:b w:val="0"/>
                <w:bCs w:val="0"/>
                <w:i w:val="0"/>
                <w:iCs w:val="0"/>
                <w:color w:val="auto"/>
                <w:sz w:val="24"/>
                <w:szCs w:val="24"/>
                <w:highlight w:val="none"/>
                <w:lang w:eastAsia="zh-CN"/>
              </w:rPr>
            </w:pPr>
            <w:r>
              <w:rPr>
                <w:rFonts w:hint="eastAsia" w:ascii="仿宋" w:hAnsi="仿宋" w:eastAsia="仿宋" w:cs="仿宋"/>
                <w:b w:val="0"/>
                <w:bCs w:val="0"/>
                <w:i w:val="0"/>
                <w:iCs w:val="0"/>
                <w:color w:val="auto"/>
                <w:sz w:val="24"/>
                <w:szCs w:val="24"/>
                <w:highlight w:val="none"/>
                <w:lang w:val="en-US" w:eastAsia="zh-CN"/>
              </w:rPr>
              <w:t>营业执照</w:t>
            </w:r>
          </w:p>
        </w:tc>
        <w:tc>
          <w:tcPr>
            <w:tcW w:w="3780" w:type="dxa"/>
            <w:tcBorders>
              <w:top w:val="single" w:color="auto" w:sz="6" w:space="0"/>
              <w:left w:val="single" w:color="auto" w:sz="6" w:space="0"/>
              <w:bottom w:val="single" w:color="auto" w:sz="6" w:space="0"/>
              <w:right w:val="single" w:color="auto" w:sz="6" w:space="0"/>
            </w:tcBorders>
            <w:noWrap w:val="0"/>
            <w:vAlign w:val="center"/>
          </w:tcPr>
          <w:p w14:paraId="14E9C7A5">
            <w:pPr>
              <w:keepNext w:val="0"/>
              <w:keepLines w:val="0"/>
              <w:widowControl/>
              <w:suppressLineNumbers w:val="0"/>
              <w:jc w:val="left"/>
              <w:rPr>
                <w:rFonts w:hint="eastAsia" w:ascii="仿宋" w:hAnsi="仿宋" w:eastAsia="仿宋" w:cs="仿宋"/>
                <w:b w:val="0"/>
                <w:bCs w:val="0"/>
                <w:i w:val="0"/>
                <w:iCs w:val="0"/>
                <w:color w:val="auto"/>
                <w:sz w:val="24"/>
                <w:szCs w:val="24"/>
                <w:highlight w:val="none"/>
              </w:rPr>
            </w:pPr>
            <w:r>
              <w:rPr>
                <w:rFonts w:hint="eastAsia" w:ascii="仿宋" w:hAnsi="仿宋" w:eastAsia="仿宋" w:cs="仿宋"/>
                <w:b w:val="0"/>
                <w:bCs w:val="0"/>
                <w:i w:val="0"/>
                <w:iCs w:val="0"/>
                <w:color w:val="auto"/>
                <w:sz w:val="24"/>
                <w:szCs w:val="24"/>
                <w:highlight w:val="none"/>
              </w:rPr>
              <w:t>提供加盖公章的、在有效期限内的营业执照副本复印件</w:t>
            </w:r>
          </w:p>
        </w:tc>
        <w:tc>
          <w:tcPr>
            <w:tcW w:w="1980" w:type="dxa"/>
            <w:tcBorders>
              <w:top w:val="single" w:color="auto" w:sz="6" w:space="0"/>
              <w:left w:val="single" w:color="auto" w:sz="6" w:space="0"/>
              <w:bottom w:val="single" w:color="auto" w:sz="6" w:space="0"/>
              <w:right w:val="single" w:color="auto" w:sz="6" w:space="0"/>
            </w:tcBorders>
            <w:noWrap w:val="0"/>
            <w:vAlign w:val="top"/>
          </w:tcPr>
          <w:p w14:paraId="4460A7E7">
            <w:pPr>
              <w:autoSpaceDE w:val="0"/>
              <w:autoSpaceDN w:val="0"/>
              <w:spacing w:line="360" w:lineRule="auto"/>
              <w:jc w:val="center"/>
              <w:rPr>
                <w:rFonts w:hint="eastAsia" w:ascii="仿宋" w:hAnsi="仿宋" w:eastAsia="仿宋" w:cs="仿宋"/>
                <w:color w:val="auto"/>
                <w:sz w:val="24"/>
                <w:szCs w:val="24"/>
                <w:highlight w:val="none"/>
              </w:rPr>
            </w:pPr>
          </w:p>
        </w:tc>
        <w:tc>
          <w:tcPr>
            <w:tcW w:w="1906" w:type="dxa"/>
            <w:tcBorders>
              <w:top w:val="single" w:color="auto" w:sz="6" w:space="0"/>
              <w:left w:val="single" w:color="auto" w:sz="6" w:space="0"/>
              <w:bottom w:val="single" w:color="auto" w:sz="6" w:space="0"/>
              <w:right w:val="single" w:color="auto" w:sz="6" w:space="0"/>
            </w:tcBorders>
            <w:noWrap w:val="0"/>
            <w:vAlign w:val="top"/>
          </w:tcPr>
          <w:p w14:paraId="55B9DD8F">
            <w:pPr>
              <w:autoSpaceDE w:val="0"/>
              <w:autoSpaceDN w:val="0"/>
              <w:spacing w:line="360" w:lineRule="auto"/>
              <w:jc w:val="center"/>
              <w:rPr>
                <w:rFonts w:hint="eastAsia" w:ascii="仿宋" w:hAnsi="仿宋" w:eastAsia="仿宋" w:cs="仿宋"/>
                <w:color w:val="auto"/>
                <w:sz w:val="24"/>
                <w:szCs w:val="24"/>
                <w:highlight w:val="none"/>
              </w:rPr>
            </w:pPr>
          </w:p>
        </w:tc>
      </w:tr>
      <w:tr w14:paraId="011DFA8A">
        <w:tblPrEx>
          <w:tblCellMar>
            <w:top w:w="0" w:type="dxa"/>
            <w:left w:w="108" w:type="dxa"/>
            <w:bottom w:w="0" w:type="dxa"/>
            <w:right w:w="108" w:type="dxa"/>
          </w:tblCellMar>
        </w:tblPrEx>
        <w:trPr>
          <w:trHeight w:val="659" w:hRule="atLeast"/>
          <w:jc w:val="center"/>
        </w:trPr>
        <w:tc>
          <w:tcPr>
            <w:tcW w:w="578" w:type="dxa"/>
            <w:tcBorders>
              <w:top w:val="single" w:color="auto" w:sz="6" w:space="0"/>
              <w:left w:val="single" w:color="auto" w:sz="6" w:space="0"/>
              <w:bottom w:val="single" w:color="auto" w:sz="6" w:space="0"/>
              <w:right w:val="single" w:color="auto" w:sz="6" w:space="0"/>
            </w:tcBorders>
            <w:noWrap w:val="0"/>
            <w:vAlign w:val="center"/>
          </w:tcPr>
          <w:p w14:paraId="6FD2461F">
            <w:pPr>
              <w:keepNext w:val="0"/>
              <w:keepLines w:val="0"/>
              <w:widowControl/>
              <w:suppressLineNumbers w:val="0"/>
              <w:jc w:val="center"/>
              <w:rPr>
                <w:rFonts w:hint="default" w:ascii="仿宋" w:hAnsi="仿宋" w:eastAsia="仿宋" w:cs="仿宋"/>
                <w:b w:val="0"/>
                <w:bCs w:val="0"/>
                <w:i w:val="0"/>
                <w:iCs w:val="0"/>
                <w:kern w:val="0"/>
                <w:sz w:val="24"/>
                <w:szCs w:val="24"/>
                <w:lang w:val="en-US" w:eastAsia="zh-CN" w:bidi="ar"/>
              </w:rPr>
            </w:pPr>
            <w:r>
              <w:rPr>
                <w:rFonts w:hint="eastAsia" w:ascii="仿宋" w:hAnsi="仿宋" w:eastAsia="仿宋" w:cs="仿宋"/>
                <w:b w:val="0"/>
                <w:bCs w:val="0"/>
                <w:i w:val="0"/>
                <w:iCs w:val="0"/>
                <w:kern w:val="0"/>
                <w:sz w:val="24"/>
                <w:szCs w:val="24"/>
                <w:lang w:val="en-US" w:eastAsia="zh-CN" w:bidi="ar"/>
              </w:rPr>
              <w:t>2</w:t>
            </w:r>
          </w:p>
        </w:tc>
        <w:tc>
          <w:tcPr>
            <w:tcW w:w="1755" w:type="dxa"/>
            <w:tcBorders>
              <w:top w:val="single" w:color="auto" w:sz="6" w:space="0"/>
              <w:left w:val="single" w:color="auto" w:sz="6" w:space="0"/>
              <w:bottom w:val="single" w:color="auto" w:sz="6" w:space="0"/>
              <w:right w:val="single" w:color="auto" w:sz="6" w:space="0"/>
            </w:tcBorders>
            <w:noWrap w:val="0"/>
            <w:vAlign w:val="center"/>
          </w:tcPr>
          <w:p w14:paraId="7686751D">
            <w:pPr>
              <w:keepNext w:val="0"/>
              <w:keepLines w:val="0"/>
              <w:widowControl/>
              <w:suppressLineNumbers w:val="0"/>
              <w:jc w:val="center"/>
              <w:rPr>
                <w:rFonts w:hint="eastAsia" w:ascii="仿宋" w:hAnsi="仿宋" w:eastAsia="仿宋" w:cs="仿宋"/>
                <w:b w:val="0"/>
                <w:bCs w:val="0"/>
                <w:i w:val="0"/>
                <w:iCs w:val="0"/>
                <w:color w:val="auto"/>
                <w:sz w:val="24"/>
                <w:szCs w:val="24"/>
                <w:highlight w:val="none"/>
                <w:lang w:val="en-US" w:eastAsia="zh-CN"/>
              </w:rPr>
            </w:pPr>
            <w:r>
              <w:rPr>
                <w:rFonts w:hint="eastAsia" w:ascii="仿宋" w:hAnsi="仿宋" w:eastAsia="仿宋" w:cs="仿宋"/>
                <w:b w:val="0"/>
                <w:bCs w:val="0"/>
                <w:i w:val="0"/>
                <w:iCs w:val="0"/>
                <w:color w:val="auto"/>
                <w:sz w:val="24"/>
                <w:szCs w:val="24"/>
                <w:highlight w:val="none"/>
                <w:lang w:val="en-US" w:eastAsia="zh-CN"/>
              </w:rPr>
              <w:t>类似业绩</w:t>
            </w:r>
          </w:p>
        </w:tc>
        <w:tc>
          <w:tcPr>
            <w:tcW w:w="3780" w:type="dxa"/>
            <w:tcBorders>
              <w:top w:val="single" w:color="auto" w:sz="6" w:space="0"/>
              <w:left w:val="single" w:color="auto" w:sz="6" w:space="0"/>
              <w:bottom w:val="single" w:color="auto" w:sz="6" w:space="0"/>
              <w:right w:val="single" w:color="auto" w:sz="6" w:space="0"/>
            </w:tcBorders>
            <w:noWrap w:val="0"/>
            <w:vAlign w:val="center"/>
          </w:tcPr>
          <w:p w14:paraId="1EB140D0">
            <w:pPr>
              <w:keepNext w:val="0"/>
              <w:keepLines w:val="0"/>
              <w:widowControl/>
              <w:suppressLineNumbers w:val="0"/>
              <w:jc w:val="left"/>
              <w:rPr>
                <w:rFonts w:hint="eastAsia" w:ascii="仿宋" w:hAnsi="仿宋" w:eastAsia="仿宋" w:cs="仿宋"/>
                <w:b w:val="0"/>
                <w:bCs w:val="0"/>
                <w:i w:val="0"/>
                <w:iCs w:val="0"/>
                <w:color w:val="auto"/>
                <w:sz w:val="24"/>
                <w:szCs w:val="24"/>
                <w:highlight w:val="none"/>
                <w:lang w:val="en-US" w:eastAsia="zh-CN"/>
              </w:rPr>
            </w:pPr>
            <w:r>
              <w:rPr>
                <w:rFonts w:hint="eastAsia" w:ascii="仿宋" w:hAnsi="仿宋" w:eastAsia="仿宋" w:cs="仿宋"/>
                <w:b w:val="0"/>
                <w:bCs w:val="0"/>
                <w:i w:val="0"/>
                <w:iCs w:val="0"/>
                <w:color w:val="auto"/>
                <w:sz w:val="24"/>
                <w:szCs w:val="24"/>
                <w:highlight w:val="none"/>
                <w:lang w:val="en-US" w:eastAsia="zh-CN"/>
              </w:rPr>
              <w:t>近三年(2023年1月1日(含)至今)具有2个类似业绩(提供服务合同证明，包括但不限于合同首页、合同价格页、合同范围及规模、签字盖章页等内容的证明材料，页面清晰无信息遮蔽，时间以合同签订时间为准)。</w:t>
            </w:r>
          </w:p>
        </w:tc>
        <w:tc>
          <w:tcPr>
            <w:tcW w:w="1980" w:type="dxa"/>
            <w:tcBorders>
              <w:top w:val="single" w:color="auto" w:sz="6" w:space="0"/>
              <w:left w:val="single" w:color="auto" w:sz="6" w:space="0"/>
              <w:bottom w:val="single" w:color="auto" w:sz="6" w:space="0"/>
              <w:right w:val="single" w:color="auto" w:sz="6" w:space="0"/>
            </w:tcBorders>
            <w:noWrap w:val="0"/>
            <w:vAlign w:val="top"/>
          </w:tcPr>
          <w:p w14:paraId="01E54EE4">
            <w:pPr>
              <w:autoSpaceDE w:val="0"/>
              <w:autoSpaceDN w:val="0"/>
              <w:spacing w:line="360" w:lineRule="auto"/>
              <w:jc w:val="center"/>
              <w:rPr>
                <w:rFonts w:hint="eastAsia" w:ascii="仿宋" w:hAnsi="仿宋" w:eastAsia="仿宋" w:cs="仿宋"/>
                <w:color w:val="auto"/>
                <w:sz w:val="24"/>
                <w:szCs w:val="24"/>
                <w:highlight w:val="none"/>
              </w:rPr>
            </w:pPr>
          </w:p>
        </w:tc>
        <w:tc>
          <w:tcPr>
            <w:tcW w:w="1906" w:type="dxa"/>
            <w:tcBorders>
              <w:top w:val="single" w:color="auto" w:sz="6" w:space="0"/>
              <w:left w:val="single" w:color="auto" w:sz="6" w:space="0"/>
              <w:bottom w:val="single" w:color="auto" w:sz="6" w:space="0"/>
              <w:right w:val="single" w:color="auto" w:sz="6" w:space="0"/>
            </w:tcBorders>
            <w:noWrap w:val="0"/>
            <w:vAlign w:val="top"/>
          </w:tcPr>
          <w:p w14:paraId="76418A2A">
            <w:pPr>
              <w:autoSpaceDE w:val="0"/>
              <w:autoSpaceDN w:val="0"/>
              <w:spacing w:line="360" w:lineRule="auto"/>
              <w:jc w:val="center"/>
              <w:rPr>
                <w:rFonts w:hint="eastAsia" w:ascii="仿宋" w:hAnsi="仿宋" w:eastAsia="仿宋" w:cs="仿宋"/>
                <w:color w:val="auto"/>
                <w:sz w:val="24"/>
                <w:szCs w:val="24"/>
                <w:highlight w:val="none"/>
              </w:rPr>
            </w:pPr>
          </w:p>
        </w:tc>
      </w:tr>
    </w:tbl>
    <w:p w14:paraId="22844B5F">
      <w:pPr>
        <w:pStyle w:val="19"/>
        <w:keepNext w:val="0"/>
        <w:keepLines w:val="0"/>
        <w:pageBreakBefore w:val="0"/>
        <w:widowControl/>
        <w:kinsoku/>
        <w:wordWrap/>
        <w:overflowPunct/>
        <w:topLinePunct w:val="0"/>
        <w:autoSpaceDE/>
        <w:autoSpaceDN/>
        <w:bidi w:val="0"/>
        <w:adjustRightInd/>
        <w:snapToGrid w:val="0"/>
        <w:spacing w:line="360" w:lineRule="auto"/>
        <w:ind w:left="0" w:leftChars="0" w:firstLine="0" w:firstLineChars="0"/>
        <w:textAlignment w:val="baseline"/>
        <w:rPr>
          <w:rFonts w:hint="eastAsia" w:ascii="仿宋" w:hAnsi="仿宋" w:eastAsia="仿宋" w:cs="仿宋"/>
          <w:b/>
          <w:bCs w:val="0"/>
          <w:color w:val="FF0000"/>
          <w:sz w:val="30"/>
          <w:szCs w:val="30"/>
          <w:lang w:val="en-US" w:eastAsia="zh-CN"/>
        </w:rPr>
      </w:pPr>
    </w:p>
    <w:p w14:paraId="06F2C8A4">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相关要求：</w:t>
      </w:r>
    </w:p>
    <w:p w14:paraId="6FFDA528">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_GB2312" w:eastAsia="仿宋_GB2312"/>
          <w:color w:val="FF0000"/>
          <w:kern w:val="2"/>
          <w:sz w:val="30"/>
          <w:szCs w:val="30"/>
          <w:highlight w:val="none"/>
          <w:lang w:val="en-US" w:eastAsia="zh-CN"/>
        </w:rPr>
      </w:pPr>
      <w:r>
        <w:rPr>
          <w:rFonts w:hint="eastAsia" w:ascii="仿宋_GB2312" w:eastAsia="仿宋_GB2312"/>
          <w:color w:val="FF0000"/>
          <w:kern w:val="2"/>
          <w:sz w:val="30"/>
          <w:szCs w:val="30"/>
          <w:highlight w:val="none"/>
          <w:lang w:val="en-US" w:eastAsia="zh-CN"/>
        </w:rPr>
        <w:t>1.报价资格一览表内不得显示价格。</w:t>
      </w:r>
    </w:p>
    <w:p w14:paraId="603B596E">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_GB2312" w:eastAsia="仿宋_GB2312"/>
          <w:color w:val="FF0000"/>
          <w:kern w:val="2"/>
          <w:sz w:val="30"/>
          <w:szCs w:val="30"/>
          <w:highlight w:val="none"/>
          <w:lang w:val="en-US" w:eastAsia="zh-CN"/>
        </w:rPr>
      </w:pPr>
      <w:r>
        <w:rPr>
          <w:rFonts w:hint="eastAsia" w:ascii="仿宋_GB2312" w:eastAsia="仿宋_GB2312"/>
          <w:color w:val="FF0000"/>
          <w:kern w:val="2"/>
          <w:sz w:val="30"/>
          <w:szCs w:val="30"/>
          <w:highlight w:val="none"/>
          <w:lang w:val="en-US" w:eastAsia="zh-CN"/>
        </w:rPr>
        <w:t>2.须随表提交相应的证明材料，装订成册。</w:t>
      </w:r>
    </w:p>
    <w:p w14:paraId="2C23E6BA">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default" w:ascii="仿宋" w:hAnsi="仿宋" w:eastAsia="仿宋" w:cs="仿宋"/>
          <w:b/>
          <w:bCs/>
          <w:color w:val="FF0000"/>
          <w:sz w:val="30"/>
          <w:szCs w:val="30"/>
          <w:highlight w:val="none"/>
          <w:lang w:val="en-US" w:eastAsia="zh-CN"/>
        </w:rPr>
      </w:pPr>
      <w:r>
        <w:rPr>
          <w:rFonts w:hint="eastAsia" w:ascii="仿宋_GB2312" w:eastAsia="仿宋_GB2312"/>
          <w:color w:val="FF0000"/>
          <w:kern w:val="2"/>
          <w:sz w:val="30"/>
          <w:szCs w:val="30"/>
          <w:highlight w:val="none"/>
          <w:lang w:val="en-US" w:eastAsia="zh-CN"/>
        </w:rPr>
        <w:t>3.此附表需与报价文件分开包装，封装方式与报价文件相同（正本1份，副本4份），共同递交至绍兴市再生能源发展有限公司综合楼一楼投标箱。</w:t>
      </w:r>
    </w:p>
    <w:p w14:paraId="71E09939">
      <w:pPr>
        <w:keepNext w:val="0"/>
        <w:keepLines w:val="0"/>
        <w:pageBreakBefore w:val="0"/>
        <w:widowControl w:val="0"/>
        <w:kinsoku/>
        <w:wordWrap/>
        <w:overflowPunct/>
        <w:topLinePunct w:val="0"/>
        <w:autoSpaceDE/>
        <w:autoSpaceDN/>
        <w:bidi w:val="0"/>
        <w:adjustRightInd/>
        <w:snapToGrid w:val="0"/>
        <w:spacing w:line="360" w:lineRule="auto"/>
        <w:ind w:firstLine="602" w:firstLineChars="200"/>
        <w:jc w:val="both"/>
        <w:textAlignment w:val="auto"/>
        <w:rPr>
          <w:rFonts w:hint="eastAsia" w:ascii="仿宋" w:hAnsi="仿宋" w:eastAsia="仿宋" w:cs="仿宋"/>
          <w:sz w:val="30"/>
          <w:szCs w:val="30"/>
          <w:lang w:val="en-US" w:eastAsia="zh-CN"/>
        </w:rPr>
      </w:pPr>
      <w:r>
        <w:rPr>
          <w:rFonts w:hint="eastAsia" w:ascii="仿宋_GB2312" w:eastAsia="仿宋_GB2312"/>
          <w:b/>
          <w:bCs/>
          <w:color w:val="FF0000"/>
          <w:kern w:val="2"/>
          <w:sz w:val="30"/>
          <w:szCs w:val="30"/>
          <w:highlight w:val="none"/>
          <w:lang w:eastAsia="zh-CN"/>
        </w:rPr>
        <w:t>【未满足</w:t>
      </w:r>
      <w:r>
        <w:rPr>
          <w:rFonts w:hint="eastAsia" w:ascii="仿宋_GB2312" w:eastAsia="仿宋_GB2312"/>
          <w:b/>
          <w:bCs/>
          <w:color w:val="FF0000"/>
          <w:kern w:val="2"/>
          <w:sz w:val="30"/>
          <w:szCs w:val="30"/>
          <w:highlight w:val="none"/>
          <w:lang w:val="en-US" w:eastAsia="zh-CN"/>
        </w:rPr>
        <w:t>以上</w:t>
      </w:r>
      <w:r>
        <w:rPr>
          <w:rFonts w:hint="eastAsia" w:ascii="仿宋_GB2312" w:eastAsia="仿宋_GB2312"/>
          <w:b/>
          <w:bCs/>
          <w:color w:val="FF0000"/>
          <w:kern w:val="2"/>
          <w:sz w:val="30"/>
          <w:szCs w:val="30"/>
          <w:highlight w:val="none"/>
          <w:lang w:eastAsia="zh-CN"/>
        </w:rPr>
        <w:t>条件则视为无效投标，</w:t>
      </w:r>
      <w:r>
        <w:rPr>
          <w:rFonts w:hint="eastAsia" w:ascii="仿宋_GB2312" w:eastAsia="仿宋_GB2312"/>
          <w:b/>
          <w:bCs/>
          <w:color w:val="FF0000"/>
          <w:kern w:val="2"/>
          <w:sz w:val="30"/>
          <w:szCs w:val="30"/>
          <w:highlight w:val="none"/>
          <w:lang w:val="en-US" w:eastAsia="zh-CN"/>
        </w:rPr>
        <w:t>且报价文件一同作废，不再进入后续的评审与比较环节</w:t>
      </w:r>
      <w:r>
        <w:rPr>
          <w:rFonts w:hint="eastAsia" w:ascii="仿宋_GB2312" w:eastAsia="仿宋_GB2312"/>
          <w:b/>
          <w:bCs/>
          <w:color w:val="FF0000"/>
          <w:kern w:val="2"/>
          <w:sz w:val="30"/>
          <w:szCs w:val="30"/>
          <w:highlight w:val="none"/>
          <w:lang w:eastAsia="zh-CN"/>
        </w:rPr>
        <w:t>】</w:t>
      </w:r>
    </w:p>
    <w:p w14:paraId="614024F6">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24"/>
          <w:szCs w:val="24"/>
        </w:rPr>
      </w:pPr>
      <w:r>
        <w:rPr>
          <w:rFonts w:hint="eastAsia" w:ascii="仿宋" w:hAnsi="仿宋" w:eastAsia="仿宋" w:cs="仿宋"/>
          <w:sz w:val="30"/>
          <w:szCs w:val="30"/>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p>
    <w:p w14:paraId="68506379">
      <w:pPr>
        <w:snapToGrid w:val="0"/>
        <w:jc w:val="right"/>
        <w:rPr>
          <w:rFonts w:hint="eastAsia" w:ascii="仿宋" w:hAnsi="仿宋" w:eastAsia="仿宋" w:cs="仿宋"/>
          <w:sz w:val="24"/>
          <w:szCs w:val="24"/>
        </w:rPr>
      </w:pPr>
      <w:r>
        <w:rPr>
          <w:rFonts w:hint="eastAsia" w:ascii="仿宋" w:hAnsi="仿宋" w:eastAsia="仿宋" w:cs="仿宋"/>
          <w:sz w:val="24"/>
          <w:szCs w:val="24"/>
        </w:rPr>
        <w:t>报价单位名称（公章）：</w:t>
      </w:r>
    </w:p>
    <w:p w14:paraId="5D6791C7">
      <w:pPr>
        <w:snapToGrid w:val="0"/>
        <w:ind w:firstLine="480" w:firstLineChars="200"/>
        <w:jc w:val="right"/>
        <w:rPr>
          <w:rFonts w:hint="eastAsia" w:ascii="仿宋" w:hAnsi="仿宋" w:eastAsia="仿宋" w:cs="仿宋"/>
          <w:sz w:val="24"/>
          <w:szCs w:val="24"/>
        </w:rPr>
      </w:pP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 xml:space="preserve">           </w:t>
      </w:r>
      <w:r>
        <w:rPr>
          <w:rFonts w:hint="default" w:ascii="仿宋" w:hAnsi="仿宋" w:eastAsia="仿宋" w:cs="仿宋"/>
          <w:sz w:val="24"/>
          <w:szCs w:val="24"/>
          <w:lang w:val="en-US"/>
        </w:rPr>
        <w:t>202</w:t>
      </w:r>
      <w:r>
        <w:rPr>
          <w:rFonts w:hint="eastAsia" w:ascii="仿宋" w:hAnsi="仿宋" w:eastAsia="仿宋" w:cs="仿宋"/>
          <w:sz w:val="24"/>
          <w:szCs w:val="24"/>
          <w:lang w:val="en-US" w:eastAsia="zh-CN"/>
        </w:rPr>
        <w:t>6</w:t>
      </w:r>
      <w:r>
        <w:rPr>
          <w:rFonts w:hint="default" w:ascii="仿宋" w:hAnsi="仿宋" w:eastAsia="仿宋" w:cs="仿宋"/>
          <w:sz w:val="24"/>
          <w:szCs w:val="24"/>
          <w:lang w:val="en-US"/>
        </w:rPr>
        <w:t>年</w:t>
      </w:r>
      <w:r>
        <w:rPr>
          <w:rFonts w:hint="eastAsia" w:ascii="仿宋" w:hAnsi="仿宋" w:eastAsia="仿宋" w:cs="仿宋"/>
          <w:sz w:val="24"/>
          <w:szCs w:val="24"/>
        </w:rPr>
        <w:t xml:space="preserve"> 月 日</w:t>
      </w:r>
    </w:p>
    <w:p w14:paraId="743E8D4B">
      <w:pPr>
        <w:jc w:val="left"/>
        <w:outlineLvl w:val="0"/>
        <w:rPr>
          <w:rStyle w:val="20"/>
          <w:rFonts w:hint="eastAsia" w:ascii="仿宋" w:hAnsi="仿宋" w:eastAsia="仿宋" w:cs="仿宋"/>
          <w:sz w:val="30"/>
        </w:rPr>
      </w:pPr>
      <w:bookmarkStart w:id="28" w:name="_Toc22798"/>
      <w:r>
        <w:rPr>
          <w:rStyle w:val="20"/>
          <w:rFonts w:hint="eastAsia" w:ascii="仿宋" w:hAnsi="仿宋" w:eastAsia="仿宋" w:cs="仿宋"/>
          <w:sz w:val="30"/>
        </w:rPr>
        <w:t>附件</w:t>
      </w:r>
      <w:r>
        <w:rPr>
          <w:rStyle w:val="20"/>
          <w:rFonts w:hint="eastAsia" w:ascii="仿宋" w:hAnsi="仿宋" w:eastAsia="仿宋" w:cs="仿宋"/>
          <w:sz w:val="30"/>
          <w:lang w:val="en-US"/>
        </w:rPr>
        <w:t>二：</w:t>
      </w:r>
      <w:bookmarkEnd w:id="28"/>
      <w:r>
        <w:rPr>
          <w:rStyle w:val="20"/>
          <w:rFonts w:hint="eastAsia" w:ascii="仿宋" w:hAnsi="仿宋" w:eastAsia="仿宋" w:cs="仿宋"/>
          <w:sz w:val="30"/>
        </w:rPr>
        <w:t xml:space="preserve">  </w:t>
      </w:r>
    </w:p>
    <w:p w14:paraId="0B349F5C">
      <w:pPr>
        <w:spacing w:line="360" w:lineRule="auto"/>
        <w:jc w:val="center"/>
        <w:rPr>
          <w:rFonts w:hint="eastAsia" w:ascii="仿宋" w:hAnsi="仿宋" w:eastAsia="仿宋" w:cs="仿宋"/>
          <w:b/>
          <w:sz w:val="44"/>
        </w:rPr>
      </w:pPr>
      <w:r>
        <w:rPr>
          <w:rFonts w:hint="eastAsia" w:ascii="仿宋" w:hAnsi="仿宋" w:eastAsia="仿宋" w:cs="仿宋"/>
          <w:b/>
          <w:sz w:val="44"/>
        </w:rPr>
        <w:t>报 价 一 览 表</w:t>
      </w:r>
    </w:p>
    <w:p w14:paraId="7CC3635A">
      <w:pPr>
        <w:pStyle w:val="21"/>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ascii="仿宋" w:hAnsi="仿宋" w:eastAsia="仿宋" w:cs="仿宋"/>
          <w:b w:val="0"/>
          <w:sz w:val="30"/>
          <w:szCs w:val="30"/>
        </w:rPr>
      </w:pPr>
      <w:r>
        <w:rPr>
          <w:rFonts w:hint="eastAsia" w:ascii="仿宋" w:hAnsi="仿宋" w:eastAsia="仿宋" w:cs="仿宋"/>
          <w:b w:val="0"/>
          <w:sz w:val="30"/>
          <w:szCs w:val="30"/>
          <w:lang w:eastAsia="zh-CN"/>
        </w:rPr>
        <w:t>绍兴市再生能源发展有限公司</w:t>
      </w:r>
      <w:r>
        <w:rPr>
          <w:rFonts w:hint="eastAsia" w:ascii="仿宋" w:hAnsi="仿宋" w:eastAsia="仿宋" w:cs="仿宋"/>
          <w:b w:val="0"/>
          <w:sz w:val="30"/>
          <w:szCs w:val="30"/>
        </w:rPr>
        <w:t>：</w:t>
      </w:r>
    </w:p>
    <w:p w14:paraId="1D2E1BAF">
      <w:pPr>
        <w:keepNext w:val="0"/>
        <w:keepLines w:val="0"/>
        <w:pageBreakBefore w:val="0"/>
        <w:widowControl w:val="0"/>
        <w:kinsoku/>
        <w:wordWrap/>
        <w:overflowPunct/>
        <w:topLinePunct w:val="0"/>
        <w:autoSpaceDE/>
        <w:autoSpaceDN/>
        <w:bidi w:val="0"/>
        <w:adjustRightInd/>
        <w:snapToGrid w:val="0"/>
        <w:spacing w:line="360" w:lineRule="auto"/>
        <w:ind w:firstLine="560" w:firstLineChars="200"/>
        <w:jc w:val="left"/>
        <w:textAlignment w:val="auto"/>
        <w:rPr>
          <w:rFonts w:hint="eastAsia" w:ascii="仿宋" w:hAnsi="仿宋" w:eastAsia="仿宋" w:cs="仿宋"/>
          <w:sz w:val="30"/>
          <w:szCs w:val="30"/>
        </w:rPr>
      </w:pPr>
      <w:r>
        <w:rPr>
          <w:rFonts w:hint="eastAsia" w:ascii="仿宋_GB2312" w:eastAsia="仿宋_GB2312"/>
          <w:sz w:val="28"/>
          <w:szCs w:val="28"/>
        </w:rPr>
        <w:t>我公司</w:t>
      </w:r>
      <w:r>
        <w:rPr>
          <w:rFonts w:hint="eastAsia" w:ascii="仿宋_GB2312" w:eastAsia="仿宋_GB2312"/>
          <w:sz w:val="28"/>
          <w:szCs w:val="28"/>
          <w:u w:val="single"/>
        </w:rPr>
        <w:t xml:space="preserve">        （报价单位名称）         </w:t>
      </w:r>
      <w:r>
        <w:rPr>
          <w:rFonts w:hint="eastAsia" w:ascii="仿宋_GB2312" w:eastAsia="仿宋_GB2312"/>
          <w:sz w:val="28"/>
          <w:szCs w:val="28"/>
        </w:rPr>
        <w:t>根据贵单位询价文件要求，</w:t>
      </w:r>
      <w:r>
        <w:rPr>
          <w:rFonts w:hint="eastAsia" w:ascii="仿宋_GB2312" w:eastAsia="仿宋_GB2312"/>
          <w:sz w:val="28"/>
          <w:szCs w:val="28"/>
          <w:lang w:eastAsia="zh-CN"/>
        </w:rPr>
        <w:t>委派</w:t>
      </w:r>
      <w:r>
        <w:rPr>
          <w:rFonts w:hint="eastAsia" w:ascii="仿宋_GB2312" w:eastAsia="仿宋_GB2312"/>
          <w:sz w:val="28"/>
          <w:szCs w:val="28"/>
          <w:u w:val="single"/>
          <w:lang w:val="en-US" w:eastAsia="zh-CN"/>
        </w:rPr>
        <w:t xml:space="preserve"> （联系人）   </w:t>
      </w:r>
      <w:r>
        <w:rPr>
          <w:rFonts w:hint="eastAsia" w:ascii="仿宋_GB2312" w:eastAsia="仿宋_GB2312"/>
          <w:sz w:val="28"/>
          <w:szCs w:val="28"/>
          <w:u w:val="none"/>
          <w:lang w:val="en-US" w:eastAsia="zh-CN"/>
        </w:rPr>
        <w:t>，联系方式</w:t>
      </w:r>
      <w:r>
        <w:rPr>
          <w:rFonts w:hint="eastAsia" w:ascii="仿宋_GB2312" w:eastAsia="仿宋_GB2312"/>
          <w:sz w:val="28"/>
          <w:szCs w:val="28"/>
          <w:u w:val="single"/>
          <w:lang w:val="en-US" w:eastAsia="zh-CN"/>
        </w:rPr>
        <w:t xml:space="preserve">                 </w:t>
      </w:r>
      <w:r>
        <w:rPr>
          <w:rFonts w:hint="eastAsia" w:ascii="仿宋" w:hAnsi="仿宋" w:eastAsia="仿宋" w:cs="仿宋"/>
          <w:sz w:val="30"/>
          <w:szCs w:val="30"/>
        </w:rPr>
        <w:t>，参加</w:t>
      </w:r>
      <w:r>
        <w:rPr>
          <w:rFonts w:hint="eastAsia" w:ascii="仿宋" w:hAnsi="仿宋" w:eastAsia="仿宋" w:cs="仿宋"/>
          <w:sz w:val="30"/>
          <w:szCs w:val="30"/>
          <w:u w:val="single"/>
        </w:rPr>
        <w:t xml:space="preserve">  </w:t>
      </w:r>
      <w:r>
        <w:rPr>
          <w:rFonts w:hint="eastAsia" w:ascii="仿宋" w:hAnsi="仿宋" w:eastAsia="仿宋" w:cs="仿宋"/>
          <w:sz w:val="30"/>
          <w:szCs w:val="30"/>
          <w:u w:val="single"/>
          <w:lang w:val="en-US" w:eastAsia="zh-CN"/>
        </w:rPr>
        <w:t xml:space="preserve">绍兴市再生能源发展有限公司 雾化器年度保养 </w:t>
      </w:r>
      <w:r>
        <w:rPr>
          <w:rFonts w:hint="eastAsia" w:ascii="仿宋" w:hAnsi="仿宋" w:eastAsia="仿宋" w:cs="仿宋"/>
          <w:sz w:val="30"/>
          <w:szCs w:val="30"/>
          <w:u w:val="none"/>
          <w:lang w:val="en-US" w:eastAsia="zh-CN"/>
        </w:rPr>
        <w:t>项目。</w:t>
      </w:r>
    </w:p>
    <w:tbl>
      <w:tblPr>
        <w:tblStyle w:val="13"/>
        <w:tblW w:w="5534" w:type="pct"/>
        <w:jc w:val="center"/>
        <w:tblLayout w:type="fixed"/>
        <w:tblCellMar>
          <w:top w:w="0" w:type="dxa"/>
          <w:left w:w="108" w:type="dxa"/>
          <w:bottom w:w="0" w:type="dxa"/>
          <w:right w:w="108" w:type="dxa"/>
        </w:tblCellMar>
      </w:tblPr>
      <w:tblGrid>
        <w:gridCol w:w="713"/>
        <w:gridCol w:w="2410"/>
        <w:gridCol w:w="3350"/>
        <w:gridCol w:w="866"/>
        <w:gridCol w:w="817"/>
        <w:gridCol w:w="1059"/>
        <w:gridCol w:w="1065"/>
      </w:tblGrid>
      <w:tr w14:paraId="6123F305">
        <w:tblPrEx>
          <w:tblCellMar>
            <w:top w:w="0" w:type="dxa"/>
            <w:left w:w="108" w:type="dxa"/>
            <w:bottom w:w="0" w:type="dxa"/>
            <w:right w:w="108" w:type="dxa"/>
          </w:tblCellMar>
        </w:tblPrEx>
        <w:trPr>
          <w:trHeight w:val="467" w:hRule="atLeast"/>
          <w:jc w:val="center"/>
        </w:trPr>
        <w:tc>
          <w:tcPr>
            <w:tcW w:w="713" w:type="dxa"/>
            <w:tcBorders>
              <w:top w:val="single" w:color="000000" w:sz="4" w:space="0"/>
              <w:left w:val="single" w:color="000000" w:sz="4" w:space="0"/>
              <w:bottom w:val="single" w:color="000000" w:sz="4" w:space="0"/>
              <w:right w:val="single" w:color="000000" w:sz="4" w:space="0"/>
            </w:tcBorders>
            <w:noWrap/>
            <w:vAlign w:val="center"/>
          </w:tcPr>
          <w:p w14:paraId="2901373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rPr>
            </w:pPr>
            <w:r>
              <w:rPr>
                <w:rFonts w:hint="eastAsia" w:ascii="仿宋" w:hAnsi="仿宋" w:eastAsia="仿宋" w:cs="仿宋"/>
                <w:i w:val="0"/>
                <w:iCs w:val="0"/>
                <w:strike w:val="0"/>
                <w:dstrike w:val="0"/>
                <w:color w:val="000000"/>
                <w:kern w:val="0"/>
                <w:sz w:val="24"/>
                <w:szCs w:val="24"/>
                <w:highlight w:val="none"/>
                <w:u w:val="none"/>
                <w:lang w:val="en-US" w:eastAsia="zh-CN" w:bidi="ar"/>
              </w:rPr>
              <w:t>序号</w:t>
            </w:r>
          </w:p>
        </w:tc>
        <w:tc>
          <w:tcPr>
            <w:tcW w:w="2410" w:type="dxa"/>
            <w:tcBorders>
              <w:top w:val="single" w:color="000000" w:sz="4" w:space="0"/>
              <w:left w:val="single" w:color="000000" w:sz="4" w:space="0"/>
              <w:bottom w:val="single" w:color="000000" w:sz="4" w:space="0"/>
              <w:right w:val="single" w:color="000000" w:sz="4" w:space="0"/>
            </w:tcBorders>
            <w:noWrap/>
            <w:vAlign w:val="center"/>
          </w:tcPr>
          <w:p w14:paraId="6A5D698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lang w:val="en-US"/>
              </w:rPr>
            </w:pPr>
            <w:r>
              <w:rPr>
                <w:rFonts w:hint="eastAsia" w:ascii="仿宋" w:hAnsi="仿宋" w:eastAsia="仿宋" w:cs="仿宋"/>
                <w:i w:val="0"/>
                <w:iCs w:val="0"/>
                <w:strike w:val="0"/>
                <w:dstrike w:val="0"/>
                <w:color w:val="000000"/>
                <w:kern w:val="0"/>
                <w:sz w:val="24"/>
                <w:szCs w:val="24"/>
                <w:highlight w:val="none"/>
                <w:u w:val="none"/>
                <w:lang w:val="en-US" w:eastAsia="zh-CN" w:bidi="ar"/>
              </w:rPr>
              <w:t>名称</w:t>
            </w:r>
          </w:p>
        </w:tc>
        <w:tc>
          <w:tcPr>
            <w:tcW w:w="3350" w:type="dxa"/>
            <w:tcBorders>
              <w:top w:val="single" w:color="000000" w:sz="4" w:space="0"/>
              <w:left w:val="single" w:color="000000" w:sz="4" w:space="0"/>
              <w:bottom w:val="single" w:color="000000" w:sz="4" w:space="0"/>
              <w:right w:val="single" w:color="000000" w:sz="4" w:space="0"/>
            </w:tcBorders>
            <w:noWrap/>
            <w:vAlign w:val="center"/>
          </w:tcPr>
          <w:p w14:paraId="2BEB5360">
            <w:pPr>
              <w:keepNext w:val="0"/>
              <w:keepLines w:val="0"/>
              <w:pageBreakBefore w:val="0"/>
              <w:widowControl/>
              <w:suppressLineNumbers w:val="0"/>
              <w:tabs>
                <w:tab w:val="left" w:pos="222"/>
              </w:tabs>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规格与技术参数要求</w:t>
            </w:r>
          </w:p>
        </w:tc>
        <w:tc>
          <w:tcPr>
            <w:tcW w:w="866" w:type="dxa"/>
            <w:tcBorders>
              <w:top w:val="single" w:color="000000" w:sz="4" w:space="0"/>
              <w:left w:val="single" w:color="000000" w:sz="4" w:space="0"/>
              <w:bottom w:val="single" w:color="000000" w:sz="4" w:space="0"/>
              <w:right w:val="single" w:color="000000" w:sz="4" w:space="0"/>
            </w:tcBorders>
            <w:noWrap/>
            <w:vAlign w:val="center"/>
          </w:tcPr>
          <w:p w14:paraId="70B187E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rPr>
            </w:pPr>
            <w:r>
              <w:rPr>
                <w:rFonts w:hint="eastAsia" w:ascii="仿宋" w:hAnsi="仿宋" w:eastAsia="仿宋" w:cs="仿宋"/>
                <w:i w:val="0"/>
                <w:iCs w:val="0"/>
                <w:strike w:val="0"/>
                <w:dstrike w:val="0"/>
                <w:color w:val="000000"/>
                <w:kern w:val="0"/>
                <w:sz w:val="24"/>
                <w:szCs w:val="24"/>
                <w:highlight w:val="none"/>
                <w:u w:val="none"/>
                <w:lang w:val="en-US" w:eastAsia="zh-CN" w:bidi="ar"/>
              </w:rPr>
              <w:t>数量</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39B72A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rPr>
            </w:pPr>
            <w:r>
              <w:rPr>
                <w:rFonts w:hint="eastAsia" w:ascii="仿宋" w:hAnsi="仿宋" w:eastAsia="仿宋" w:cs="仿宋"/>
                <w:i w:val="0"/>
                <w:iCs w:val="0"/>
                <w:strike w:val="0"/>
                <w:dstrike w:val="0"/>
                <w:color w:val="000000"/>
                <w:kern w:val="0"/>
                <w:sz w:val="24"/>
                <w:szCs w:val="24"/>
                <w:highlight w:val="none"/>
                <w:u w:val="none"/>
                <w:lang w:val="en-US" w:eastAsia="zh-CN" w:bidi="ar"/>
              </w:rPr>
              <w:t>单位</w:t>
            </w:r>
          </w:p>
        </w:tc>
        <w:tc>
          <w:tcPr>
            <w:tcW w:w="1059" w:type="dxa"/>
            <w:tcBorders>
              <w:top w:val="single" w:color="000000" w:sz="4" w:space="0"/>
              <w:left w:val="single" w:color="000000" w:sz="4" w:space="0"/>
              <w:bottom w:val="single" w:color="000000" w:sz="4" w:space="0"/>
              <w:right w:val="single" w:color="000000" w:sz="4" w:space="0"/>
            </w:tcBorders>
            <w:noWrap/>
            <w:vAlign w:val="center"/>
          </w:tcPr>
          <w:p w14:paraId="74DBFB9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单价（元）</w:t>
            </w:r>
          </w:p>
        </w:tc>
        <w:tc>
          <w:tcPr>
            <w:tcW w:w="1065" w:type="dxa"/>
            <w:tcBorders>
              <w:top w:val="single" w:color="000000" w:sz="4" w:space="0"/>
              <w:left w:val="single" w:color="000000" w:sz="4" w:space="0"/>
              <w:bottom w:val="single" w:color="000000" w:sz="4" w:space="0"/>
              <w:right w:val="single" w:color="000000" w:sz="4" w:space="0"/>
            </w:tcBorders>
            <w:noWrap/>
            <w:vAlign w:val="center"/>
          </w:tcPr>
          <w:p w14:paraId="28F5763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金额（元）</w:t>
            </w:r>
          </w:p>
        </w:tc>
      </w:tr>
      <w:tr w14:paraId="3D656DF8">
        <w:tblPrEx>
          <w:tblCellMar>
            <w:top w:w="0" w:type="dxa"/>
            <w:left w:w="108" w:type="dxa"/>
            <w:bottom w:w="0" w:type="dxa"/>
            <w:right w:w="108" w:type="dxa"/>
          </w:tblCellMar>
        </w:tblPrEx>
        <w:trPr>
          <w:trHeight w:val="529" w:hRule="atLeast"/>
          <w:jc w:val="center"/>
        </w:trPr>
        <w:tc>
          <w:tcPr>
            <w:tcW w:w="10280" w:type="dxa"/>
            <w:gridSpan w:val="7"/>
            <w:tcBorders>
              <w:top w:val="single" w:color="000000" w:sz="4" w:space="0"/>
              <w:left w:val="single" w:color="000000" w:sz="4" w:space="0"/>
              <w:bottom w:val="single" w:color="000000" w:sz="4" w:space="0"/>
              <w:right w:val="single" w:color="000000" w:sz="4" w:space="0"/>
            </w:tcBorders>
            <w:noWrap/>
            <w:vAlign w:val="center"/>
          </w:tcPr>
          <w:p w14:paraId="0AD2258C">
            <w:pPr>
              <w:keepNext w:val="0"/>
              <w:keepLines w:val="0"/>
              <w:widowControl/>
              <w:suppressLineNumbers w:val="0"/>
              <w:tabs>
                <w:tab w:val="left" w:pos="431"/>
              </w:tabs>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sz w:val="24"/>
                <w:szCs w:val="24"/>
                <w:lang w:val="en-US" w:eastAsia="zh-CN"/>
              </w:rPr>
              <w:t>维护保养</w:t>
            </w:r>
          </w:p>
        </w:tc>
      </w:tr>
      <w:tr w14:paraId="77E6401E">
        <w:tblPrEx>
          <w:tblCellMar>
            <w:top w:w="0" w:type="dxa"/>
            <w:left w:w="108" w:type="dxa"/>
            <w:bottom w:w="0" w:type="dxa"/>
            <w:right w:w="108" w:type="dxa"/>
          </w:tblCellMar>
        </w:tblPrEx>
        <w:trPr>
          <w:trHeight w:val="2720" w:hRule="atLeast"/>
          <w:jc w:val="center"/>
        </w:trPr>
        <w:tc>
          <w:tcPr>
            <w:tcW w:w="713" w:type="dxa"/>
            <w:tcBorders>
              <w:top w:val="single" w:color="000000" w:sz="4" w:space="0"/>
              <w:left w:val="single" w:color="000000" w:sz="4" w:space="0"/>
              <w:bottom w:val="single" w:color="000000" w:sz="4" w:space="0"/>
              <w:right w:val="single" w:color="000000" w:sz="4" w:space="0"/>
            </w:tcBorders>
            <w:noWrap/>
            <w:vAlign w:val="center"/>
          </w:tcPr>
          <w:p w14:paraId="632858CE">
            <w:pPr>
              <w:keepNext w:val="0"/>
              <w:keepLines w:val="0"/>
              <w:pageBreakBefore w:val="0"/>
              <w:widowControl/>
              <w:numPr>
                <w:ilvl w:val="0"/>
                <w:numId w:val="6"/>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2410" w:type="dxa"/>
            <w:tcBorders>
              <w:top w:val="single" w:color="000000" w:sz="4" w:space="0"/>
              <w:left w:val="single" w:color="000000" w:sz="4" w:space="0"/>
              <w:bottom w:val="single" w:color="000000" w:sz="4" w:space="0"/>
              <w:right w:val="single" w:color="000000" w:sz="4" w:space="0"/>
            </w:tcBorders>
            <w:noWrap w:val="0"/>
            <w:vAlign w:val="center"/>
          </w:tcPr>
          <w:p w14:paraId="3144B83F">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雾化器保养</w:t>
            </w:r>
          </w:p>
        </w:tc>
        <w:tc>
          <w:tcPr>
            <w:tcW w:w="3350" w:type="dxa"/>
            <w:tcBorders>
              <w:top w:val="single" w:color="000000" w:sz="4" w:space="0"/>
              <w:left w:val="single" w:color="000000" w:sz="4" w:space="0"/>
              <w:bottom w:val="single" w:color="000000" w:sz="4" w:space="0"/>
              <w:right w:val="single" w:color="000000" w:sz="4" w:space="0"/>
            </w:tcBorders>
            <w:noWrap w:val="0"/>
            <w:vAlign w:val="center"/>
          </w:tcPr>
          <w:p w14:paraId="2F98256C">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1.每台保养雾化器O 型圈,油封,油垫纸,滤芯,反冲垫,导向轴承及NU209、6308C3 、6305M.C3、NU308、6209-C、6006MA.C3各一只、NU306二只轴承，滤芯及导向轴承更换全由维护方提供。</w:t>
            </w:r>
          </w:p>
          <w:p w14:paraId="1497A6FF">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2.整机拆装清洗检查评估由维护方提供。</w:t>
            </w:r>
          </w:p>
        </w:tc>
        <w:tc>
          <w:tcPr>
            <w:tcW w:w="866" w:type="dxa"/>
            <w:tcBorders>
              <w:top w:val="single" w:color="000000" w:sz="4" w:space="0"/>
              <w:left w:val="single" w:color="000000" w:sz="4" w:space="0"/>
              <w:bottom w:val="single" w:color="000000" w:sz="4" w:space="0"/>
              <w:right w:val="single" w:color="000000" w:sz="4" w:space="0"/>
            </w:tcBorders>
            <w:noWrap w:val="0"/>
            <w:vAlign w:val="center"/>
          </w:tcPr>
          <w:p w14:paraId="6201E2B4">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5</w:t>
            </w:r>
          </w:p>
        </w:tc>
        <w:tc>
          <w:tcPr>
            <w:tcW w:w="817" w:type="dxa"/>
            <w:tcBorders>
              <w:top w:val="single" w:color="000000" w:sz="4" w:space="0"/>
              <w:left w:val="single" w:color="000000" w:sz="4" w:space="0"/>
              <w:bottom w:val="single" w:color="000000" w:sz="4" w:space="0"/>
              <w:right w:val="single" w:color="000000" w:sz="4" w:space="0"/>
            </w:tcBorders>
            <w:noWrap w:val="0"/>
            <w:vAlign w:val="center"/>
          </w:tcPr>
          <w:p w14:paraId="641AC0CA">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台</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14:paraId="33EAFB28">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noWrap w:val="0"/>
            <w:vAlign w:val="center"/>
          </w:tcPr>
          <w:p w14:paraId="326AA83E">
            <w:pPr>
              <w:keepNext w:val="0"/>
              <w:keepLines w:val="0"/>
              <w:widowControl/>
              <w:suppressLineNumbers w:val="0"/>
              <w:tabs>
                <w:tab w:val="left" w:pos="431"/>
              </w:tabs>
              <w:jc w:val="left"/>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5C8E995D">
        <w:tblPrEx>
          <w:tblCellMar>
            <w:top w:w="0" w:type="dxa"/>
            <w:left w:w="108" w:type="dxa"/>
            <w:bottom w:w="0" w:type="dxa"/>
            <w:right w:w="108" w:type="dxa"/>
          </w:tblCellMar>
        </w:tblPrEx>
        <w:trPr>
          <w:trHeight w:val="529" w:hRule="atLeast"/>
          <w:jc w:val="center"/>
        </w:trPr>
        <w:tc>
          <w:tcPr>
            <w:tcW w:w="10280" w:type="dxa"/>
            <w:gridSpan w:val="7"/>
            <w:tcBorders>
              <w:top w:val="single" w:color="000000" w:sz="4" w:space="0"/>
              <w:left w:val="single" w:color="000000" w:sz="4" w:space="0"/>
              <w:bottom w:val="single" w:color="000000" w:sz="4" w:space="0"/>
              <w:right w:val="single" w:color="000000" w:sz="4" w:space="0"/>
            </w:tcBorders>
            <w:noWrap/>
            <w:vAlign w:val="center"/>
          </w:tcPr>
          <w:p w14:paraId="19A603F5">
            <w:pPr>
              <w:keepNext w:val="0"/>
              <w:keepLines w:val="0"/>
              <w:widowControl/>
              <w:suppressLineNumbers w:val="0"/>
              <w:tabs>
                <w:tab w:val="left" w:pos="431"/>
              </w:tabs>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sz w:val="24"/>
                <w:szCs w:val="24"/>
                <w:lang w:val="en-US" w:eastAsia="zh-CN"/>
              </w:rPr>
              <w:t>配件供货</w:t>
            </w:r>
          </w:p>
        </w:tc>
      </w:tr>
      <w:tr w14:paraId="1A325D2F">
        <w:tblPrEx>
          <w:tblCellMar>
            <w:top w:w="0" w:type="dxa"/>
            <w:left w:w="108" w:type="dxa"/>
            <w:bottom w:w="0" w:type="dxa"/>
            <w:right w:w="108" w:type="dxa"/>
          </w:tblCellMar>
        </w:tblPrEx>
        <w:trPr>
          <w:trHeight w:val="529" w:hRule="atLeast"/>
          <w:jc w:val="center"/>
        </w:trPr>
        <w:tc>
          <w:tcPr>
            <w:tcW w:w="713" w:type="dxa"/>
            <w:tcBorders>
              <w:top w:val="single" w:color="000000" w:sz="4" w:space="0"/>
              <w:left w:val="single" w:color="000000" w:sz="4" w:space="0"/>
              <w:bottom w:val="single" w:color="000000" w:sz="4" w:space="0"/>
              <w:right w:val="single" w:color="000000" w:sz="4" w:space="0"/>
            </w:tcBorders>
            <w:noWrap/>
            <w:vAlign w:val="center"/>
          </w:tcPr>
          <w:p w14:paraId="05BFD5A4">
            <w:pPr>
              <w:keepNext w:val="0"/>
              <w:keepLines w:val="0"/>
              <w:pageBreakBefore w:val="0"/>
              <w:widowControl/>
              <w:numPr>
                <w:ilvl w:val="0"/>
                <w:numId w:val="6"/>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2410" w:type="dxa"/>
            <w:tcBorders>
              <w:top w:val="single" w:color="000000" w:sz="4" w:space="0"/>
              <w:left w:val="single" w:color="000000" w:sz="4" w:space="0"/>
              <w:bottom w:val="single" w:color="000000" w:sz="4" w:space="0"/>
              <w:right w:val="single" w:color="000000" w:sz="4" w:space="0"/>
            </w:tcBorders>
            <w:noWrap w:val="0"/>
            <w:vAlign w:val="center"/>
          </w:tcPr>
          <w:p w14:paraId="71EDB221">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sz w:val="24"/>
                <w:szCs w:val="24"/>
                <w:lang w:val="en-US" w:eastAsia="zh-CN"/>
              </w:rPr>
              <w:t>雾化器分流盘</w:t>
            </w:r>
          </w:p>
        </w:tc>
        <w:tc>
          <w:tcPr>
            <w:tcW w:w="3350" w:type="dxa"/>
            <w:tcBorders>
              <w:top w:val="single" w:color="000000" w:sz="4" w:space="0"/>
              <w:left w:val="single" w:color="000000" w:sz="4" w:space="0"/>
              <w:bottom w:val="single" w:color="000000" w:sz="4" w:space="0"/>
              <w:right w:val="single" w:color="000000" w:sz="4" w:space="0"/>
            </w:tcBorders>
            <w:noWrap w:val="0"/>
            <w:vAlign w:val="center"/>
          </w:tcPr>
          <w:p w14:paraId="5F5C115A">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sz w:val="24"/>
                <w:szCs w:val="24"/>
                <w:lang w:val="en-US" w:eastAsia="zh-CN"/>
              </w:rPr>
              <w:t>F100雾化器专用，材质：哈氏合金</w:t>
            </w:r>
          </w:p>
        </w:tc>
        <w:tc>
          <w:tcPr>
            <w:tcW w:w="866" w:type="dxa"/>
            <w:tcBorders>
              <w:top w:val="single" w:color="000000" w:sz="4" w:space="0"/>
              <w:left w:val="single" w:color="000000" w:sz="4" w:space="0"/>
              <w:bottom w:val="single" w:color="000000" w:sz="4" w:space="0"/>
              <w:right w:val="single" w:color="000000" w:sz="4" w:space="0"/>
            </w:tcBorders>
            <w:noWrap w:val="0"/>
            <w:vAlign w:val="center"/>
          </w:tcPr>
          <w:p w14:paraId="2D7BA54D">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strike w:val="0"/>
                <w:dstrike w:val="0"/>
                <w:color w:val="000000"/>
                <w:sz w:val="24"/>
                <w:szCs w:val="24"/>
                <w:highlight w:val="none"/>
                <w:u w:val="none"/>
                <w:lang w:val="en-US" w:eastAsia="zh-CN"/>
              </w:rPr>
            </w:pPr>
            <w:r>
              <w:rPr>
                <w:rFonts w:hint="eastAsia" w:ascii="仿宋" w:hAnsi="仿宋" w:eastAsia="仿宋" w:cs="仿宋"/>
                <w:sz w:val="24"/>
                <w:szCs w:val="24"/>
                <w:lang w:val="en-US" w:eastAsia="zh-CN"/>
              </w:rPr>
              <w:t>3</w:t>
            </w:r>
          </w:p>
        </w:tc>
        <w:tc>
          <w:tcPr>
            <w:tcW w:w="817" w:type="dxa"/>
            <w:tcBorders>
              <w:top w:val="single" w:color="000000" w:sz="4" w:space="0"/>
              <w:left w:val="single" w:color="000000" w:sz="4" w:space="0"/>
              <w:bottom w:val="single" w:color="000000" w:sz="4" w:space="0"/>
              <w:right w:val="single" w:color="000000" w:sz="4" w:space="0"/>
            </w:tcBorders>
            <w:noWrap w:val="0"/>
            <w:vAlign w:val="center"/>
          </w:tcPr>
          <w:p w14:paraId="751CB73B">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strike w:val="0"/>
                <w:dstrike w:val="0"/>
                <w:color w:val="000000"/>
                <w:sz w:val="24"/>
                <w:szCs w:val="24"/>
                <w:highlight w:val="none"/>
                <w:u w:val="none"/>
                <w:lang w:val="en-US" w:eastAsia="zh-CN"/>
              </w:rPr>
            </w:pPr>
            <w:r>
              <w:rPr>
                <w:rFonts w:hint="eastAsia" w:ascii="仿宋" w:hAnsi="仿宋" w:eastAsia="仿宋" w:cs="仿宋"/>
                <w:sz w:val="24"/>
                <w:szCs w:val="24"/>
                <w:lang w:val="en-US" w:eastAsia="zh-CN"/>
              </w:rPr>
              <w:t>个</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14:paraId="33D461FF">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noWrap w:val="0"/>
            <w:vAlign w:val="center"/>
          </w:tcPr>
          <w:p w14:paraId="323D1A66">
            <w:pPr>
              <w:keepNext w:val="0"/>
              <w:keepLines w:val="0"/>
              <w:widowControl/>
              <w:suppressLineNumbers w:val="0"/>
              <w:tabs>
                <w:tab w:val="left" w:pos="431"/>
              </w:tabs>
              <w:jc w:val="left"/>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3D6C2FE6">
        <w:tblPrEx>
          <w:tblCellMar>
            <w:top w:w="0" w:type="dxa"/>
            <w:left w:w="108" w:type="dxa"/>
            <w:bottom w:w="0" w:type="dxa"/>
            <w:right w:w="108" w:type="dxa"/>
          </w:tblCellMar>
        </w:tblPrEx>
        <w:trPr>
          <w:trHeight w:val="529" w:hRule="atLeast"/>
          <w:jc w:val="center"/>
        </w:trPr>
        <w:tc>
          <w:tcPr>
            <w:tcW w:w="713" w:type="dxa"/>
            <w:tcBorders>
              <w:top w:val="single" w:color="000000" w:sz="4" w:space="0"/>
              <w:left w:val="single" w:color="000000" w:sz="4" w:space="0"/>
              <w:bottom w:val="single" w:color="000000" w:sz="4" w:space="0"/>
              <w:right w:val="single" w:color="000000" w:sz="4" w:space="0"/>
            </w:tcBorders>
            <w:noWrap/>
            <w:vAlign w:val="center"/>
          </w:tcPr>
          <w:p w14:paraId="79DC8C39">
            <w:pPr>
              <w:keepNext w:val="0"/>
              <w:keepLines w:val="0"/>
              <w:pageBreakBefore w:val="0"/>
              <w:widowControl/>
              <w:numPr>
                <w:ilvl w:val="0"/>
                <w:numId w:val="6"/>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2410" w:type="dxa"/>
            <w:tcBorders>
              <w:top w:val="single" w:color="000000" w:sz="4" w:space="0"/>
              <w:left w:val="single" w:color="000000" w:sz="4" w:space="0"/>
              <w:bottom w:val="single" w:color="000000" w:sz="4" w:space="0"/>
              <w:right w:val="single" w:color="000000" w:sz="4" w:space="0"/>
            </w:tcBorders>
            <w:noWrap w:val="0"/>
            <w:vAlign w:val="center"/>
          </w:tcPr>
          <w:p w14:paraId="1BD2B47E">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sz w:val="24"/>
                <w:szCs w:val="24"/>
                <w:lang w:val="en-US" w:eastAsia="zh-CN"/>
              </w:rPr>
              <w:t>雾化器导流盘</w:t>
            </w:r>
          </w:p>
        </w:tc>
        <w:tc>
          <w:tcPr>
            <w:tcW w:w="3350" w:type="dxa"/>
            <w:tcBorders>
              <w:top w:val="single" w:color="000000" w:sz="4" w:space="0"/>
              <w:left w:val="single" w:color="000000" w:sz="4" w:space="0"/>
              <w:bottom w:val="single" w:color="000000" w:sz="4" w:space="0"/>
              <w:right w:val="single" w:color="000000" w:sz="4" w:space="0"/>
            </w:tcBorders>
            <w:noWrap w:val="0"/>
            <w:vAlign w:val="center"/>
          </w:tcPr>
          <w:p w14:paraId="6E2CAF32">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sz w:val="24"/>
                <w:szCs w:val="24"/>
                <w:lang w:val="en-US" w:eastAsia="zh-CN"/>
              </w:rPr>
              <w:t>F100雾化器专用，材质：哈氏合金</w:t>
            </w:r>
          </w:p>
        </w:tc>
        <w:tc>
          <w:tcPr>
            <w:tcW w:w="866" w:type="dxa"/>
            <w:tcBorders>
              <w:top w:val="single" w:color="000000" w:sz="4" w:space="0"/>
              <w:left w:val="single" w:color="000000" w:sz="4" w:space="0"/>
              <w:bottom w:val="single" w:color="000000" w:sz="4" w:space="0"/>
              <w:right w:val="single" w:color="000000" w:sz="4" w:space="0"/>
            </w:tcBorders>
            <w:noWrap w:val="0"/>
            <w:vAlign w:val="center"/>
          </w:tcPr>
          <w:p w14:paraId="508B8087">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sz w:val="24"/>
                <w:szCs w:val="24"/>
                <w:lang w:val="en-US" w:eastAsia="zh-CN"/>
              </w:rPr>
              <w:t>4</w:t>
            </w:r>
          </w:p>
        </w:tc>
        <w:tc>
          <w:tcPr>
            <w:tcW w:w="817" w:type="dxa"/>
            <w:tcBorders>
              <w:top w:val="single" w:color="000000" w:sz="4" w:space="0"/>
              <w:left w:val="single" w:color="000000" w:sz="4" w:space="0"/>
              <w:bottom w:val="single" w:color="000000" w:sz="4" w:space="0"/>
              <w:right w:val="single" w:color="000000" w:sz="4" w:space="0"/>
            </w:tcBorders>
            <w:noWrap w:val="0"/>
            <w:vAlign w:val="center"/>
          </w:tcPr>
          <w:p w14:paraId="4348934E">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sz w:val="24"/>
                <w:szCs w:val="24"/>
                <w:lang w:val="en-US" w:eastAsia="zh-CN"/>
              </w:rPr>
              <w:t>个</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14:paraId="79B91283">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noWrap w:val="0"/>
            <w:vAlign w:val="center"/>
          </w:tcPr>
          <w:p w14:paraId="4779DF36">
            <w:pPr>
              <w:keepNext w:val="0"/>
              <w:keepLines w:val="0"/>
              <w:widowControl/>
              <w:suppressLineNumbers w:val="0"/>
              <w:tabs>
                <w:tab w:val="left" w:pos="350"/>
              </w:tabs>
              <w:jc w:val="left"/>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3476059D">
        <w:tblPrEx>
          <w:tblCellMar>
            <w:top w:w="0" w:type="dxa"/>
            <w:left w:w="108" w:type="dxa"/>
            <w:bottom w:w="0" w:type="dxa"/>
            <w:right w:w="108" w:type="dxa"/>
          </w:tblCellMar>
        </w:tblPrEx>
        <w:trPr>
          <w:trHeight w:val="529" w:hRule="atLeast"/>
          <w:jc w:val="center"/>
        </w:trPr>
        <w:tc>
          <w:tcPr>
            <w:tcW w:w="713" w:type="dxa"/>
            <w:tcBorders>
              <w:top w:val="single" w:color="000000" w:sz="4" w:space="0"/>
              <w:left w:val="single" w:color="000000" w:sz="4" w:space="0"/>
              <w:bottom w:val="single" w:color="000000" w:sz="4" w:space="0"/>
              <w:right w:val="single" w:color="000000" w:sz="4" w:space="0"/>
            </w:tcBorders>
            <w:noWrap/>
            <w:vAlign w:val="center"/>
          </w:tcPr>
          <w:p w14:paraId="76F81B42">
            <w:pPr>
              <w:keepNext w:val="0"/>
              <w:keepLines w:val="0"/>
              <w:pageBreakBefore w:val="0"/>
              <w:widowControl/>
              <w:numPr>
                <w:ilvl w:val="0"/>
                <w:numId w:val="6"/>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2410" w:type="dxa"/>
            <w:tcBorders>
              <w:top w:val="single" w:color="000000" w:sz="4" w:space="0"/>
              <w:left w:val="single" w:color="000000" w:sz="4" w:space="0"/>
              <w:bottom w:val="single" w:color="000000" w:sz="4" w:space="0"/>
              <w:right w:val="single" w:color="000000" w:sz="4" w:space="0"/>
            </w:tcBorders>
            <w:noWrap w:val="0"/>
            <w:vAlign w:val="center"/>
          </w:tcPr>
          <w:p w14:paraId="3DE867D7">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sz w:val="24"/>
                <w:szCs w:val="24"/>
                <w:lang w:val="en-US" w:eastAsia="zh-CN"/>
              </w:rPr>
              <w:t>雾化器分配器内衬</w:t>
            </w:r>
          </w:p>
        </w:tc>
        <w:tc>
          <w:tcPr>
            <w:tcW w:w="3350" w:type="dxa"/>
            <w:tcBorders>
              <w:top w:val="single" w:color="000000" w:sz="4" w:space="0"/>
              <w:left w:val="single" w:color="000000" w:sz="4" w:space="0"/>
              <w:bottom w:val="single" w:color="000000" w:sz="4" w:space="0"/>
              <w:right w:val="single" w:color="000000" w:sz="4" w:space="0"/>
            </w:tcBorders>
            <w:noWrap w:val="0"/>
            <w:vAlign w:val="center"/>
          </w:tcPr>
          <w:p w14:paraId="0C3E85C8">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sz w:val="24"/>
                <w:szCs w:val="24"/>
                <w:lang w:val="en-US" w:eastAsia="zh-CN"/>
              </w:rPr>
              <w:t>F100雾化器专用，材质：哈氏合金</w:t>
            </w:r>
          </w:p>
        </w:tc>
        <w:tc>
          <w:tcPr>
            <w:tcW w:w="866" w:type="dxa"/>
            <w:tcBorders>
              <w:top w:val="single" w:color="000000" w:sz="4" w:space="0"/>
              <w:left w:val="single" w:color="000000" w:sz="4" w:space="0"/>
              <w:bottom w:val="single" w:color="000000" w:sz="4" w:space="0"/>
              <w:right w:val="single" w:color="000000" w:sz="4" w:space="0"/>
            </w:tcBorders>
            <w:noWrap w:val="0"/>
            <w:vAlign w:val="center"/>
          </w:tcPr>
          <w:p w14:paraId="301BBCB4">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sz w:val="24"/>
                <w:szCs w:val="24"/>
                <w:lang w:val="en-US" w:eastAsia="zh-CN"/>
              </w:rPr>
              <w:t>3</w:t>
            </w:r>
          </w:p>
        </w:tc>
        <w:tc>
          <w:tcPr>
            <w:tcW w:w="817" w:type="dxa"/>
            <w:tcBorders>
              <w:top w:val="single" w:color="000000" w:sz="4" w:space="0"/>
              <w:left w:val="single" w:color="000000" w:sz="4" w:space="0"/>
              <w:bottom w:val="single" w:color="000000" w:sz="4" w:space="0"/>
              <w:right w:val="single" w:color="000000" w:sz="4" w:space="0"/>
            </w:tcBorders>
            <w:noWrap w:val="0"/>
            <w:vAlign w:val="center"/>
          </w:tcPr>
          <w:p w14:paraId="23D2EAD5">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sz w:val="24"/>
                <w:szCs w:val="24"/>
                <w:lang w:val="en-US" w:eastAsia="zh-CN"/>
              </w:rPr>
              <w:t>个</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14:paraId="78507DD1">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noWrap w:val="0"/>
            <w:vAlign w:val="center"/>
          </w:tcPr>
          <w:p w14:paraId="1F00CBF6">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7DDB45E7">
        <w:tblPrEx>
          <w:tblCellMar>
            <w:top w:w="0" w:type="dxa"/>
            <w:left w:w="108" w:type="dxa"/>
            <w:bottom w:w="0" w:type="dxa"/>
            <w:right w:w="108" w:type="dxa"/>
          </w:tblCellMar>
        </w:tblPrEx>
        <w:trPr>
          <w:trHeight w:val="529" w:hRule="atLeast"/>
          <w:jc w:val="center"/>
        </w:trPr>
        <w:tc>
          <w:tcPr>
            <w:tcW w:w="713" w:type="dxa"/>
            <w:tcBorders>
              <w:top w:val="single" w:color="000000" w:sz="4" w:space="0"/>
              <w:left w:val="single" w:color="000000" w:sz="4" w:space="0"/>
              <w:bottom w:val="single" w:color="000000" w:sz="4" w:space="0"/>
              <w:right w:val="single" w:color="000000" w:sz="4" w:space="0"/>
            </w:tcBorders>
            <w:noWrap/>
            <w:vAlign w:val="center"/>
          </w:tcPr>
          <w:p w14:paraId="0D6BBE8E">
            <w:pPr>
              <w:keepNext w:val="0"/>
              <w:keepLines w:val="0"/>
              <w:pageBreakBefore w:val="0"/>
              <w:widowControl/>
              <w:numPr>
                <w:ilvl w:val="0"/>
                <w:numId w:val="6"/>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2410" w:type="dxa"/>
            <w:tcBorders>
              <w:top w:val="single" w:color="000000" w:sz="4" w:space="0"/>
              <w:left w:val="single" w:color="000000" w:sz="4" w:space="0"/>
              <w:bottom w:val="single" w:color="000000" w:sz="4" w:space="0"/>
              <w:right w:val="single" w:color="000000" w:sz="4" w:space="0"/>
            </w:tcBorders>
            <w:noWrap w:val="0"/>
            <w:vAlign w:val="center"/>
          </w:tcPr>
          <w:p w14:paraId="08550FE2">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sz w:val="24"/>
                <w:szCs w:val="24"/>
                <w:lang w:val="en-US" w:eastAsia="zh-CN"/>
              </w:rPr>
              <w:t>雾化器分配器</w:t>
            </w:r>
          </w:p>
        </w:tc>
        <w:tc>
          <w:tcPr>
            <w:tcW w:w="3350" w:type="dxa"/>
            <w:tcBorders>
              <w:top w:val="single" w:color="000000" w:sz="4" w:space="0"/>
              <w:left w:val="single" w:color="000000" w:sz="4" w:space="0"/>
              <w:bottom w:val="single" w:color="000000" w:sz="4" w:space="0"/>
              <w:right w:val="single" w:color="000000" w:sz="4" w:space="0"/>
            </w:tcBorders>
            <w:noWrap w:val="0"/>
            <w:vAlign w:val="center"/>
          </w:tcPr>
          <w:p w14:paraId="633D2012">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sz w:val="24"/>
                <w:szCs w:val="24"/>
                <w:lang w:val="en-US" w:eastAsia="zh-CN"/>
              </w:rPr>
              <w:t>F100雾化器专用，材质：哈氏合金</w:t>
            </w:r>
          </w:p>
        </w:tc>
        <w:tc>
          <w:tcPr>
            <w:tcW w:w="866" w:type="dxa"/>
            <w:tcBorders>
              <w:top w:val="single" w:color="000000" w:sz="4" w:space="0"/>
              <w:left w:val="single" w:color="000000" w:sz="4" w:space="0"/>
              <w:bottom w:val="single" w:color="000000" w:sz="4" w:space="0"/>
              <w:right w:val="single" w:color="000000" w:sz="4" w:space="0"/>
            </w:tcBorders>
            <w:noWrap w:val="0"/>
            <w:vAlign w:val="center"/>
          </w:tcPr>
          <w:p w14:paraId="16A84416">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sz w:val="24"/>
                <w:szCs w:val="24"/>
                <w:lang w:val="en-US" w:eastAsia="zh-CN"/>
              </w:rPr>
              <w:t>4</w:t>
            </w:r>
          </w:p>
        </w:tc>
        <w:tc>
          <w:tcPr>
            <w:tcW w:w="817" w:type="dxa"/>
            <w:tcBorders>
              <w:top w:val="single" w:color="000000" w:sz="4" w:space="0"/>
              <w:left w:val="single" w:color="000000" w:sz="4" w:space="0"/>
              <w:bottom w:val="single" w:color="000000" w:sz="4" w:space="0"/>
              <w:right w:val="single" w:color="000000" w:sz="4" w:space="0"/>
            </w:tcBorders>
            <w:noWrap w:val="0"/>
            <w:vAlign w:val="center"/>
          </w:tcPr>
          <w:p w14:paraId="0E0ED99B">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sz w:val="24"/>
                <w:szCs w:val="24"/>
                <w:lang w:val="en-US" w:eastAsia="zh-CN"/>
              </w:rPr>
              <w:t>个</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14:paraId="645BDA27">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noWrap w:val="0"/>
            <w:vAlign w:val="center"/>
          </w:tcPr>
          <w:p w14:paraId="7D28FAB8">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037DDDE1">
        <w:tblPrEx>
          <w:tblCellMar>
            <w:top w:w="0" w:type="dxa"/>
            <w:left w:w="108" w:type="dxa"/>
            <w:bottom w:w="0" w:type="dxa"/>
            <w:right w:w="108" w:type="dxa"/>
          </w:tblCellMar>
        </w:tblPrEx>
        <w:trPr>
          <w:trHeight w:val="529" w:hRule="atLeast"/>
          <w:jc w:val="center"/>
        </w:trPr>
        <w:tc>
          <w:tcPr>
            <w:tcW w:w="713" w:type="dxa"/>
            <w:tcBorders>
              <w:top w:val="single" w:color="000000" w:sz="4" w:space="0"/>
              <w:left w:val="single" w:color="000000" w:sz="4" w:space="0"/>
              <w:bottom w:val="single" w:color="000000" w:sz="4" w:space="0"/>
              <w:right w:val="single" w:color="000000" w:sz="4" w:space="0"/>
            </w:tcBorders>
            <w:noWrap/>
            <w:vAlign w:val="center"/>
          </w:tcPr>
          <w:p w14:paraId="57D96F9E">
            <w:pPr>
              <w:keepNext w:val="0"/>
              <w:keepLines w:val="0"/>
              <w:pageBreakBefore w:val="0"/>
              <w:widowControl/>
              <w:numPr>
                <w:ilvl w:val="0"/>
                <w:numId w:val="6"/>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2410" w:type="dxa"/>
            <w:tcBorders>
              <w:top w:val="single" w:color="000000" w:sz="4" w:space="0"/>
              <w:left w:val="single" w:color="000000" w:sz="4" w:space="0"/>
              <w:bottom w:val="single" w:color="000000" w:sz="4" w:space="0"/>
              <w:right w:val="single" w:color="000000" w:sz="4" w:space="0"/>
            </w:tcBorders>
            <w:noWrap w:val="0"/>
            <w:vAlign w:val="center"/>
          </w:tcPr>
          <w:p w14:paraId="4A3220D5">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sz w:val="24"/>
                <w:szCs w:val="24"/>
                <w:lang w:val="en-US" w:eastAsia="zh-CN"/>
              </w:rPr>
              <w:t>雾化器隔板</w:t>
            </w:r>
          </w:p>
        </w:tc>
        <w:tc>
          <w:tcPr>
            <w:tcW w:w="3350" w:type="dxa"/>
            <w:tcBorders>
              <w:top w:val="single" w:color="000000" w:sz="4" w:space="0"/>
              <w:left w:val="single" w:color="000000" w:sz="4" w:space="0"/>
              <w:bottom w:val="single" w:color="000000" w:sz="4" w:space="0"/>
              <w:right w:val="single" w:color="000000" w:sz="4" w:space="0"/>
            </w:tcBorders>
            <w:noWrap w:val="0"/>
            <w:vAlign w:val="center"/>
          </w:tcPr>
          <w:p w14:paraId="27541FFD">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sz w:val="24"/>
                <w:szCs w:val="24"/>
                <w:lang w:val="en-US" w:eastAsia="zh-CN"/>
              </w:rPr>
              <w:t>F100雾化器专用，材质：哈氏合金</w:t>
            </w:r>
          </w:p>
        </w:tc>
        <w:tc>
          <w:tcPr>
            <w:tcW w:w="866" w:type="dxa"/>
            <w:tcBorders>
              <w:top w:val="single" w:color="000000" w:sz="4" w:space="0"/>
              <w:left w:val="single" w:color="000000" w:sz="4" w:space="0"/>
              <w:bottom w:val="single" w:color="000000" w:sz="4" w:space="0"/>
              <w:right w:val="single" w:color="000000" w:sz="4" w:space="0"/>
            </w:tcBorders>
            <w:noWrap w:val="0"/>
            <w:vAlign w:val="center"/>
          </w:tcPr>
          <w:p w14:paraId="41FD536D">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sz w:val="24"/>
                <w:szCs w:val="24"/>
                <w:lang w:val="en-US" w:eastAsia="zh-CN"/>
              </w:rPr>
              <w:t>4</w:t>
            </w:r>
          </w:p>
        </w:tc>
        <w:tc>
          <w:tcPr>
            <w:tcW w:w="817" w:type="dxa"/>
            <w:tcBorders>
              <w:top w:val="single" w:color="000000" w:sz="4" w:space="0"/>
              <w:left w:val="single" w:color="000000" w:sz="4" w:space="0"/>
              <w:bottom w:val="single" w:color="000000" w:sz="4" w:space="0"/>
              <w:right w:val="single" w:color="000000" w:sz="4" w:space="0"/>
            </w:tcBorders>
            <w:noWrap w:val="0"/>
            <w:vAlign w:val="center"/>
          </w:tcPr>
          <w:p w14:paraId="04DB70ED">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sz w:val="24"/>
                <w:szCs w:val="24"/>
                <w:lang w:val="en-US" w:eastAsia="zh-CN"/>
              </w:rPr>
              <w:t>个</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14:paraId="453458CC">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noWrap w:val="0"/>
            <w:vAlign w:val="center"/>
          </w:tcPr>
          <w:p w14:paraId="619E7798">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5E54B7E1">
        <w:tblPrEx>
          <w:tblCellMar>
            <w:top w:w="0" w:type="dxa"/>
            <w:left w:w="108" w:type="dxa"/>
            <w:bottom w:w="0" w:type="dxa"/>
            <w:right w:w="108" w:type="dxa"/>
          </w:tblCellMar>
        </w:tblPrEx>
        <w:trPr>
          <w:trHeight w:val="529" w:hRule="atLeast"/>
          <w:jc w:val="center"/>
        </w:trPr>
        <w:tc>
          <w:tcPr>
            <w:tcW w:w="713" w:type="dxa"/>
            <w:tcBorders>
              <w:top w:val="single" w:color="000000" w:sz="4" w:space="0"/>
              <w:left w:val="single" w:color="000000" w:sz="4" w:space="0"/>
              <w:bottom w:val="single" w:color="000000" w:sz="4" w:space="0"/>
              <w:right w:val="single" w:color="000000" w:sz="4" w:space="0"/>
            </w:tcBorders>
            <w:noWrap/>
            <w:vAlign w:val="center"/>
          </w:tcPr>
          <w:p w14:paraId="7B81C0D4">
            <w:pPr>
              <w:keepNext w:val="0"/>
              <w:keepLines w:val="0"/>
              <w:pageBreakBefore w:val="0"/>
              <w:widowControl/>
              <w:numPr>
                <w:ilvl w:val="0"/>
                <w:numId w:val="6"/>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2410" w:type="dxa"/>
            <w:tcBorders>
              <w:top w:val="single" w:color="000000" w:sz="4" w:space="0"/>
              <w:left w:val="single" w:color="000000" w:sz="4" w:space="0"/>
              <w:bottom w:val="single" w:color="000000" w:sz="4" w:space="0"/>
              <w:right w:val="single" w:color="000000" w:sz="4" w:space="0"/>
            </w:tcBorders>
            <w:noWrap w:val="0"/>
            <w:vAlign w:val="center"/>
          </w:tcPr>
          <w:p w14:paraId="2CC94708">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sz w:val="24"/>
                <w:szCs w:val="24"/>
                <w:lang w:val="en-US" w:eastAsia="zh-CN"/>
              </w:rPr>
              <w:t>雾化器分配盘螺栓</w:t>
            </w:r>
          </w:p>
        </w:tc>
        <w:tc>
          <w:tcPr>
            <w:tcW w:w="3350" w:type="dxa"/>
            <w:tcBorders>
              <w:top w:val="single" w:color="000000" w:sz="4" w:space="0"/>
              <w:left w:val="single" w:color="000000" w:sz="4" w:space="0"/>
              <w:bottom w:val="single" w:color="000000" w:sz="4" w:space="0"/>
              <w:right w:val="single" w:color="000000" w:sz="4" w:space="0"/>
            </w:tcBorders>
            <w:noWrap w:val="0"/>
            <w:vAlign w:val="center"/>
          </w:tcPr>
          <w:p w14:paraId="28A6A5E1">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sz w:val="24"/>
                <w:szCs w:val="24"/>
                <w:lang w:val="en-US" w:eastAsia="zh-CN"/>
              </w:rPr>
              <w:t>M8*70材质：哈氏合金C276</w:t>
            </w:r>
          </w:p>
        </w:tc>
        <w:tc>
          <w:tcPr>
            <w:tcW w:w="866" w:type="dxa"/>
            <w:tcBorders>
              <w:top w:val="single" w:color="000000" w:sz="4" w:space="0"/>
              <w:left w:val="single" w:color="000000" w:sz="4" w:space="0"/>
              <w:bottom w:val="single" w:color="000000" w:sz="4" w:space="0"/>
              <w:right w:val="single" w:color="000000" w:sz="4" w:space="0"/>
            </w:tcBorders>
            <w:noWrap w:val="0"/>
            <w:vAlign w:val="center"/>
          </w:tcPr>
          <w:p w14:paraId="48718A1F">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sz w:val="24"/>
                <w:szCs w:val="24"/>
                <w:lang w:val="en-US" w:eastAsia="zh-CN"/>
              </w:rPr>
              <w:t>10</w:t>
            </w:r>
          </w:p>
        </w:tc>
        <w:tc>
          <w:tcPr>
            <w:tcW w:w="817" w:type="dxa"/>
            <w:tcBorders>
              <w:top w:val="single" w:color="000000" w:sz="4" w:space="0"/>
              <w:left w:val="single" w:color="000000" w:sz="4" w:space="0"/>
              <w:bottom w:val="single" w:color="000000" w:sz="4" w:space="0"/>
              <w:right w:val="single" w:color="000000" w:sz="4" w:space="0"/>
            </w:tcBorders>
            <w:noWrap w:val="0"/>
            <w:vAlign w:val="center"/>
          </w:tcPr>
          <w:p w14:paraId="0C0BA37D">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sz w:val="24"/>
                <w:szCs w:val="24"/>
                <w:lang w:val="en-US" w:eastAsia="zh-CN"/>
              </w:rPr>
              <w:t>颗</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14:paraId="7A989C9A">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noWrap w:val="0"/>
            <w:vAlign w:val="center"/>
          </w:tcPr>
          <w:p w14:paraId="75E699F8">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2B35D68D">
        <w:tblPrEx>
          <w:tblCellMar>
            <w:top w:w="0" w:type="dxa"/>
            <w:left w:w="108" w:type="dxa"/>
            <w:bottom w:w="0" w:type="dxa"/>
            <w:right w:w="108" w:type="dxa"/>
          </w:tblCellMar>
        </w:tblPrEx>
        <w:trPr>
          <w:trHeight w:val="529" w:hRule="atLeast"/>
          <w:jc w:val="center"/>
        </w:trPr>
        <w:tc>
          <w:tcPr>
            <w:tcW w:w="713" w:type="dxa"/>
            <w:tcBorders>
              <w:top w:val="single" w:color="000000" w:sz="4" w:space="0"/>
              <w:left w:val="single" w:color="000000" w:sz="4" w:space="0"/>
              <w:bottom w:val="single" w:color="000000" w:sz="4" w:space="0"/>
              <w:right w:val="single" w:color="000000" w:sz="4" w:space="0"/>
            </w:tcBorders>
            <w:noWrap/>
            <w:vAlign w:val="center"/>
          </w:tcPr>
          <w:p w14:paraId="10BA4984">
            <w:pPr>
              <w:keepNext w:val="0"/>
              <w:keepLines w:val="0"/>
              <w:pageBreakBefore w:val="0"/>
              <w:widowControl/>
              <w:numPr>
                <w:ilvl w:val="0"/>
                <w:numId w:val="6"/>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2410" w:type="dxa"/>
            <w:tcBorders>
              <w:top w:val="single" w:color="000000" w:sz="4" w:space="0"/>
              <w:left w:val="single" w:color="000000" w:sz="4" w:space="0"/>
              <w:bottom w:val="single" w:color="000000" w:sz="4" w:space="0"/>
              <w:right w:val="single" w:color="000000" w:sz="4" w:space="0"/>
            </w:tcBorders>
            <w:noWrap w:val="0"/>
            <w:vAlign w:val="center"/>
          </w:tcPr>
          <w:p w14:paraId="31827AA8">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sz w:val="24"/>
                <w:szCs w:val="24"/>
                <w:lang w:val="en-US" w:eastAsia="zh-CN"/>
              </w:rPr>
              <w:t>雾化器分配盘螺栓</w:t>
            </w:r>
          </w:p>
        </w:tc>
        <w:tc>
          <w:tcPr>
            <w:tcW w:w="3350" w:type="dxa"/>
            <w:tcBorders>
              <w:top w:val="single" w:color="000000" w:sz="4" w:space="0"/>
              <w:left w:val="single" w:color="000000" w:sz="4" w:space="0"/>
              <w:bottom w:val="single" w:color="000000" w:sz="4" w:space="0"/>
              <w:right w:val="single" w:color="000000" w:sz="4" w:space="0"/>
            </w:tcBorders>
            <w:noWrap w:val="0"/>
            <w:vAlign w:val="center"/>
          </w:tcPr>
          <w:p w14:paraId="6D8C0B67">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sz w:val="24"/>
                <w:szCs w:val="24"/>
                <w:lang w:val="en-US" w:eastAsia="zh-CN"/>
              </w:rPr>
              <w:t>M10*70材质：哈氏合金C276</w:t>
            </w:r>
          </w:p>
        </w:tc>
        <w:tc>
          <w:tcPr>
            <w:tcW w:w="866" w:type="dxa"/>
            <w:tcBorders>
              <w:top w:val="single" w:color="000000" w:sz="4" w:space="0"/>
              <w:left w:val="single" w:color="000000" w:sz="4" w:space="0"/>
              <w:bottom w:val="single" w:color="000000" w:sz="4" w:space="0"/>
              <w:right w:val="single" w:color="000000" w:sz="4" w:space="0"/>
            </w:tcBorders>
            <w:noWrap w:val="0"/>
            <w:vAlign w:val="center"/>
          </w:tcPr>
          <w:p w14:paraId="4C785278">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sz w:val="24"/>
                <w:szCs w:val="24"/>
                <w:lang w:val="en-US" w:eastAsia="zh-CN"/>
              </w:rPr>
              <w:t>28</w:t>
            </w:r>
          </w:p>
        </w:tc>
        <w:tc>
          <w:tcPr>
            <w:tcW w:w="817" w:type="dxa"/>
            <w:tcBorders>
              <w:top w:val="single" w:color="000000" w:sz="4" w:space="0"/>
              <w:left w:val="single" w:color="000000" w:sz="4" w:space="0"/>
              <w:bottom w:val="single" w:color="000000" w:sz="4" w:space="0"/>
              <w:right w:val="single" w:color="000000" w:sz="4" w:space="0"/>
            </w:tcBorders>
            <w:noWrap w:val="0"/>
            <w:vAlign w:val="center"/>
          </w:tcPr>
          <w:p w14:paraId="0E18B70A">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sz w:val="24"/>
                <w:szCs w:val="24"/>
                <w:lang w:val="en-US" w:eastAsia="zh-CN"/>
              </w:rPr>
              <w:t>颗</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14:paraId="6D8A5888">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noWrap w:val="0"/>
            <w:vAlign w:val="center"/>
          </w:tcPr>
          <w:p w14:paraId="36F1DCDF">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2D69380E">
        <w:tblPrEx>
          <w:tblCellMar>
            <w:top w:w="0" w:type="dxa"/>
            <w:left w:w="108" w:type="dxa"/>
            <w:bottom w:w="0" w:type="dxa"/>
            <w:right w:w="108" w:type="dxa"/>
          </w:tblCellMar>
        </w:tblPrEx>
        <w:trPr>
          <w:trHeight w:val="529" w:hRule="atLeast"/>
          <w:jc w:val="center"/>
        </w:trPr>
        <w:tc>
          <w:tcPr>
            <w:tcW w:w="713" w:type="dxa"/>
            <w:tcBorders>
              <w:top w:val="single" w:color="000000" w:sz="4" w:space="0"/>
              <w:left w:val="single" w:color="000000" w:sz="4" w:space="0"/>
              <w:bottom w:val="single" w:color="000000" w:sz="4" w:space="0"/>
              <w:right w:val="single" w:color="000000" w:sz="4" w:space="0"/>
            </w:tcBorders>
            <w:noWrap/>
            <w:vAlign w:val="center"/>
          </w:tcPr>
          <w:p w14:paraId="6822326E">
            <w:pPr>
              <w:keepNext w:val="0"/>
              <w:keepLines w:val="0"/>
              <w:pageBreakBefore w:val="0"/>
              <w:widowControl/>
              <w:numPr>
                <w:ilvl w:val="0"/>
                <w:numId w:val="6"/>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2410" w:type="dxa"/>
            <w:tcBorders>
              <w:top w:val="single" w:color="000000" w:sz="4" w:space="0"/>
              <w:left w:val="single" w:color="000000" w:sz="4" w:space="0"/>
              <w:bottom w:val="single" w:color="000000" w:sz="4" w:space="0"/>
              <w:right w:val="single" w:color="000000" w:sz="4" w:space="0"/>
            </w:tcBorders>
            <w:noWrap w:val="0"/>
            <w:vAlign w:val="center"/>
          </w:tcPr>
          <w:p w14:paraId="26ACD759">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sz w:val="24"/>
                <w:szCs w:val="24"/>
                <w:lang w:val="en-US" w:eastAsia="zh-CN"/>
              </w:rPr>
              <w:t>雾化盘螺栓</w:t>
            </w:r>
          </w:p>
        </w:tc>
        <w:tc>
          <w:tcPr>
            <w:tcW w:w="3350" w:type="dxa"/>
            <w:tcBorders>
              <w:top w:val="single" w:color="000000" w:sz="4" w:space="0"/>
              <w:left w:val="single" w:color="000000" w:sz="4" w:space="0"/>
              <w:bottom w:val="single" w:color="000000" w:sz="4" w:space="0"/>
              <w:right w:val="single" w:color="000000" w:sz="4" w:space="0"/>
            </w:tcBorders>
            <w:noWrap w:val="0"/>
            <w:vAlign w:val="center"/>
          </w:tcPr>
          <w:p w14:paraId="7FB1AECC">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sz w:val="24"/>
                <w:szCs w:val="24"/>
                <w:lang w:val="en-US" w:eastAsia="zh-CN"/>
              </w:rPr>
              <w:t>M8*35材质：哈氏合金C276</w:t>
            </w:r>
          </w:p>
        </w:tc>
        <w:tc>
          <w:tcPr>
            <w:tcW w:w="866" w:type="dxa"/>
            <w:tcBorders>
              <w:top w:val="single" w:color="000000" w:sz="4" w:space="0"/>
              <w:left w:val="single" w:color="000000" w:sz="4" w:space="0"/>
              <w:bottom w:val="single" w:color="000000" w:sz="4" w:space="0"/>
              <w:right w:val="single" w:color="000000" w:sz="4" w:space="0"/>
            </w:tcBorders>
            <w:noWrap w:val="0"/>
            <w:vAlign w:val="center"/>
          </w:tcPr>
          <w:p w14:paraId="3192D488">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sz w:val="24"/>
                <w:szCs w:val="24"/>
                <w:lang w:val="en-US" w:eastAsia="zh-CN"/>
              </w:rPr>
              <w:t>5</w:t>
            </w:r>
          </w:p>
        </w:tc>
        <w:tc>
          <w:tcPr>
            <w:tcW w:w="817" w:type="dxa"/>
            <w:tcBorders>
              <w:top w:val="single" w:color="000000" w:sz="4" w:space="0"/>
              <w:left w:val="single" w:color="000000" w:sz="4" w:space="0"/>
              <w:bottom w:val="single" w:color="000000" w:sz="4" w:space="0"/>
              <w:right w:val="single" w:color="000000" w:sz="4" w:space="0"/>
            </w:tcBorders>
            <w:noWrap w:val="0"/>
            <w:vAlign w:val="center"/>
          </w:tcPr>
          <w:p w14:paraId="0EC1FD5E">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sz w:val="24"/>
                <w:szCs w:val="24"/>
                <w:lang w:val="en-US" w:eastAsia="zh-CN"/>
              </w:rPr>
              <w:t>颗</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14:paraId="738B89C8">
            <w:pPr>
              <w:jc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noWrap w:val="0"/>
            <w:vAlign w:val="center"/>
          </w:tcPr>
          <w:p w14:paraId="20D69FD8">
            <w:pPr>
              <w:jc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2C8030BE">
        <w:tblPrEx>
          <w:tblCellMar>
            <w:top w:w="0" w:type="dxa"/>
            <w:left w:w="108" w:type="dxa"/>
            <w:bottom w:w="0" w:type="dxa"/>
            <w:right w:w="108" w:type="dxa"/>
          </w:tblCellMar>
        </w:tblPrEx>
        <w:trPr>
          <w:trHeight w:val="529" w:hRule="atLeast"/>
          <w:jc w:val="center"/>
        </w:trPr>
        <w:tc>
          <w:tcPr>
            <w:tcW w:w="713" w:type="dxa"/>
            <w:tcBorders>
              <w:top w:val="single" w:color="000000" w:sz="4" w:space="0"/>
              <w:left w:val="single" w:color="000000" w:sz="4" w:space="0"/>
              <w:bottom w:val="single" w:color="000000" w:sz="4" w:space="0"/>
              <w:right w:val="single" w:color="000000" w:sz="4" w:space="0"/>
            </w:tcBorders>
            <w:noWrap/>
            <w:vAlign w:val="center"/>
          </w:tcPr>
          <w:p w14:paraId="01628C24">
            <w:pPr>
              <w:keepNext w:val="0"/>
              <w:keepLines w:val="0"/>
              <w:pageBreakBefore w:val="0"/>
              <w:widowControl/>
              <w:numPr>
                <w:ilvl w:val="0"/>
                <w:numId w:val="6"/>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2410" w:type="dxa"/>
            <w:tcBorders>
              <w:top w:val="single" w:color="000000" w:sz="4" w:space="0"/>
              <w:left w:val="single" w:color="000000" w:sz="4" w:space="0"/>
              <w:bottom w:val="single" w:color="000000" w:sz="4" w:space="0"/>
              <w:right w:val="single" w:color="000000" w:sz="4" w:space="0"/>
            </w:tcBorders>
            <w:noWrap w:val="0"/>
            <w:vAlign w:val="center"/>
          </w:tcPr>
          <w:p w14:paraId="0F4AD274">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sz w:val="24"/>
                <w:szCs w:val="24"/>
                <w:lang w:val="en-US" w:eastAsia="zh-CN"/>
              </w:rPr>
              <w:t>雾化盘螺栓</w:t>
            </w:r>
          </w:p>
        </w:tc>
        <w:tc>
          <w:tcPr>
            <w:tcW w:w="3350" w:type="dxa"/>
            <w:tcBorders>
              <w:top w:val="single" w:color="000000" w:sz="4" w:space="0"/>
              <w:left w:val="single" w:color="000000" w:sz="4" w:space="0"/>
              <w:bottom w:val="single" w:color="000000" w:sz="4" w:space="0"/>
              <w:right w:val="single" w:color="000000" w:sz="4" w:space="0"/>
            </w:tcBorders>
            <w:noWrap w:val="0"/>
            <w:vAlign w:val="center"/>
          </w:tcPr>
          <w:p w14:paraId="68AF12C2">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sz w:val="24"/>
                <w:szCs w:val="24"/>
                <w:lang w:val="en-US" w:eastAsia="zh-CN"/>
              </w:rPr>
              <w:t>M8*10材质：哈氏合金C276</w:t>
            </w:r>
          </w:p>
        </w:tc>
        <w:tc>
          <w:tcPr>
            <w:tcW w:w="866" w:type="dxa"/>
            <w:tcBorders>
              <w:top w:val="single" w:color="000000" w:sz="4" w:space="0"/>
              <w:left w:val="single" w:color="000000" w:sz="4" w:space="0"/>
              <w:bottom w:val="single" w:color="000000" w:sz="4" w:space="0"/>
              <w:right w:val="single" w:color="000000" w:sz="4" w:space="0"/>
            </w:tcBorders>
            <w:noWrap w:val="0"/>
            <w:vAlign w:val="center"/>
          </w:tcPr>
          <w:p w14:paraId="4F4D6630">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sz w:val="24"/>
                <w:szCs w:val="24"/>
                <w:lang w:val="en-US" w:eastAsia="zh-CN"/>
              </w:rPr>
              <w:t>16</w:t>
            </w:r>
          </w:p>
        </w:tc>
        <w:tc>
          <w:tcPr>
            <w:tcW w:w="817" w:type="dxa"/>
            <w:tcBorders>
              <w:top w:val="single" w:color="000000" w:sz="4" w:space="0"/>
              <w:left w:val="single" w:color="000000" w:sz="4" w:space="0"/>
              <w:bottom w:val="single" w:color="000000" w:sz="4" w:space="0"/>
              <w:right w:val="single" w:color="000000" w:sz="4" w:space="0"/>
            </w:tcBorders>
            <w:noWrap w:val="0"/>
            <w:vAlign w:val="center"/>
          </w:tcPr>
          <w:p w14:paraId="28B2C8C3">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sz w:val="24"/>
                <w:szCs w:val="24"/>
                <w:lang w:val="en-US" w:eastAsia="zh-CN"/>
              </w:rPr>
              <w:t>颗</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14:paraId="437B3BA0">
            <w:pPr>
              <w:jc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noWrap w:val="0"/>
            <w:vAlign w:val="center"/>
          </w:tcPr>
          <w:p w14:paraId="62A42A7E">
            <w:pPr>
              <w:jc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520A6A8C">
        <w:tblPrEx>
          <w:tblCellMar>
            <w:top w:w="0" w:type="dxa"/>
            <w:left w:w="108" w:type="dxa"/>
            <w:bottom w:w="0" w:type="dxa"/>
            <w:right w:w="108" w:type="dxa"/>
          </w:tblCellMar>
        </w:tblPrEx>
        <w:trPr>
          <w:trHeight w:val="529" w:hRule="atLeast"/>
          <w:jc w:val="center"/>
        </w:trPr>
        <w:tc>
          <w:tcPr>
            <w:tcW w:w="713" w:type="dxa"/>
            <w:tcBorders>
              <w:top w:val="single" w:color="000000" w:sz="4" w:space="0"/>
              <w:left w:val="single" w:color="000000" w:sz="4" w:space="0"/>
              <w:bottom w:val="single" w:color="000000" w:sz="4" w:space="0"/>
              <w:right w:val="single" w:color="000000" w:sz="4" w:space="0"/>
            </w:tcBorders>
            <w:noWrap/>
            <w:vAlign w:val="center"/>
          </w:tcPr>
          <w:p w14:paraId="5768E35F">
            <w:pPr>
              <w:keepNext w:val="0"/>
              <w:keepLines w:val="0"/>
              <w:pageBreakBefore w:val="0"/>
              <w:widowControl/>
              <w:numPr>
                <w:ilvl w:val="0"/>
                <w:numId w:val="6"/>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2410" w:type="dxa"/>
            <w:tcBorders>
              <w:top w:val="single" w:color="000000" w:sz="4" w:space="0"/>
              <w:left w:val="single" w:color="000000" w:sz="4" w:space="0"/>
              <w:bottom w:val="single" w:color="000000" w:sz="4" w:space="0"/>
              <w:right w:val="single" w:color="000000" w:sz="4" w:space="0"/>
            </w:tcBorders>
            <w:noWrap w:val="0"/>
            <w:vAlign w:val="center"/>
          </w:tcPr>
          <w:p w14:paraId="6A43BDFC">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sz w:val="24"/>
                <w:szCs w:val="24"/>
                <w:lang w:val="en-US" w:eastAsia="zh-CN"/>
              </w:rPr>
              <w:t>雾化器隔热桶螺栓</w:t>
            </w:r>
          </w:p>
        </w:tc>
        <w:tc>
          <w:tcPr>
            <w:tcW w:w="3350" w:type="dxa"/>
            <w:tcBorders>
              <w:top w:val="single" w:color="000000" w:sz="4" w:space="0"/>
              <w:left w:val="single" w:color="000000" w:sz="4" w:space="0"/>
              <w:bottom w:val="single" w:color="000000" w:sz="4" w:space="0"/>
              <w:right w:val="single" w:color="000000" w:sz="4" w:space="0"/>
            </w:tcBorders>
            <w:noWrap w:val="0"/>
            <w:vAlign w:val="center"/>
          </w:tcPr>
          <w:p w14:paraId="510634F2">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sz w:val="24"/>
                <w:szCs w:val="24"/>
                <w:lang w:val="en-US" w:eastAsia="zh-CN"/>
              </w:rPr>
              <w:t>M12*17.5*16MM材质：哈氏合金316L</w:t>
            </w:r>
          </w:p>
        </w:tc>
        <w:tc>
          <w:tcPr>
            <w:tcW w:w="866" w:type="dxa"/>
            <w:tcBorders>
              <w:top w:val="single" w:color="000000" w:sz="4" w:space="0"/>
              <w:left w:val="single" w:color="000000" w:sz="4" w:space="0"/>
              <w:bottom w:val="single" w:color="000000" w:sz="4" w:space="0"/>
              <w:right w:val="single" w:color="000000" w:sz="4" w:space="0"/>
            </w:tcBorders>
            <w:noWrap w:val="0"/>
            <w:vAlign w:val="center"/>
          </w:tcPr>
          <w:p w14:paraId="4174883B">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sz w:val="24"/>
                <w:szCs w:val="24"/>
                <w:lang w:val="en-US" w:eastAsia="zh-CN"/>
              </w:rPr>
              <w:t>12</w:t>
            </w:r>
          </w:p>
        </w:tc>
        <w:tc>
          <w:tcPr>
            <w:tcW w:w="817" w:type="dxa"/>
            <w:tcBorders>
              <w:top w:val="single" w:color="000000" w:sz="4" w:space="0"/>
              <w:left w:val="single" w:color="000000" w:sz="4" w:space="0"/>
              <w:bottom w:val="single" w:color="000000" w:sz="4" w:space="0"/>
              <w:right w:val="single" w:color="000000" w:sz="4" w:space="0"/>
            </w:tcBorders>
            <w:noWrap w:val="0"/>
            <w:vAlign w:val="center"/>
          </w:tcPr>
          <w:p w14:paraId="68DD2DD6">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sz w:val="24"/>
                <w:szCs w:val="24"/>
                <w:lang w:val="en-US" w:eastAsia="zh-CN"/>
              </w:rPr>
              <w:t>颗</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14:paraId="769B6BB0">
            <w:pPr>
              <w:jc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noWrap w:val="0"/>
            <w:vAlign w:val="center"/>
          </w:tcPr>
          <w:p w14:paraId="6C7F48AC">
            <w:pPr>
              <w:jc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2FA85175">
        <w:tblPrEx>
          <w:tblCellMar>
            <w:top w:w="0" w:type="dxa"/>
            <w:left w:w="108" w:type="dxa"/>
            <w:bottom w:w="0" w:type="dxa"/>
            <w:right w:w="108" w:type="dxa"/>
          </w:tblCellMar>
        </w:tblPrEx>
        <w:trPr>
          <w:trHeight w:val="529" w:hRule="atLeast"/>
          <w:jc w:val="center"/>
        </w:trPr>
        <w:tc>
          <w:tcPr>
            <w:tcW w:w="713" w:type="dxa"/>
            <w:tcBorders>
              <w:top w:val="single" w:color="000000" w:sz="4" w:space="0"/>
              <w:left w:val="single" w:color="000000" w:sz="4" w:space="0"/>
              <w:bottom w:val="single" w:color="000000" w:sz="4" w:space="0"/>
              <w:right w:val="single" w:color="000000" w:sz="4" w:space="0"/>
            </w:tcBorders>
            <w:noWrap/>
            <w:vAlign w:val="center"/>
          </w:tcPr>
          <w:p w14:paraId="02002E1F">
            <w:pPr>
              <w:keepNext w:val="0"/>
              <w:keepLines w:val="0"/>
              <w:pageBreakBefore w:val="0"/>
              <w:widowControl/>
              <w:numPr>
                <w:ilvl w:val="0"/>
                <w:numId w:val="6"/>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2410" w:type="dxa"/>
            <w:tcBorders>
              <w:top w:val="single" w:color="000000" w:sz="4" w:space="0"/>
              <w:left w:val="single" w:color="000000" w:sz="4" w:space="0"/>
              <w:bottom w:val="single" w:color="000000" w:sz="4" w:space="0"/>
              <w:right w:val="single" w:color="000000" w:sz="4" w:space="0"/>
            </w:tcBorders>
            <w:noWrap w:val="0"/>
            <w:vAlign w:val="center"/>
          </w:tcPr>
          <w:p w14:paraId="7B9E3EC5">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sz w:val="24"/>
                <w:szCs w:val="24"/>
                <w:lang w:val="en-US" w:eastAsia="zh-CN"/>
              </w:rPr>
              <w:t>雾化器轴心校正</w:t>
            </w:r>
          </w:p>
        </w:tc>
        <w:tc>
          <w:tcPr>
            <w:tcW w:w="3350" w:type="dxa"/>
            <w:tcBorders>
              <w:top w:val="single" w:color="000000" w:sz="4" w:space="0"/>
              <w:left w:val="single" w:color="000000" w:sz="4" w:space="0"/>
              <w:bottom w:val="single" w:color="000000" w:sz="4" w:space="0"/>
              <w:right w:val="single" w:color="000000" w:sz="4" w:space="0"/>
            </w:tcBorders>
            <w:noWrap w:val="0"/>
            <w:vAlign w:val="center"/>
          </w:tcPr>
          <w:p w14:paraId="7E0C02E6">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sz w:val="24"/>
                <w:szCs w:val="24"/>
                <w:lang w:val="en-US" w:eastAsia="zh-CN"/>
              </w:rPr>
              <w:t>超过10丝不能用油压校正，校正后弯曲度≦0.03丝。</w:t>
            </w:r>
          </w:p>
        </w:tc>
        <w:tc>
          <w:tcPr>
            <w:tcW w:w="866" w:type="dxa"/>
            <w:tcBorders>
              <w:top w:val="single" w:color="000000" w:sz="4" w:space="0"/>
              <w:left w:val="single" w:color="000000" w:sz="4" w:space="0"/>
              <w:bottom w:val="single" w:color="000000" w:sz="4" w:space="0"/>
              <w:right w:val="single" w:color="000000" w:sz="4" w:space="0"/>
            </w:tcBorders>
            <w:noWrap w:val="0"/>
            <w:vAlign w:val="center"/>
          </w:tcPr>
          <w:p w14:paraId="141C9A37">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sz w:val="24"/>
                <w:szCs w:val="24"/>
                <w:lang w:val="en-US" w:eastAsia="zh-CN"/>
              </w:rPr>
              <w:t>2</w:t>
            </w:r>
          </w:p>
        </w:tc>
        <w:tc>
          <w:tcPr>
            <w:tcW w:w="817" w:type="dxa"/>
            <w:tcBorders>
              <w:top w:val="single" w:color="000000" w:sz="4" w:space="0"/>
              <w:left w:val="single" w:color="000000" w:sz="4" w:space="0"/>
              <w:bottom w:val="single" w:color="000000" w:sz="4" w:space="0"/>
              <w:right w:val="single" w:color="000000" w:sz="4" w:space="0"/>
            </w:tcBorders>
            <w:noWrap w:val="0"/>
            <w:vAlign w:val="center"/>
          </w:tcPr>
          <w:p w14:paraId="1CBA2947">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sz w:val="24"/>
                <w:szCs w:val="24"/>
                <w:lang w:val="en-US" w:eastAsia="zh-CN"/>
              </w:rPr>
              <w:t>支</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14:paraId="09CD3D64">
            <w:pPr>
              <w:jc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noWrap w:val="0"/>
            <w:vAlign w:val="center"/>
          </w:tcPr>
          <w:p w14:paraId="7EFF4749">
            <w:pPr>
              <w:jc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7E0D8784">
        <w:tblPrEx>
          <w:tblCellMar>
            <w:top w:w="0" w:type="dxa"/>
            <w:left w:w="108" w:type="dxa"/>
            <w:bottom w:w="0" w:type="dxa"/>
            <w:right w:w="108" w:type="dxa"/>
          </w:tblCellMar>
        </w:tblPrEx>
        <w:trPr>
          <w:trHeight w:val="529" w:hRule="atLeast"/>
          <w:jc w:val="center"/>
        </w:trPr>
        <w:tc>
          <w:tcPr>
            <w:tcW w:w="713" w:type="dxa"/>
            <w:tcBorders>
              <w:top w:val="single" w:color="000000" w:sz="4" w:space="0"/>
              <w:left w:val="single" w:color="000000" w:sz="4" w:space="0"/>
              <w:bottom w:val="single" w:color="000000" w:sz="4" w:space="0"/>
              <w:right w:val="single" w:color="000000" w:sz="4" w:space="0"/>
            </w:tcBorders>
            <w:noWrap/>
            <w:vAlign w:val="center"/>
          </w:tcPr>
          <w:p w14:paraId="47F36A9C">
            <w:pPr>
              <w:keepNext w:val="0"/>
              <w:keepLines w:val="0"/>
              <w:pageBreakBefore w:val="0"/>
              <w:widowControl/>
              <w:numPr>
                <w:ilvl w:val="0"/>
                <w:numId w:val="6"/>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2410" w:type="dxa"/>
            <w:tcBorders>
              <w:top w:val="single" w:color="000000" w:sz="4" w:space="0"/>
              <w:left w:val="single" w:color="000000" w:sz="4" w:space="0"/>
              <w:bottom w:val="single" w:color="000000" w:sz="4" w:space="0"/>
              <w:right w:val="single" w:color="000000" w:sz="4" w:space="0"/>
            </w:tcBorders>
            <w:noWrap w:val="0"/>
            <w:vAlign w:val="center"/>
          </w:tcPr>
          <w:p w14:paraId="703F89BF">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sz w:val="24"/>
                <w:szCs w:val="24"/>
                <w:lang w:val="en-US" w:eastAsia="zh-CN"/>
              </w:rPr>
              <w:t>雾化器轴心</w:t>
            </w:r>
          </w:p>
        </w:tc>
        <w:tc>
          <w:tcPr>
            <w:tcW w:w="3350" w:type="dxa"/>
            <w:tcBorders>
              <w:top w:val="single" w:color="000000" w:sz="4" w:space="0"/>
              <w:left w:val="single" w:color="000000" w:sz="4" w:space="0"/>
              <w:bottom w:val="single" w:color="000000" w:sz="4" w:space="0"/>
              <w:right w:val="single" w:color="000000" w:sz="4" w:space="0"/>
            </w:tcBorders>
            <w:noWrap w:val="0"/>
            <w:vAlign w:val="center"/>
          </w:tcPr>
          <w:p w14:paraId="24D072B0">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sz w:val="24"/>
                <w:szCs w:val="24"/>
                <w:lang w:val="en-US" w:eastAsia="zh-CN"/>
              </w:rPr>
              <w:t>0D45*1017LMM（材质：SUS630)弯曲度在≦0.02丝。做G0.4最高等级，测试转速在1500rpm以上，减重测试必须做到0.05g以内，要求有动平衡校正报告。</w:t>
            </w:r>
          </w:p>
        </w:tc>
        <w:tc>
          <w:tcPr>
            <w:tcW w:w="866" w:type="dxa"/>
            <w:tcBorders>
              <w:top w:val="single" w:color="000000" w:sz="4" w:space="0"/>
              <w:left w:val="single" w:color="000000" w:sz="4" w:space="0"/>
              <w:bottom w:val="single" w:color="000000" w:sz="4" w:space="0"/>
              <w:right w:val="single" w:color="000000" w:sz="4" w:space="0"/>
            </w:tcBorders>
            <w:noWrap w:val="0"/>
            <w:vAlign w:val="center"/>
          </w:tcPr>
          <w:p w14:paraId="039D4C6C">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sz w:val="24"/>
                <w:szCs w:val="24"/>
                <w:lang w:val="en-US" w:eastAsia="zh-CN"/>
              </w:rPr>
              <w:t>1</w:t>
            </w:r>
          </w:p>
        </w:tc>
        <w:tc>
          <w:tcPr>
            <w:tcW w:w="817" w:type="dxa"/>
            <w:tcBorders>
              <w:top w:val="single" w:color="000000" w:sz="4" w:space="0"/>
              <w:left w:val="single" w:color="000000" w:sz="4" w:space="0"/>
              <w:bottom w:val="single" w:color="000000" w:sz="4" w:space="0"/>
              <w:right w:val="single" w:color="000000" w:sz="4" w:space="0"/>
            </w:tcBorders>
            <w:noWrap w:val="0"/>
            <w:vAlign w:val="center"/>
          </w:tcPr>
          <w:p w14:paraId="76E027CD">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sz w:val="24"/>
                <w:szCs w:val="24"/>
                <w:lang w:val="en-US" w:eastAsia="zh-CN"/>
              </w:rPr>
              <w:t>支</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14:paraId="1906152A">
            <w:pPr>
              <w:jc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noWrap w:val="0"/>
            <w:vAlign w:val="center"/>
          </w:tcPr>
          <w:p w14:paraId="63A97644">
            <w:pPr>
              <w:jc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40BA836A">
        <w:tblPrEx>
          <w:tblCellMar>
            <w:top w:w="0" w:type="dxa"/>
            <w:left w:w="108" w:type="dxa"/>
            <w:bottom w:w="0" w:type="dxa"/>
            <w:right w:w="108" w:type="dxa"/>
          </w:tblCellMar>
        </w:tblPrEx>
        <w:trPr>
          <w:trHeight w:val="529" w:hRule="atLeast"/>
          <w:jc w:val="center"/>
        </w:trPr>
        <w:tc>
          <w:tcPr>
            <w:tcW w:w="713" w:type="dxa"/>
            <w:tcBorders>
              <w:top w:val="single" w:color="000000" w:sz="4" w:space="0"/>
              <w:left w:val="single" w:color="000000" w:sz="4" w:space="0"/>
              <w:bottom w:val="single" w:color="000000" w:sz="4" w:space="0"/>
              <w:right w:val="single" w:color="000000" w:sz="4" w:space="0"/>
            </w:tcBorders>
            <w:noWrap/>
            <w:vAlign w:val="center"/>
          </w:tcPr>
          <w:p w14:paraId="044FA709">
            <w:pPr>
              <w:keepNext w:val="0"/>
              <w:keepLines w:val="0"/>
              <w:pageBreakBefore w:val="0"/>
              <w:widowControl/>
              <w:numPr>
                <w:ilvl w:val="0"/>
                <w:numId w:val="6"/>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2410" w:type="dxa"/>
            <w:tcBorders>
              <w:top w:val="single" w:color="000000" w:sz="4" w:space="0"/>
              <w:left w:val="single" w:color="000000" w:sz="4" w:space="0"/>
              <w:bottom w:val="single" w:color="000000" w:sz="4" w:space="0"/>
              <w:right w:val="single" w:color="000000" w:sz="4" w:space="0"/>
            </w:tcBorders>
            <w:noWrap w:val="0"/>
            <w:vAlign w:val="center"/>
          </w:tcPr>
          <w:p w14:paraId="2F79C572">
            <w:pPr>
              <w:pStyle w:val="12"/>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sz w:val="24"/>
                <w:szCs w:val="24"/>
                <w:lang w:val="en-US" w:eastAsia="zh-CN"/>
              </w:rPr>
              <w:t>雾化盘动平衡校正</w:t>
            </w:r>
          </w:p>
        </w:tc>
        <w:tc>
          <w:tcPr>
            <w:tcW w:w="3350" w:type="dxa"/>
            <w:tcBorders>
              <w:top w:val="single" w:color="000000" w:sz="4" w:space="0"/>
              <w:left w:val="single" w:color="000000" w:sz="4" w:space="0"/>
              <w:bottom w:val="single" w:color="000000" w:sz="4" w:space="0"/>
              <w:right w:val="single" w:color="000000" w:sz="4" w:space="0"/>
            </w:tcBorders>
            <w:noWrap w:val="0"/>
            <w:vAlign w:val="center"/>
          </w:tcPr>
          <w:p w14:paraId="6EB5E1D4">
            <w:pPr>
              <w:pStyle w:val="12"/>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sz w:val="24"/>
                <w:szCs w:val="24"/>
                <w:lang w:val="en-US" w:eastAsia="zh-CN"/>
              </w:rPr>
              <w:t>做G0.4最高等级，测试转速在1500rpm以上，减重测试必须做到0.05g以内，要求有动平衡校正报告。</w:t>
            </w:r>
          </w:p>
        </w:tc>
        <w:tc>
          <w:tcPr>
            <w:tcW w:w="866" w:type="dxa"/>
            <w:tcBorders>
              <w:top w:val="single" w:color="000000" w:sz="4" w:space="0"/>
              <w:left w:val="single" w:color="000000" w:sz="4" w:space="0"/>
              <w:bottom w:val="single" w:color="000000" w:sz="4" w:space="0"/>
              <w:right w:val="single" w:color="000000" w:sz="4" w:space="0"/>
            </w:tcBorders>
            <w:noWrap w:val="0"/>
            <w:vAlign w:val="center"/>
          </w:tcPr>
          <w:p w14:paraId="77D9ABD4">
            <w:pPr>
              <w:pStyle w:val="12"/>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sz w:val="24"/>
                <w:szCs w:val="24"/>
                <w:lang w:val="en-US" w:eastAsia="zh-CN"/>
              </w:rPr>
              <w:t>3</w:t>
            </w:r>
          </w:p>
        </w:tc>
        <w:tc>
          <w:tcPr>
            <w:tcW w:w="817" w:type="dxa"/>
            <w:tcBorders>
              <w:top w:val="single" w:color="000000" w:sz="4" w:space="0"/>
              <w:left w:val="single" w:color="000000" w:sz="4" w:space="0"/>
              <w:bottom w:val="single" w:color="000000" w:sz="4" w:space="0"/>
              <w:right w:val="single" w:color="000000" w:sz="4" w:space="0"/>
            </w:tcBorders>
            <w:noWrap w:val="0"/>
            <w:vAlign w:val="center"/>
          </w:tcPr>
          <w:p w14:paraId="7C921487">
            <w:pPr>
              <w:pStyle w:val="12"/>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sz w:val="24"/>
                <w:szCs w:val="24"/>
                <w:lang w:val="en-US" w:eastAsia="zh-CN"/>
              </w:rPr>
              <w:t>个</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14:paraId="40CBF265">
            <w:pPr>
              <w:jc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noWrap w:val="0"/>
            <w:vAlign w:val="center"/>
          </w:tcPr>
          <w:p w14:paraId="4011E09C">
            <w:pPr>
              <w:jc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22C6E6F3">
        <w:tblPrEx>
          <w:tblCellMar>
            <w:top w:w="0" w:type="dxa"/>
            <w:left w:w="108" w:type="dxa"/>
            <w:bottom w:w="0" w:type="dxa"/>
            <w:right w:w="108" w:type="dxa"/>
          </w:tblCellMar>
        </w:tblPrEx>
        <w:trPr>
          <w:trHeight w:val="529" w:hRule="atLeast"/>
          <w:jc w:val="center"/>
        </w:trPr>
        <w:tc>
          <w:tcPr>
            <w:tcW w:w="713" w:type="dxa"/>
            <w:tcBorders>
              <w:top w:val="single" w:color="000000" w:sz="4" w:space="0"/>
              <w:left w:val="single" w:color="000000" w:sz="4" w:space="0"/>
              <w:bottom w:val="single" w:color="000000" w:sz="4" w:space="0"/>
              <w:right w:val="single" w:color="000000" w:sz="4" w:space="0"/>
            </w:tcBorders>
            <w:noWrap/>
            <w:vAlign w:val="center"/>
          </w:tcPr>
          <w:p w14:paraId="591C42B1">
            <w:pPr>
              <w:keepNext w:val="0"/>
              <w:keepLines w:val="0"/>
              <w:pageBreakBefore w:val="0"/>
              <w:widowControl/>
              <w:numPr>
                <w:ilvl w:val="0"/>
                <w:numId w:val="6"/>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2410" w:type="dxa"/>
            <w:tcBorders>
              <w:top w:val="single" w:color="000000" w:sz="4" w:space="0"/>
              <w:left w:val="single" w:color="000000" w:sz="4" w:space="0"/>
              <w:bottom w:val="single" w:color="000000" w:sz="4" w:space="0"/>
              <w:right w:val="single" w:color="000000" w:sz="4" w:space="0"/>
            </w:tcBorders>
            <w:noWrap w:val="0"/>
            <w:vAlign w:val="center"/>
          </w:tcPr>
          <w:p w14:paraId="71B05392">
            <w:pPr>
              <w:pStyle w:val="12"/>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sz w:val="24"/>
                <w:szCs w:val="24"/>
                <w:lang w:val="en-US" w:eastAsia="zh-CN"/>
              </w:rPr>
              <w:t>雾化器隔热筒修复</w:t>
            </w:r>
          </w:p>
        </w:tc>
        <w:tc>
          <w:tcPr>
            <w:tcW w:w="3350" w:type="dxa"/>
            <w:tcBorders>
              <w:top w:val="single" w:color="000000" w:sz="4" w:space="0"/>
              <w:left w:val="single" w:color="000000" w:sz="4" w:space="0"/>
              <w:bottom w:val="single" w:color="000000" w:sz="4" w:space="0"/>
              <w:right w:val="single" w:color="000000" w:sz="4" w:space="0"/>
            </w:tcBorders>
            <w:noWrap w:val="0"/>
            <w:vAlign w:val="center"/>
          </w:tcPr>
          <w:p w14:paraId="33C0D9E7">
            <w:pPr>
              <w:pStyle w:val="12"/>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sz w:val="24"/>
                <w:szCs w:val="24"/>
                <w:lang w:val="en-US" w:eastAsia="zh-CN"/>
              </w:rPr>
              <w:t>椎体更换及喷涂0.3mm厚度的铁氟龙涂层，椎体材质为316L不锈钢。</w:t>
            </w:r>
          </w:p>
        </w:tc>
        <w:tc>
          <w:tcPr>
            <w:tcW w:w="866" w:type="dxa"/>
            <w:tcBorders>
              <w:top w:val="single" w:color="000000" w:sz="4" w:space="0"/>
              <w:left w:val="single" w:color="000000" w:sz="4" w:space="0"/>
              <w:bottom w:val="single" w:color="000000" w:sz="4" w:space="0"/>
              <w:right w:val="single" w:color="000000" w:sz="4" w:space="0"/>
            </w:tcBorders>
            <w:noWrap w:val="0"/>
            <w:vAlign w:val="center"/>
          </w:tcPr>
          <w:p w14:paraId="53215007">
            <w:pPr>
              <w:pStyle w:val="12"/>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sz w:val="24"/>
                <w:szCs w:val="24"/>
                <w:lang w:val="en-US" w:eastAsia="zh-CN"/>
              </w:rPr>
              <w:t>2</w:t>
            </w:r>
          </w:p>
        </w:tc>
        <w:tc>
          <w:tcPr>
            <w:tcW w:w="817" w:type="dxa"/>
            <w:tcBorders>
              <w:top w:val="single" w:color="000000" w:sz="4" w:space="0"/>
              <w:left w:val="single" w:color="000000" w:sz="4" w:space="0"/>
              <w:bottom w:val="single" w:color="000000" w:sz="4" w:space="0"/>
              <w:right w:val="single" w:color="000000" w:sz="4" w:space="0"/>
            </w:tcBorders>
            <w:noWrap w:val="0"/>
            <w:vAlign w:val="center"/>
          </w:tcPr>
          <w:p w14:paraId="002D6F2B">
            <w:pPr>
              <w:pStyle w:val="12"/>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sz w:val="24"/>
                <w:szCs w:val="24"/>
                <w:lang w:val="en-US" w:eastAsia="zh-CN"/>
              </w:rPr>
              <w:t>个</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14:paraId="75910B41">
            <w:pPr>
              <w:jc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noWrap w:val="0"/>
            <w:vAlign w:val="center"/>
          </w:tcPr>
          <w:p w14:paraId="25D344C0">
            <w:pPr>
              <w:jc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38FF1918">
        <w:tblPrEx>
          <w:tblCellMar>
            <w:top w:w="0" w:type="dxa"/>
            <w:left w:w="108" w:type="dxa"/>
            <w:bottom w:w="0" w:type="dxa"/>
            <w:right w:w="108" w:type="dxa"/>
          </w:tblCellMar>
        </w:tblPrEx>
        <w:trPr>
          <w:trHeight w:val="529" w:hRule="atLeast"/>
          <w:jc w:val="center"/>
        </w:trPr>
        <w:tc>
          <w:tcPr>
            <w:tcW w:w="713" w:type="dxa"/>
            <w:tcBorders>
              <w:top w:val="single" w:color="000000" w:sz="4" w:space="0"/>
              <w:left w:val="single" w:color="000000" w:sz="4" w:space="0"/>
              <w:bottom w:val="single" w:color="000000" w:sz="4" w:space="0"/>
              <w:right w:val="single" w:color="000000" w:sz="4" w:space="0"/>
            </w:tcBorders>
            <w:noWrap/>
            <w:vAlign w:val="center"/>
          </w:tcPr>
          <w:p w14:paraId="21D7AE17">
            <w:pPr>
              <w:keepNext w:val="0"/>
              <w:keepLines w:val="0"/>
              <w:pageBreakBefore w:val="0"/>
              <w:widowControl/>
              <w:numPr>
                <w:ilvl w:val="0"/>
                <w:numId w:val="6"/>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2410" w:type="dxa"/>
            <w:tcBorders>
              <w:top w:val="single" w:color="000000" w:sz="4" w:space="0"/>
              <w:left w:val="single" w:color="000000" w:sz="4" w:space="0"/>
              <w:bottom w:val="single" w:color="000000" w:sz="4" w:space="0"/>
              <w:right w:val="single" w:color="000000" w:sz="4" w:space="0"/>
            </w:tcBorders>
            <w:noWrap w:val="0"/>
            <w:vAlign w:val="center"/>
          </w:tcPr>
          <w:p w14:paraId="3143A6EA">
            <w:pPr>
              <w:pStyle w:val="12"/>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sz w:val="24"/>
                <w:szCs w:val="24"/>
                <w:lang w:val="en-US" w:eastAsia="zh-CN"/>
              </w:rPr>
              <w:t>雾化盘防磨盘修复</w:t>
            </w:r>
          </w:p>
        </w:tc>
        <w:tc>
          <w:tcPr>
            <w:tcW w:w="3350" w:type="dxa"/>
            <w:tcBorders>
              <w:top w:val="single" w:color="000000" w:sz="4" w:space="0"/>
              <w:left w:val="single" w:color="000000" w:sz="4" w:space="0"/>
              <w:bottom w:val="single" w:color="000000" w:sz="4" w:space="0"/>
              <w:right w:val="single" w:color="000000" w:sz="4" w:space="0"/>
            </w:tcBorders>
            <w:noWrap w:val="0"/>
            <w:vAlign w:val="center"/>
          </w:tcPr>
          <w:p w14:paraId="01548926">
            <w:pPr>
              <w:pStyle w:val="12"/>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kern w:val="2"/>
                <w:sz w:val="24"/>
                <w:szCs w:val="24"/>
                <w:lang w:val="en-US" w:eastAsia="zh-CN" w:bidi="ar-SA"/>
              </w:rPr>
              <w:t>1.</w:t>
            </w:r>
            <w:r>
              <w:rPr>
                <w:rFonts w:hint="eastAsia" w:ascii="仿宋" w:hAnsi="仿宋" w:eastAsia="仿宋" w:cs="仿宋"/>
                <w:sz w:val="24"/>
                <w:szCs w:val="24"/>
                <w:lang w:val="en-US" w:eastAsia="zh-CN"/>
              </w:rPr>
              <w:t>雾化盘耐磨盘修复材料材质要求为碳化硅材质，外侧固定环材质要求SUS630材质，以上材质要求附材质证明。</w:t>
            </w:r>
          </w:p>
          <w:p w14:paraId="6CA55625">
            <w:pPr>
              <w:pStyle w:val="12"/>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sz w:val="24"/>
                <w:szCs w:val="24"/>
                <w:lang w:val="en-US" w:eastAsia="zh-CN"/>
              </w:rPr>
              <w:t>2.动平衡要求：做G0.4最高等级，测试转速在1500rpm以上，减重测试必须做到0.05g以内，要求有动平衡校正报告。</w:t>
            </w:r>
          </w:p>
        </w:tc>
        <w:tc>
          <w:tcPr>
            <w:tcW w:w="866" w:type="dxa"/>
            <w:tcBorders>
              <w:top w:val="single" w:color="000000" w:sz="4" w:space="0"/>
              <w:left w:val="single" w:color="000000" w:sz="4" w:space="0"/>
              <w:bottom w:val="single" w:color="000000" w:sz="4" w:space="0"/>
              <w:right w:val="single" w:color="000000" w:sz="4" w:space="0"/>
            </w:tcBorders>
            <w:noWrap w:val="0"/>
            <w:vAlign w:val="center"/>
          </w:tcPr>
          <w:p w14:paraId="0CFFF227">
            <w:pPr>
              <w:pStyle w:val="12"/>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sz w:val="24"/>
                <w:szCs w:val="24"/>
                <w:lang w:val="en-US" w:eastAsia="zh-CN"/>
              </w:rPr>
              <w:t>2</w:t>
            </w:r>
          </w:p>
        </w:tc>
        <w:tc>
          <w:tcPr>
            <w:tcW w:w="817" w:type="dxa"/>
            <w:tcBorders>
              <w:top w:val="single" w:color="000000" w:sz="4" w:space="0"/>
              <w:left w:val="single" w:color="000000" w:sz="4" w:space="0"/>
              <w:bottom w:val="single" w:color="000000" w:sz="4" w:space="0"/>
              <w:right w:val="single" w:color="000000" w:sz="4" w:space="0"/>
            </w:tcBorders>
            <w:noWrap w:val="0"/>
            <w:vAlign w:val="center"/>
          </w:tcPr>
          <w:p w14:paraId="1A1B13A7">
            <w:pPr>
              <w:pStyle w:val="12"/>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sz w:val="24"/>
                <w:szCs w:val="24"/>
                <w:lang w:val="en-US" w:eastAsia="zh-CN"/>
              </w:rPr>
              <w:t>个</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14:paraId="58057300">
            <w:pPr>
              <w:jc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noWrap w:val="0"/>
            <w:vAlign w:val="center"/>
          </w:tcPr>
          <w:p w14:paraId="0F2E3E2C">
            <w:pPr>
              <w:jc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1959A29A">
        <w:tblPrEx>
          <w:tblCellMar>
            <w:top w:w="0" w:type="dxa"/>
            <w:left w:w="108" w:type="dxa"/>
            <w:bottom w:w="0" w:type="dxa"/>
            <w:right w:w="108" w:type="dxa"/>
          </w:tblCellMar>
        </w:tblPrEx>
        <w:trPr>
          <w:trHeight w:val="529" w:hRule="atLeast"/>
          <w:jc w:val="center"/>
        </w:trPr>
        <w:tc>
          <w:tcPr>
            <w:tcW w:w="713" w:type="dxa"/>
            <w:tcBorders>
              <w:top w:val="single" w:color="000000" w:sz="4" w:space="0"/>
              <w:left w:val="single" w:color="000000" w:sz="4" w:space="0"/>
              <w:bottom w:val="single" w:color="000000" w:sz="4" w:space="0"/>
              <w:right w:val="single" w:color="000000" w:sz="4" w:space="0"/>
            </w:tcBorders>
            <w:noWrap/>
            <w:vAlign w:val="center"/>
          </w:tcPr>
          <w:p w14:paraId="2B8BAA20">
            <w:pPr>
              <w:keepNext w:val="0"/>
              <w:keepLines w:val="0"/>
              <w:pageBreakBefore w:val="0"/>
              <w:widowControl/>
              <w:numPr>
                <w:ilvl w:val="0"/>
                <w:numId w:val="6"/>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2410" w:type="dxa"/>
            <w:tcBorders>
              <w:top w:val="single" w:color="000000" w:sz="4" w:space="0"/>
              <w:left w:val="single" w:color="000000" w:sz="4" w:space="0"/>
              <w:bottom w:val="single" w:color="000000" w:sz="4" w:space="0"/>
              <w:right w:val="single" w:color="000000" w:sz="4" w:space="0"/>
            </w:tcBorders>
            <w:noWrap w:val="0"/>
            <w:vAlign w:val="center"/>
          </w:tcPr>
          <w:p w14:paraId="768E20E9">
            <w:pPr>
              <w:pStyle w:val="12"/>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sz w:val="24"/>
                <w:szCs w:val="24"/>
                <w:lang w:val="en-US" w:eastAsia="zh-CN"/>
              </w:rPr>
              <w:t>雾化盘防磨盘更换</w:t>
            </w:r>
          </w:p>
        </w:tc>
        <w:tc>
          <w:tcPr>
            <w:tcW w:w="3350" w:type="dxa"/>
            <w:tcBorders>
              <w:top w:val="single" w:color="000000" w:sz="4" w:space="0"/>
              <w:left w:val="single" w:color="000000" w:sz="4" w:space="0"/>
              <w:bottom w:val="single" w:color="000000" w:sz="4" w:space="0"/>
              <w:right w:val="single" w:color="000000" w:sz="4" w:space="0"/>
            </w:tcBorders>
            <w:noWrap w:val="0"/>
            <w:vAlign w:val="center"/>
          </w:tcPr>
          <w:p w14:paraId="68045268">
            <w:pPr>
              <w:pStyle w:val="12"/>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kern w:val="2"/>
                <w:sz w:val="24"/>
                <w:szCs w:val="24"/>
                <w:lang w:val="en-US" w:eastAsia="zh-CN" w:bidi="ar-SA"/>
              </w:rPr>
              <w:t>1.</w:t>
            </w:r>
            <w:r>
              <w:rPr>
                <w:rFonts w:hint="eastAsia" w:ascii="仿宋" w:hAnsi="仿宋" w:eastAsia="仿宋" w:cs="仿宋"/>
                <w:sz w:val="24"/>
                <w:szCs w:val="24"/>
                <w:lang w:val="en-US" w:eastAsia="zh-CN"/>
              </w:rPr>
              <w:t>雾化盘耐磨盘材质要求为碳化硅材质，外侧固定环材质要求SUS630材质，以上材质要求附材质证明。</w:t>
            </w:r>
          </w:p>
          <w:p w14:paraId="28DD18BB">
            <w:pPr>
              <w:pStyle w:val="12"/>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lang w:val="en-US" w:eastAsia="zh-CN" w:bidi="ar"/>
              </w:rPr>
              <w:t>2.</w:t>
            </w:r>
            <w:r>
              <w:rPr>
                <w:rFonts w:hint="eastAsia" w:ascii="仿宋" w:hAnsi="仿宋" w:eastAsia="仿宋" w:cs="仿宋"/>
                <w:sz w:val="24"/>
                <w:szCs w:val="24"/>
                <w:lang w:val="en-US" w:eastAsia="zh-CN"/>
              </w:rPr>
              <w:t>动平衡要求：做G0.4最高等级，测试转速在1500rpm以上，减重测试必须做到0.05g以内，要求有动平衡校正报告。</w:t>
            </w:r>
          </w:p>
        </w:tc>
        <w:tc>
          <w:tcPr>
            <w:tcW w:w="866" w:type="dxa"/>
            <w:tcBorders>
              <w:top w:val="single" w:color="000000" w:sz="4" w:space="0"/>
              <w:left w:val="single" w:color="000000" w:sz="4" w:space="0"/>
              <w:bottom w:val="single" w:color="000000" w:sz="4" w:space="0"/>
              <w:right w:val="single" w:color="000000" w:sz="4" w:space="0"/>
            </w:tcBorders>
            <w:noWrap w:val="0"/>
            <w:vAlign w:val="center"/>
          </w:tcPr>
          <w:p w14:paraId="7CE5E767">
            <w:pPr>
              <w:pStyle w:val="12"/>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sz w:val="24"/>
                <w:szCs w:val="24"/>
                <w:lang w:val="en-US" w:eastAsia="zh-CN"/>
              </w:rPr>
              <w:t>2</w:t>
            </w:r>
          </w:p>
        </w:tc>
        <w:tc>
          <w:tcPr>
            <w:tcW w:w="817" w:type="dxa"/>
            <w:tcBorders>
              <w:top w:val="single" w:color="000000" w:sz="4" w:space="0"/>
              <w:left w:val="single" w:color="000000" w:sz="4" w:space="0"/>
              <w:bottom w:val="single" w:color="000000" w:sz="4" w:space="0"/>
              <w:right w:val="single" w:color="000000" w:sz="4" w:space="0"/>
            </w:tcBorders>
            <w:noWrap w:val="0"/>
            <w:vAlign w:val="center"/>
          </w:tcPr>
          <w:p w14:paraId="0A805B79">
            <w:pPr>
              <w:pStyle w:val="12"/>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sz w:val="24"/>
                <w:szCs w:val="24"/>
                <w:lang w:val="en-US" w:eastAsia="zh-CN"/>
              </w:rPr>
              <w:t>个</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14:paraId="3F783A31">
            <w:pPr>
              <w:jc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noWrap w:val="0"/>
            <w:vAlign w:val="center"/>
          </w:tcPr>
          <w:p w14:paraId="00A843EF">
            <w:pPr>
              <w:jc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30CA97F7">
        <w:tblPrEx>
          <w:tblCellMar>
            <w:top w:w="0" w:type="dxa"/>
            <w:left w:w="108" w:type="dxa"/>
            <w:bottom w:w="0" w:type="dxa"/>
            <w:right w:w="108" w:type="dxa"/>
          </w:tblCellMar>
        </w:tblPrEx>
        <w:trPr>
          <w:trHeight w:val="529" w:hRule="atLeast"/>
          <w:jc w:val="center"/>
        </w:trPr>
        <w:tc>
          <w:tcPr>
            <w:tcW w:w="713" w:type="dxa"/>
            <w:tcBorders>
              <w:top w:val="single" w:color="000000" w:sz="4" w:space="0"/>
              <w:left w:val="single" w:color="000000" w:sz="4" w:space="0"/>
              <w:bottom w:val="single" w:color="000000" w:sz="4" w:space="0"/>
              <w:right w:val="single" w:color="000000" w:sz="4" w:space="0"/>
            </w:tcBorders>
            <w:noWrap/>
            <w:vAlign w:val="center"/>
          </w:tcPr>
          <w:p w14:paraId="585C5984">
            <w:pPr>
              <w:keepNext w:val="0"/>
              <w:keepLines w:val="0"/>
              <w:pageBreakBefore w:val="0"/>
              <w:widowControl/>
              <w:numPr>
                <w:ilvl w:val="0"/>
                <w:numId w:val="6"/>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2410" w:type="dxa"/>
            <w:tcBorders>
              <w:top w:val="single" w:color="000000" w:sz="4" w:space="0"/>
              <w:left w:val="single" w:color="000000" w:sz="4" w:space="0"/>
              <w:bottom w:val="single" w:color="000000" w:sz="4" w:space="0"/>
              <w:right w:val="single" w:color="000000" w:sz="4" w:space="0"/>
            </w:tcBorders>
            <w:noWrap w:val="0"/>
            <w:vAlign w:val="center"/>
          </w:tcPr>
          <w:p w14:paraId="540FF8AE">
            <w:pPr>
              <w:pStyle w:val="12"/>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sz w:val="24"/>
                <w:szCs w:val="24"/>
                <w:lang w:val="en-US" w:eastAsia="zh-CN"/>
              </w:rPr>
              <w:t>雾化器拆装工具</w:t>
            </w:r>
          </w:p>
        </w:tc>
        <w:tc>
          <w:tcPr>
            <w:tcW w:w="3350" w:type="dxa"/>
            <w:tcBorders>
              <w:top w:val="single" w:color="000000" w:sz="4" w:space="0"/>
              <w:left w:val="single" w:color="000000" w:sz="4" w:space="0"/>
              <w:bottom w:val="single" w:color="000000" w:sz="4" w:space="0"/>
              <w:right w:val="single" w:color="000000" w:sz="4" w:space="0"/>
            </w:tcBorders>
            <w:noWrap w:val="0"/>
            <w:vAlign w:val="center"/>
          </w:tcPr>
          <w:p w14:paraId="3932476C">
            <w:pPr>
              <w:pStyle w:val="12"/>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sz w:val="24"/>
                <w:szCs w:val="24"/>
                <w:lang w:val="en-US" w:eastAsia="zh-CN"/>
              </w:rPr>
              <w:t>雾化器专用工具共16件（包含内六角扳手，轴芯轴承拆卸工具2件，拉拔器，轴芯上逆牙拆卸工具，联轴器拆卸工具2件，齿轮间隙调整螺栓，雾化器拆装工具4件，特制短头内六角，开口扳手2把，轴套紧固电热吹风机）。</w:t>
            </w:r>
          </w:p>
        </w:tc>
        <w:tc>
          <w:tcPr>
            <w:tcW w:w="866" w:type="dxa"/>
            <w:tcBorders>
              <w:top w:val="single" w:color="000000" w:sz="4" w:space="0"/>
              <w:left w:val="single" w:color="000000" w:sz="4" w:space="0"/>
              <w:bottom w:val="single" w:color="000000" w:sz="4" w:space="0"/>
              <w:right w:val="single" w:color="000000" w:sz="4" w:space="0"/>
            </w:tcBorders>
            <w:noWrap w:val="0"/>
            <w:vAlign w:val="center"/>
          </w:tcPr>
          <w:p w14:paraId="1B3DEC36">
            <w:pPr>
              <w:pStyle w:val="12"/>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sz w:val="24"/>
                <w:szCs w:val="24"/>
                <w:lang w:val="en-US" w:eastAsia="zh-CN"/>
              </w:rPr>
              <w:t>1</w:t>
            </w:r>
          </w:p>
        </w:tc>
        <w:tc>
          <w:tcPr>
            <w:tcW w:w="817" w:type="dxa"/>
            <w:tcBorders>
              <w:top w:val="single" w:color="000000" w:sz="4" w:space="0"/>
              <w:left w:val="single" w:color="000000" w:sz="4" w:space="0"/>
              <w:bottom w:val="single" w:color="000000" w:sz="4" w:space="0"/>
              <w:right w:val="single" w:color="000000" w:sz="4" w:space="0"/>
            </w:tcBorders>
            <w:noWrap w:val="0"/>
            <w:vAlign w:val="center"/>
          </w:tcPr>
          <w:p w14:paraId="00B0E320">
            <w:pPr>
              <w:pStyle w:val="12"/>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sz w:val="24"/>
                <w:szCs w:val="24"/>
                <w:lang w:val="en-US" w:eastAsia="zh-CN"/>
              </w:rPr>
              <w:t>套</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14:paraId="7B808297">
            <w:pPr>
              <w:jc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noWrap w:val="0"/>
            <w:vAlign w:val="center"/>
          </w:tcPr>
          <w:p w14:paraId="5E42A455">
            <w:pPr>
              <w:jc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bl>
    <w:p w14:paraId="176DBA6B">
      <w:pPr>
        <w:pStyle w:val="9"/>
        <w:rPr>
          <w:rFonts w:hint="eastAsia" w:ascii="仿宋" w:hAnsi="仿宋" w:eastAsia="仿宋" w:cs="仿宋"/>
          <w:highlight w:val="none"/>
        </w:rPr>
      </w:pPr>
    </w:p>
    <w:p w14:paraId="1C3D513A">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rPr>
      </w:pPr>
      <w:r>
        <w:rPr>
          <w:rFonts w:hint="eastAsia" w:ascii="仿宋" w:hAnsi="仿宋" w:eastAsia="仿宋" w:cs="仿宋"/>
          <w:sz w:val="30"/>
          <w:szCs w:val="30"/>
          <w:highlight w:val="none"/>
        </w:rPr>
        <w:t>报价如下：（</w:t>
      </w:r>
      <w:r>
        <w:rPr>
          <w:rFonts w:hint="eastAsia" w:ascii="仿宋" w:hAnsi="仿宋" w:eastAsia="仿宋" w:cs="仿宋"/>
          <w:sz w:val="30"/>
          <w:szCs w:val="30"/>
          <w:highlight w:val="none"/>
          <w:lang w:val="en-US" w:eastAsia="zh-CN"/>
        </w:rPr>
        <w:t>总金额</w:t>
      </w:r>
      <w:r>
        <w:rPr>
          <w:rFonts w:hint="eastAsia" w:ascii="仿宋" w:hAnsi="仿宋" w:eastAsia="仿宋" w:cs="仿宋"/>
          <w:sz w:val="30"/>
          <w:szCs w:val="30"/>
          <w:highlight w:val="none"/>
        </w:rPr>
        <w:t>：</w:t>
      </w:r>
      <w:r>
        <w:rPr>
          <w:rFonts w:hint="eastAsia" w:ascii="仿宋" w:hAnsi="仿宋" w:eastAsia="仿宋" w:cs="仿宋"/>
          <w:sz w:val="30"/>
          <w:szCs w:val="30"/>
          <w:highlight w:val="none"/>
          <w:lang w:val="en-US" w:eastAsia="zh-CN"/>
        </w:rPr>
        <w:t xml:space="preserve"> </w:t>
      </w:r>
      <w:r>
        <w:rPr>
          <w:rFonts w:hint="eastAsia" w:ascii="仿宋" w:hAnsi="仿宋" w:eastAsia="仿宋" w:cs="仿宋"/>
          <w:sz w:val="30"/>
          <w:szCs w:val="30"/>
          <w:lang w:val="en-US" w:eastAsia="zh-CN"/>
        </w:rPr>
        <w:t xml:space="preserve">      元</w:t>
      </w:r>
      <w:r>
        <w:rPr>
          <w:rFonts w:hint="eastAsia" w:ascii="仿宋" w:hAnsi="仿宋" w:eastAsia="仿宋" w:cs="仿宋"/>
          <w:sz w:val="30"/>
          <w:szCs w:val="30"/>
        </w:rPr>
        <w:t>，税率为</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w:t>
      </w:r>
    </w:p>
    <w:p w14:paraId="55621BAA">
      <w:pPr>
        <w:pStyle w:val="19"/>
        <w:keepNext w:val="0"/>
        <w:keepLines w:val="0"/>
        <w:pageBreakBefore w:val="0"/>
        <w:widowControl/>
        <w:kinsoku/>
        <w:wordWrap/>
        <w:overflowPunct/>
        <w:topLinePunct w:val="0"/>
        <w:autoSpaceDE/>
        <w:autoSpaceDN/>
        <w:bidi w:val="0"/>
        <w:adjustRightInd/>
        <w:snapToGrid w:val="0"/>
        <w:spacing w:line="360" w:lineRule="auto"/>
        <w:ind w:firstLine="601"/>
        <w:textAlignment w:val="baseline"/>
        <w:rPr>
          <w:rFonts w:hint="eastAsia" w:ascii="仿宋" w:hAnsi="仿宋" w:eastAsia="仿宋" w:cs="仿宋"/>
          <w:sz w:val="30"/>
          <w:szCs w:val="30"/>
          <w:lang w:val="en-US" w:eastAsia="zh-CN"/>
        </w:rPr>
      </w:pPr>
      <w:r>
        <w:rPr>
          <w:rFonts w:hint="eastAsia" w:ascii="仿宋" w:hAnsi="仿宋" w:eastAsia="仿宋" w:cs="仿宋"/>
          <w:sz w:val="30"/>
          <w:szCs w:val="30"/>
          <w:lang w:eastAsia="zh-CN"/>
        </w:rPr>
        <w:t>付款方式：</w:t>
      </w:r>
      <w:r>
        <w:rPr>
          <w:rFonts w:hint="eastAsia" w:ascii="仿宋" w:hAnsi="仿宋" w:eastAsia="仿宋" w:cs="仿宋"/>
          <w:sz w:val="30"/>
          <w:szCs w:val="30"/>
          <w:lang w:val="en-US" w:eastAsia="zh-CN"/>
        </w:rPr>
        <w:t>本项目按“按次验收、按批结算”原则执行，供货期为一年，自合同签订之日起算。每次维保服务完成或每批次配件送达指定地点，并经采购人现场验收通过后，供货方须在3个工作日内向采购人提交经双方签字确认的对应批次送货清单、维修记录单，以及等额、合法、有效的增值税专用发票（发票信息、税率、开票项目须完全符合税务规定及采购人财务要求）。采购人自收到准确单据和合规发票且核对无误后，于次二月完成对应批次款项支付。若供货方未按时提供发票，或提供的发票存在信息错误、无法认证抵扣等不符合税务及财务要求的情形，采购人有权顺延付款期限，直至收到合规发票为止，由此产生的付款延迟不视为采购人违约，采购人无需承担任何逾期付款利息或违约责任。</w:t>
      </w:r>
    </w:p>
    <w:p w14:paraId="41FE2C7F">
      <w:pPr>
        <w:pStyle w:val="19"/>
        <w:keepNext w:val="0"/>
        <w:keepLines w:val="0"/>
        <w:pageBreakBefore w:val="0"/>
        <w:widowControl/>
        <w:kinsoku/>
        <w:wordWrap/>
        <w:overflowPunct/>
        <w:topLinePunct w:val="0"/>
        <w:autoSpaceDE/>
        <w:autoSpaceDN/>
        <w:bidi w:val="0"/>
        <w:adjustRightInd/>
        <w:snapToGrid w:val="0"/>
        <w:spacing w:line="360" w:lineRule="auto"/>
        <w:ind w:firstLine="601"/>
        <w:textAlignment w:val="baseline"/>
        <w:rPr>
          <w:rFonts w:hint="eastAsia" w:ascii="仿宋" w:hAnsi="仿宋" w:eastAsia="仿宋" w:cs="仿宋"/>
          <w:color w:val="auto"/>
          <w:kern w:val="2"/>
          <w:sz w:val="30"/>
          <w:szCs w:val="30"/>
          <w:highlight w:val="none"/>
        </w:rPr>
      </w:pPr>
      <w:r>
        <w:rPr>
          <w:rFonts w:hint="eastAsia" w:ascii="仿宋" w:hAnsi="仿宋" w:eastAsia="仿宋" w:cs="仿宋"/>
          <w:sz w:val="30"/>
          <w:szCs w:val="30"/>
          <w:lang w:val="en-US" w:eastAsia="zh-CN"/>
        </w:rPr>
        <w:t>供货方需提供一年质保，其履约保证金（合同价的5%）到时（全部维保服务及配件供货验收合格后）自动转为质保金，质保期自最后一批配件供货或最后一次维保服务验收合格之日起统一计算，质保金于质保期满且无未决质量争议后无息退还。质保期内，若因供货方维护保养操作不当，或提供的更换备件存在质量问题，导致雾化器出现故障或损坏的，供货方须免费完成维修或更换，维修或更换后的部件质保期自维修/更换完成并经采购人验收合格之日起重新计算一年，直至验收合格方视为完成质保义务</w:t>
      </w:r>
      <w:r>
        <w:rPr>
          <w:rFonts w:hint="eastAsia" w:ascii="仿宋" w:hAnsi="仿宋" w:eastAsia="仿宋" w:cs="仿宋"/>
          <w:sz w:val="30"/>
          <w:szCs w:val="30"/>
          <w:highlight w:val="none"/>
          <w:lang w:val="en-US" w:eastAsia="zh-CN"/>
        </w:rPr>
        <w:t>。</w:t>
      </w:r>
    </w:p>
    <w:p w14:paraId="43F89D41">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lang w:val="en-US" w:eastAsia="zh-CN"/>
        </w:rPr>
      </w:pPr>
      <w:r>
        <w:rPr>
          <w:rFonts w:hint="eastAsia" w:ascii="仿宋_GB2312" w:eastAsia="仿宋_GB2312"/>
          <w:color w:val="auto"/>
          <w:kern w:val="2"/>
          <w:sz w:val="30"/>
          <w:szCs w:val="30"/>
          <w:highlight w:val="none"/>
          <w:lang w:eastAsia="zh-CN"/>
        </w:rPr>
        <w:t>【</w:t>
      </w:r>
      <w:r>
        <w:rPr>
          <w:rFonts w:hint="eastAsia" w:ascii="仿宋_GB2312" w:eastAsia="仿宋_GB2312"/>
          <w:color w:val="auto"/>
          <w:kern w:val="2"/>
          <w:sz w:val="30"/>
          <w:szCs w:val="30"/>
          <w:highlight w:val="none"/>
          <w:lang w:val="en-US" w:eastAsia="zh-CN"/>
        </w:rPr>
        <w:t>不得</w:t>
      </w:r>
      <w:r>
        <w:rPr>
          <w:rFonts w:hint="eastAsia" w:ascii="仿宋_GB2312" w:eastAsia="仿宋_GB2312"/>
          <w:color w:val="auto"/>
          <w:kern w:val="2"/>
          <w:sz w:val="30"/>
          <w:szCs w:val="30"/>
          <w:highlight w:val="none"/>
          <w:lang w:eastAsia="zh-CN"/>
        </w:rPr>
        <w:t>擅自修改付款</w:t>
      </w:r>
      <w:r>
        <w:rPr>
          <w:rFonts w:hint="eastAsia" w:ascii="仿宋_GB2312" w:eastAsia="仿宋_GB2312"/>
          <w:color w:val="auto"/>
          <w:kern w:val="2"/>
          <w:sz w:val="30"/>
          <w:szCs w:val="30"/>
          <w:highlight w:val="none"/>
          <w:lang w:val="en-US" w:eastAsia="zh-CN"/>
        </w:rPr>
        <w:t>方式</w:t>
      </w:r>
      <w:r>
        <w:rPr>
          <w:rFonts w:hint="eastAsia" w:ascii="仿宋_GB2312" w:eastAsia="仿宋_GB2312"/>
          <w:color w:val="auto"/>
          <w:kern w:val="2"/>
          <w:sz w:val="30"/>
          <w:szCs w:val="30"/>
          <w:highlight w:val="none"/>
          <w:lang w:eastAsia="zh-CN"/>
        </w:rPr>
        <w:t>，未满足该条件则视为无效投标】</w:t>
      </w:r>
    </w:p>
    <w:p w14:paraId="238AC160">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相关要求：</w:t>
      </w:r>
    </w:p>
    <w:p w14:paraId="0D6D0DEF">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color w:val="auto"/>
          <w:sz w:val="30"/>
          <w:szCs w:val="30"/>
          <w:highlight w:val="none"/>
          <w:lang w:eastAsia="zh-CN"/>
        </w:rPr>
      </w:pPr>
      <w:r>
        <w:rPr>
          <w:rFonts w:hint="eastAsia" w:ascii="仿宋" w:hAnsi="仿宋" w:eastAsia="仿宋" w:cs="仿宋"/>
          <w:color w:val="auto"/>
          <w:sz w:val="30"/>
          <w:szCs w:val="30"/>
          <w:lang w:val="en-US" w:eastAsia="zh-CN"/>
        </w:rPr>
        <w:t>1.</w:t>
      </w:r>
      <w:r>
        <w:rPr>
          <w:rFonts w:hint="eastAsia" w:ascii="仿宋" w:hAnsi="仿宋" w:eastAsia="仿宋" w:cs="仿宋"/>
          <w:color w:val="auto"/>
          <w:sz w:val="30"/>
          <w:szCs w:val="30"/>
        </w:rPr>
        <w:t>本项目采购总金额限价为</w:t>
      </w:r>
      <w:r>
        <w:rPr>
          <w:rFonts w:hint="eastAsia" w:ascii="仿宋" w:hAnsi="仿宋" w:eastAsia="仿宋" w:cs="仿宋"/>
          <w:color w:val="auto"/>
          <w:sz w:val="30"/>
          <w:szCs w:val="30"/>
          <w:lang w:eastAsia="zh-CN"/>
        </w:rPr>
        <w:t>人民</w:t>
      </w:r>
      <w:r>
        <w:rPr>
          <w:rFonts w:hint="eastAsia" w:ascii="仿宋" w:hAnsi="仿宋" w:eastAsia="仿宋" w:cs="仿宋"/>
          <w:color w:val="auto"/>
          <w:sz w:val="30"/>
          <w:szCs w:val="30"/>
          <w:highlight w:val="none"/>
          <w:lang w:eastAsia="zh-CN"/>
        </w:rPr>
        <w:t>币31</w:t>
      </w:r>
      <w:r>
        <w:rPr>
          <w:rFonts w:hint="eastAsia" w:ascii="仿宋" w:hAnsi="仿宋" w:eastAsia="仿宋" w:cs="仿宋"/>
          <w:color w:val="auto"/>
          <w:sz w:val="30"/>
          <w:szCs w:val="30"/>
          <w:highlight w:val="none"/>
          <w:lang w:val="en-US" w:eastAsia="zh-CN"/>
        </w:rPr>
        <w:t>万</w:t>
      </w:r>
      <w:r>
        <w:rPr>
          <w:rFonts w:hint="eastAsia" w:ascii="仿宋" w:hAnsi="仿宋" w:eastAsia="仿宋" w:cs="仿宋"/>
          <w:color w:val="auto"/>
          <w:sz w:val="30"/>
          <w:szCs w:val="30"/>
          <w:highlight w:val="none"/>
        </w:rPr>
        <w:t>元</w:t>
      </w:r>
      <w:r>
        <w:rPr>
          <w:rFonts w:hint="eastAsia" w:ascii="仿宋" w:hAnsi="仿宋" w:eastAsia="仿宋" w:cs="仿宋"/>
          <w:color w:val="auto"/>
          <w:sz w:val="30"/>
          <w:szCs w:val="30"/>
          <w:highlight w:val="none"/>
          <w:lang w:eastAsia="zh-CN"/>
        </w:rPr>
        <w:t>。</w:t>
      </w:r>
    </w:p>
    <w:p w14:paraId="7950E212">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2.该采购项目履约保证金为合同价的5%。供货方于合同签订前将履约保证金打入采购人指定账户。全部维保服务及配件供货验收合格后，履约保证金转为质保金。质保期满后，采购人退还质保金（无息）。</w:t>
      </w:r>
    </w:p>
    <w:p w14:paraId="6ED1667A">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default"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3.供货方在合同履行期间出现违约行为，采购人可扣除相应履约保证金/质保金，并向供货方追究相应经济损失。</w:t>
      </w:r>
    </w:p>
    <w:p w14:paraId="7256419A">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highlight w:val="none"/>
          <w:lang w:val="en-US" w:eastAsia="zh-CN"/>
        </w:rPr>
        <w:t>4.预成交公示结束后，供货方在收到采购人拟订</w:t>
      </w:r>
      <w:r>
        <w:rPr>
          <w:rFonts w:hint="eastAsia" w:ascii="仿宋" w:hAnsi="仿宋" w:eastAsia="仿宋" w:cs="仿宋"/>
          <w:color w:val="auto"/>
          <w:sz w:val="30"/>
          <w:szCs w:val="30"/>
          <w:lang w:val="en-US" w:eastAsia="zh-CN"/>
        </w:rPr>
        <w:t>合同（所中标项目）电子版本后，确认无误并签署盖章，2天内邮寄给采购人。合同上的签订时间与采购人实际收到合同时间原则上不超过5天。否则视为供货方自动放弃，采购人有权解除合同。</w:t>
      </w:r>
    </w:p>
    <w:p w14:paraId="7FFA82F3">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24"/>
          <w:szCs w:val="24"/>
        </w:rPr>
      </w:pPr>
      <w:r>
        <w:rPr>
          <w:rFonts w:hint="eastAsia" w:ascii="仿宋" w:hAnsi="仿宋" w:eastAsia="仿宋" w:cs="仿宋"/>
          <w:sz w:val="30"/>
          <w:szCs w:val="30"/>
          <w:lang w:val="en-US" w:eastAsia="zh-CN"/>
        </w:rPr>
        <w:t>5.以上总价应为含税全包价，包括运费、税费等一切费用，发票必须为增值税专用发票。</w:t>
      </w:r>
      <w:r>
        <w:rPr>
          <w:rFonts w:hint="eastAsia" w:ascii="仿宋" w:hAnsi="仿宋" w:eastAsia="仿宋" w:cs="仿宋"/>
          <w:sz w:val="30"/>
          <w:szCs w:val="30"/>
        </w:rPr>
        <w:tab/>
      </w:r>
      <w:r>
        <w:rPr>
          <w:rFonts w:hint="eastAsia" w:ascii="仿宋" w:hAnsi="仿宋" w:eastAsia="仿宋" w:cs="仿宋"/>
          <w:sz w:val="30"/>
          <w:szCs w:val="30"/>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p>
    <w:p w14:paraId="0FE1FA15">
      <w:pPr>
        <w:snapToGrid w:val="0"/>
        <w:ind w:firstLine="480" w:firstLineChars="200"/>
        <w:jc w:val="right"/>
        <w:rPr>
          <w:rFonts w:hint="eastAsia" w:ascii="仿宋" w:hAnsi="仿宋" w:eastAsia="仿宋" w:cs="仿宋"/>
          <w:sz w:val="24"/>
          <w:szCs w:val="24"/>
        </w:rPr>
      </w:pPr>
      <w:r>
        <w:rPr>
          <w:rFonts w:hint="eastAsia" w:ascii="仿宋" w:hAnsi="仿宋" w:eastAsia="仿宋" w:cs="仿宋"/>
          <w:sz w:val="24"/>
          <w:szCs w:val="24"/>
        </w:rPr>
        <w:t>报价单位名称（公章）：</w:t>
      </w:r>
    </w:p>
    <w:p w14:paraId="744F294C">
      <w:pPr>
        <w:snapToGrid w:val="0"/>
        <w:ind w:firstLine="480" w:firstLineChars="200"/>
        <w:jc w:val="right"/>
        <w:rPr>
          <w:rFonts w:hint="eastAsia" w:ascii="仿宋" w:hAnsi="仿宋" w:eastAsia="仿宋" w:cs="仿宋"/>
          <w:sz w:val="24"/>
          <w:szCs w:val="24"/>
        </w:rPr>
      </w:pP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 xml:space="preserve">           </w:t>
      </w:r>
      <w:r>
        <w:rPr>
          <w:rFonts w:hint="default" w:ascii="仿宋" w:hAnsi="仿宋" w:eastAsia="仿宋" w:cs="仿宋"/>
          <w:sz w:val="24"/>
          <w:szCs w:val="24"/>
          <w:lang w:val="en-US"/>
        </w:rPr>
        <w:t>202</w:t>
      </w:r>
      <w:r>
        <w:rPr>
          <w:rFonts w:hint="eastAsia" w:ascii="仿宋" w:hAnsi="仿宋" w:eastAsia="仿宋" w:cs="仿宋"/>
          <w:sz w:val="24"/>
          <w:szCs w:val="24"/>
          <w:lang w:val="en-US" w:eastAsia="zh-CN"/>
        </w:rPr>
        <w:t>6</w:t>
      </w:r>
      <w:r>
        <w:rPr>
          <w:rFonts w:hint="default" w:ascii="仿宋" w:hAnsi="仿宋" w:eastAsia="仿宋" w:cs="仿宋"/>
          <w:sz w:val="24"/>
          <w:szCs w:val="24"/>
          <w:lang w:val="en-US"/>
        </w:rPr>
        <w:t>年</w:t>
      </w:r>
      <w:r>
        <w:rPr>
          <w:rFonts w:hint="eastAsia" w:ascii="仿宋" w:hAnsi="仿宋" w:eastAsia="仿宋" w:cs="仿宋"/>
          <w:sz w:val="24"/>
          <w:szCs w:val="24"/>
        </w:rPr>
        <w:t xml:space="preserve"> 月 日</w:t>
      </w:r>
    </w:p>
    <w:p w14:paraId="0E06A07D">
      <w:pPr>
        <w:spacing w:line="360" w:lineRule="auto"/>
        <w:jc w:val="center"/>
        <w:rPr>
          <w:rFonts w:hint="eastAsia" w:ascii="仿宋" w:hAnsi="仿宋" w:eastAsia="仿宋" w:cs="仿宋"/>
          <w:b/>
          <w:color w:val="auto"/>
          <w:sz w:val="44"/>
          <w:lang w:val="en-US" w:eastAsia="zh-CN"/>
        </w:rPr>
      </w:pPr>
    </w:p>
    <w:p w14:paraId="73EF7B39">
      <w:pPr>
        <w:spacing w:line="360" w:lineRule="auto"/>
        <w:jc w:val="center"/>
        <w:rPr>
          <w:rFonts w:hint="eastAsia" w:ascii="仿宋" w:hAnsi="仿宋" w:eastAsia="仿宋" w:cs="仿宋"/>
          <w:b/>
          <w:color w:val="auto"/>
          <w:sz w:val="44"/>
          <w:lang w:val="en-US" w:eastAsia="zh-CN"/>
        </w:rPr>
      </w:pPr>
    </w:p>
    <w:p w14:paraId="673A4905">
      <w:pPr>
        <w:spacing w:line="360" w:lineRule="auto"/>
        <w:jc w:val="center"/>
        <w:rPr>
          <w:rFonts w:hint="eastAsia" w:ascii="仿宋" w:hAnsi="仿宋" w:eastAsia="仿宋" w:cs="仿宋"/>
          <w:b/>
          <w:color w:val="auto"/>
          <w:sz w:val="44"/>
          <w:lang w:val="en-US" w:eastAsia="zh-CN"/>
        </w:rPr>
      </w:pPr>
    </w:p>
    <w:p w14:paraId="5C0514F7">
      <w:pPr>
        <w:spacing w:line="360" w:lineRule="auto"/>
        <w:jc w:val="center"/>
        <w:rPr>
          <w:rFonts w:hint="eastAsia" w:ascii="仿宋" w:hAnsi="仿宋" w:eastAsia="仿宋" w:cs="仿宋"/>
          <w:b/>
          <w:color w:val="auto"/>
          <w:sz w:val="44"/>
          <w:lang w:val="en-US" w:eastAsia="zh-CN"/>
        </w:rPr>
      </w:pPr>
    </w:p>
    <w:p w14:paraId="0DD8ABE5">
      <w:pPr>
        <w:spacing w:line="360" w:lineRule="auto"/>
        <w:jc w:val="center"/>
        <w:rPr>
          <w:rFonts w:hint="eastAsia" w:ascii="仿宋" w:hAnsi="仿宋" w:eastAsia="仿宋" w:cs="仿宋"/>
          <w:b/>
          <w:color w:val="auto"/>
          <w:sz w:val="44"/>
          <w:lang w:val="en-US" w:eastAsia="zh-CN"/>
        </w:rPr>
      </w:pPr>
    </w:p>
    <w:p w14:paraId="3C20548E">
      <w:pPr>
        <w:spacing w:line="360" w:lineRule="auto"/>
        <w:jc w:val="center"/>
        <w:rPr>
          <w:rFonts w:hint="eastAsia" w:ascii="仿宋" w:hAnsi="仿宋" w:eastAsia="仿宋" w:cs="仿宋"/>
          <w:b/>
          <w:color w:val="auto"/>
          <w:sz w:val="44"/>
          <w:lang w:val="en-US" w:eastAsia="zh-CN"/>
        </w:rPr>
      </w:pPr>
    </w:p>
    <w:p w14:paraId="039241B6">
      <w:pPr>
        <w:spacing w:line="360" w:lineRule="auto"/>
        <w:jc w:val="center"/>
        <w:rPr>
          <w:rFonts w:hint="eastAsia" w:ascii="仿宋" w:hAnsi="仿宋" w:eastAsia="仿宋" w:cs="仿宋"/>
          <w:b/>
          <w:color w:val="auto"/>
          <w:sz w:val="44"/>
          <w:lang w:val="en-US" w:eastAsia="zh-CN"/>
        </w:rPr>
      </w:pPr>
    </w:p>
    <w:p w14:paraId="52314FCF">
      <w:pPr>
        <w:pStyle w:val="12"/>
        <w:rPr>
          <w:rFonts w:hint="eastAsia" w:ascii="仿宋" w:hAnsi="仿宋" w:eastAsia="仿宋" w:cs="仿宋"/>
          <w:b/>
          <w:color w:val="auto"/>
          <w:sz w:val="44"/>
          <w:lang w:val="en-US" w:eastAsia="zh-CN"/>
        </w:rPr>
      </w:pPr>
    </w:p>
    <w:p w14:paraId="7A84BD6E">
      <w:pPr>
        <w:pStyle w:val="12"/>
        <w:rPr>
          <w:rFonts w:hint="eastAsia" w:ascii="仿宋" w:hAnsi="仿宋" w:eastAsia="仿宋" w:cs="仿宋"/>
          <w:b/>
          <w:color w:val="auto"/>
          <w:sz w:val="44"/>
          <w:lang w:val="en-US" w:eastAsia="zh-CN"/>
        </w:rPr>
      </w:pPr>
    </w:p>
    <w:p w14:paraId="0AB09EB9">
      <w:pPr>
        <w:spacing w:line="360" w:lineRule="auto"/>
        <w:jc w:val="center"/>
        <w:rPr>
          <w:rFonts w:hint="eastAsia" w:ascii="仿宋" w:hAnsi="仿宋" w:eastAsia="仿宋" w:cs="仿宋"/>
          <w:b/>
          <w:color w:val="auto"/>
          <w:sz w:val="44"/>
          <w:lang w:val="en-US" w:eastAsia="zh-CN"/>
        </w:rPr>
      </w:pPr>
    </w:p>
    <w:p w14:paraId="16F89884">
      <w:pPr>
        <w:spacing w:line="360" w:lineRule="auto"/>
        <w:jc w:val="center"/>
        <w:rPr>
          <w:rFonts w:hint="eastAsia" w:ascii="仿宋" w:hAnsi="仿宋" w:eastAsia="仿宋" w:cs="仿宋"/>
          <w:b/>
          <w:color w:val="auto"/>
          <w:sz w:val="44"/>
          <w:lang w:val="en-US" w:eastAsia="zh-CN"/>
        </w:rPr>
      </w:pPr>
    </w:p>
    <w:p w14:paraId="42AB5701">
      <w:pPr>
        <w:pStyle w:val="12"/>
        <w:ind w:left="0" w:leftChars="0" w:firstLine="0" w:firstLineChars="0"/>
        <w:rPr>
          <w:rFonts w:hint="eastAsia"/>
          <w:lang w:val="en-US" w:eastAsia="zh-CN"/>
        </w:rPr>
      </w:pPr>
    </w:p>
    <w:p w14:paraId="4BA40F3E">
      <w:pPr>
        <w:spacing w:line="480" w:lineRule="auto"/>
        <w:jc w:val="left"/>
        <w:outlineLvl w:val="0"/>
        <w:rPr>
          <w:rFonts w:hint="eastAsia" w:ascii="仿宋" w:hAnsi="仿宋" w:eastAsia="仿宋" w:cs="仿宋"/>
          <w:b/>
          <w:spacing w:val="-2"/>
          <w:sz w:val="30"/>
        </w:rPr>
      </w:pPr>
      <w:bookmarkStart w:id="29" w:name="_Toc12615"/>
      <w:r>
        <w:rPr>
          <w:rStyle w:val="20"/>
          <w:rFonts w:hint="eastAsia" w:ascii="仿宋" w:hAnsi="仿宋" w:eastAsia="仿宋" w:cs="仿宋"/>
          <w:sz w:val="30"/>
        </w:rPr>
        <w:t>附件三：</w:t>
      </w:r>
      <w:bookmarkEnd w:id="29"/>
    </w:p>
    <w:p w14:paraId="6B8A0D71">
      <w:pPr>
        <w:spacing w:line="360" w:lineRule="auto"/>
        <w:jc w:val="center"/>
        <w:rPr>
          <w:rFonts w:hint="eastAsia" w:ascii="仿宋" w:hAnsi="仿宋" w:eastAsia="仿宋" w:cs="仿宋"/>
          <w:b/>
          <w:color w:val="auto"/>
          <w:sz w:val="44"/>
        </w:rPr>
      </w:pPr>
      <w:r>
        <w:rPr>
          <w:rFonts w:hint="eastAsia" w:ascii="仿宋" w:hAnsi="仿宋" w:eastAsia="仿宋" w:cs="仿宋"/>
          <w:b/>
          <w:color w:val="auto"/>
          <w:sz w:val="44"/>
          <w:lang w:val="en-US" w:eastAsia="zh-CN"/>
        </w:rPr>
        <w:t>二 次 报 价</w:t>
      </w:r>
      <w:r>
        <w:rPr>
          <w:rFonts w:hint="eastAsia" w:ascii="仿宋" w:hAnsi="仿宋" w:eastAsia="仿宋" w:cs="仿宋"/>
          <w:b/>
          <w:color w:val="auto"/>
          <w:sz w:val="44"/>
        </w:rPr>
        <w:t xml:space="preserve"> 一 览 表</w:t>
      </w:r>
    </w:p>
    <w:p w14:paraId="657AF1E4">
      <w:pPr>
        <w:pStyle w:val="21"/>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ascii="仿宋" w:hAnsi="仿宋" w:eastAsia="仿宋" w:cs="仿宋"/>
          <w:b w:val="0"/>
          <w:color w:val="auto"/>
          <w:sz w:val="30"/>
          <w:szCs w:val="30"/>
        </w:rPr>
      </w:pPr>
      <w:r>
        <w:rPr>
          <w:rFonts w:hint="eastAsia" w:ascii="仿宋" w:hAnsi="仿宋" w:eastAsia="仿宋" w:cs="仿宋"/>
          <w:b w:val="0"/>
          <w:color w:val="auto"/>
          <w:sz w:val="30"/>
          <w:szCs w:val="30"/>
          <w:lang w:eastAsia="zh-CN"/>
        </w:rPr>
        <w:t>绍兴市再生能源发展有限公司</w:t>
      </w:r>
      <w:r>
        <w:rPr>
          <w:rFonts w:hint="eastAsia" w:ascii="仿宋" w:hAnsi="仿宋" w:eastAsia="仿宋" w:cs="仿宋"/>
          <w:b w:val="0"/>
          <w:color w:val="auto"/>
          <w:sz w:val="30"/>
          <w:szCs w:val="30"/>
        </w:rPr>
        <w:t>：</w:t>
      </w:r>
    </w:p>
    <w:p w14:paraId="1DE889E0">
      <w:pPr>
        <w:keepNext w:val="0"/>
        <w:keepLines w:val="0"/>
        <w:pageBreakBefore w:val="0"/>
        <w:widowControl w:val="0"/>
        <w:kinsoku/>
        <w:wordWrap/>
        <w:overflowPunct/>
        <w:topLinePunct w:val="0"/>
        <w:autoSpaceDE/>
        <w:autoSpaceDN/>
        <w:bidi w:val="0"/>
        <w:adjustRightInd/>
        <w:snapToGrid w:val="0"/>
        <w:spacing w:line="360" w:lineRule="auto"/>
        <w:ind w:firstLine="560" w:firstLineChars="200"/>
        <w:jc w:val="left"/>
        <w:textAlignment w:val="auto"/>
        <w:rPr>
          <w:rFonts w:hint="eastAsia" w:ascii="仿宋" w:hAnsi="仿宋" w:eastAsia="仿宋" w:cs="仿宋"/>
          <w:color w:val="auto"/>
          <w:sz w:val="30"/>
          <w:szCs w:val="30"/>
        </w:rPr>
      </w:pPr>
      <w:r>
        <w:rPr>
          <w:rFonts w:hint="eastAsia" w:ascii="仿宋_GB2312" w:eastAsia="仿宋_GB2312"/>
          <w:color w:val="auto"/>
          <w:sz w:val="28"/>
          <w:szCs w:val="28"/>
        </w:rPr>
        <w:t>我公司</w:t>
      </w:r>
      <w:r>
        <w:rPr>
          <w:rFonts w:hint="eastAsia" w:ascii="仿宋_GB2312" w:eastAsia="仿宋_GB2312"/>
          <w:color w:val="auto"/>
          <w:sz w:val="28"/>
          <w:szCs w:val="28"/>
          <w:u w:val="single"/>
        </w:rPr>
        <w:t xml:space="preserve">        （报价单位名称）         </w:t>
      </w:r>
      <w:r>
        <w:rPr>
          <w:rFonts w:hint="eastAsia" w:ascii="仿宋_GB2312" w:eastAsia="仿宋_GB2312"/>
          <w:color w:val="auto"/>
          <w:sz w:val="28"/>
          <w:szCs w:val="28"/>
        </w:rPr>
        <w:t>根据贵单位询价文件要求，</w:t>
      </w:r>
      <w:r>
        <w:rPr>
          <w:rFonts w:hint="eastAsia" w:ascii="仿宋_GB2312" w:eastAsia="仿宋_GB2312"/>
          <w:color w:val="auto"/>
          <w:sz w:val="28"/>
          <w:szCs w:val="28"/>
          <w:lang w:eastAsia="zh-CN"/>
        </w:rPr>
        <w:t>委派</w:t>
      </w:r>
      <w:r>
        <w:rPr>
          <w:rFonts w:hint="eastAsia" w:ascii="仿宋_GB2312" w:eastAsia="仿宋_GB2312"/>
          <w:color w:val="auto"/>
          <w:sz w:val="28"/>
          <w:szCs w:val="28"/>
          <w:u w:val="single"/>
          <w:lang w:val="en-US" w:eastAsia="zh-CN"/>
        </w:rPr>
        <w:t xml:space="preserve"> （联系人）   </w:t>
      </w:r>
      <w:r>
        <w:rPr>
          <w:rFonts w:hint="eastAsia" w:ascii="仿宋_GB2312" w:eastAsia="仿宋_GB2312"/>
          <w:color w:val="auto"/>
          <w:sz w:val="28"/>
          <w:szCs w:val="28"/>
          <w:u w:val="none"/>
          <w:lang w:val="en-US" w:eastAsia="zh-CN"/>
        </w:rPr>
        <w:t>，联系方式</w:t>
      </w:r>
      <w:r>
        <w:rPr>
          <w:rFonts w:hint="eastAsia" w:ascii="仿宋_GB2312" w:eastAsia="仿宋_GB2312"/>
          <w:color w:val="auto"/>
          <w:sz w:val="28"/>
          <w:szCs w:val="28"/>
          <w:u w:val="single"/>
          <w:lang w:val="en-US" w:eastAsia="zh-CN"/>
        </w:rPr>
        <w:t xml:space="preserve">                 </w:t>
      </w:r>
      <w:r>
        <w:rPr>
          <w:rFonts w:hint="eastAsia" w:ascii="仿宋" w:hAnsi="仿宋" w:eastAsia="仿宋" w:cs="仿宋"/>
          <w:color w:val="auto"/>
          <w:sz w:val="30"/>
          <w:szCs w:val="30"/>
        </w:rPr>
        <w:t>，参加</w:t>
      </w:r>
      <w:r>
        <w:rPr>
          <w:rFonts w:hint="eastAsia" w:ascii="仿宋" w:hAnsi="仿宋" w:eastAsia="仿宋" w:cs="仿宋"/>
          <w:color w:val="auto"/>
          <w:sz w:val="30"/>
          <w:szCs w:val="30"/>
          <w:u w:val="single"/>
        </w:rPr>
        <w:t xml:space="preserve">  </w:t>
      </w:r>
      <w:r>
        <w:rPr>
          <w:rFonts w:hint="eastAsia" w:ascii="仿宋" w:hAnsi="仿宋" w:eastAsia="仿宋" w:cs="仿宋"/>
          <w:color w:val="auto"/>
          <w:sz w:val="30"/>
          <w:szCs w:val="30"/>
          <w:u w:val="single"/>
          <w:lang w:val="en-US" w:eastAsia="zh-CN"/>
        </w:rPr>
        <w:t xml:space="preserve">绍兴市再生能源发展有限公司 雾化器年度保养 </w:t>
      </w:r>
      <w:r>
        <w:rPr>
          <w:rFonts w:hint="eastAsia" w:ascii="仿宋" w:hAnsi="仿宋" w:eastAsia="仿宋" w:cs="仿宋"/>
          <w:color w:val="auto"/>
          <w:sz w:val="30"/>
          <w:szCs w:val="30"/>
          <w:u w:val="none"/>
          <w:lang w:val="en-US" w:eastAsia="zh-CN"/>
        </w:rPr>
        <w:t>项目。</w:t>
      </w:r>
    </w:p>
    <w:tbl>
      <w:tblPr>
        <w:tblStyle w:val="13"/>
        <w:tblW w:w="5534" w:type="pct"/>
        <w:jc w:val="center"/>
        <w:tblLayout w:type="fixed"/>
        <w:tblCellMar>
          <w:top w:w="0" w:type="dxa"/>
          <w:left w:w="108" w:type="dxa"/>
          <w:bottom w:w="0" w:type="dxa"/>
          <w:right w:w="108" w:type="dxa"/>
        </w:tblCellMar>
      </w:tblPr>
      <w:tblGrid>
        <w:gridCol w:w="713"/>
        <w:gridCol w:w="2410"/>
        <w:gridCol w:w="3350"/>
        <w:gridCol w:w="866"/>
        <w:gridCol w:w="817"/>
        <w:gridCol w:w="1059"/>
        <w:gridCol w:w="1065"/>
      </w:tblGrid>
      <w:tr w14:paraId="1273A127">
        <w:tblPrEx>
          <w:tblCellMar>
            <w:top w:w="0" w:type="dxa"/>
            <w:left w:w="108" w:type="dxa"/>
            <w:bottom w:w="0" w:type="dxa"/>
            <w:right w:w="108" w:type="dxa"/>
          </w:tblCellMar>
        </w:tblPrEx>
        <w:trPr>
          <w:trHeight w:val="467" w:hRule="atLeast"/>
          <w:jc w:val="center"/>
        </w:trPr>
        <w:tc>
          <w:tcPr>
            <w:tcW w:w="713" w:type="dxa"/>
            <w:tcBorders>
              <w:top w:val="single" w:color="000000" w:sz="4" w:space="0"/>
              <w:left w:val="single" w:color="000000" w:sz="4" w:space="0"/>
              <w:bottom w:val="single" w:color="000000" w:sz="4" w:space="0"/>
              <w:right w:val="single" w:color="000000" w:sz="4" w:space="0"/>
            </w:tcBorders>
            <w:noWrap/>
            <w:vAlign w:val="center"/>
          </w:tcPr>
          <w:p w14:paraId="1C14579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rPr>
            </w:pPr>
            <w:r>
              <w:rPr>
                <w:rFonts w:hint="eastAsia" w:ascii="仿宋" w:hAnsi="仿宋" w:eastAsia="仿宋" w:cs="仿宋"/>
                <w:i w:val="0"/>
                <w:iCs w:val="0"/>
                <w:strike w:val="0"/>
                <w:dstrike w:val="0"/>
                <w:color w:val="000000"/>
                <w:kern w:val="0"/>
                <w:sz w:val="24"/>
                <w:szCs w:val="24"/>
                <w:highlight w:val="none"/>
                <w:u w:val="none"/>
                <w:lang w:val="en-US" w:eastAsia="zh-CN" w:bidi="ar"/>
              </w:rPr>
              <w:t>序号</w:t>
            </w:r>
          </w:p>
        </w:tc>
        <w:tc>
          <w:tcPr>
            <w:tcW w:w="2410" w:type="dxa"/>
            <w:tcBorders>
              <w:top w:val="single" w:color="000000" w:sz="4" w:space="0"/>
              <w:left w:val="single" w:color="000000" w:sz="4" w:space="0"/>
              <w:bottom w:val="single" w:color="000000" w:sz="4" w:space="0"/>
              <w:right w:val="single" w:color="000000" w:sz="4" w:space="0"/>
            </w:tcBorders>
            <w:noWrap/>
            <w:vAlign w:val="center"/>
          </w:tcPr>
          <w:p w14:paraId="25055EB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lang w:val="en-US"/>
              </w:rPr>
            </w:pPr>
            <w:r>
              <w:rPr>
                <w:rFonts w:hint="eastAsia" w:ascii="仿宋" w:hAnsi="仿宋" w:eastAsia="仿宋" w:cs="仿宋"/>
                <w:i w:val="0"/>
                <w:iCs w:val="0"/>
                <w:strike w:val="0"/>
                <w:dstrike w:val="0"/>
                <w:color w:val="000000"/>
                <w:kern w:val="0"/>
                <w:sz w:val="24"/>
                <w:szCs w:val="24"/>
                <w:highlight w:val="none"/>
                <w:u w:val="none"/>
                <w:lang w:val="en-US" w:eastAsia="zh-CN" w:bidi="ar"/>
              </w:rPr>
              <w:t>名称</w:t>
            </w:r>
          </w:p>
        </w:tc>
        <w:tc>
          <w:tcPr>
            <w:tcW w:w="3350" w:type="dxa"/>
            <w:tcBorders>
              <w:top w:val="single" w:color="000000" w:sz="4" w:space="0"/>
              <w:left w:val="single" w:color="000000" w:sz="4" w:space="0"/>
              <w:bottom w:val="single" w:color="000000" w:sz="4" w:space="0"/>
              <w:right w:val="single" w:color="000000" w:sz="4" w:space="0"/>
            </w:tcBorders>
            <w:noWrap/>
            <w:vAlign w:val="center"/>
          </w:tcPr>
          <w:p w14:paraId="28326DC1">
            <w:pPr>
              <w:keepNext w:val="0"/>
              <w:keepLines w:val="0"/>
              <w:pageBreakBefore w:val="0"/>
              <w:widowControl/>
              <w:suppressLineNumbers w:val="0"/>
              <w:tabs>
                <w:tab w:val="left" w:pos="222"/>
              </w:tabs>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规格与技术参数要求</w:t>
            </w:r>
          </w:p>
        </w:tc>
        <w:tc>
          <w:tcPr>
            <w:tcW w:w="866" w:type="dxa"/>
            <w:tcBorders>
              <w:top w:val="single" w:color="000000" w:sz="4" w:space="0"/>
              <w:left w:val="single" w:color="000000" w:sz="4" w:space="0"/>
              <w:bottom w:val="single" w:color="000000" w:sz="4" w:space="0"/>
              <w:right w:val="single" w:color="000000" w:sz="4" w:space="0"/>
            </w:tcBorders>
            <w:noWrap/>
            <w:vAlign w:val="center"/>
          </w:tcPr>
          <w:p w14:paraId="0F778A8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rPr>
            </w:pPr>
            <w:r>
              <w:rPr>
                <w:rFonts w:hint="eastAsia" w:ascii="仿宋" w:hAnsi="仿宋" w:eastAsia="仿宋" w:cs="仿宋"/>
                <w:i w:val="0"/>
                <w:iCs w:val="0"/>
                <w:strike w:val="0"/>
                <w:dstrike w:val="0"/>
                <w:color w:val="000000"/>
                <w:kern w:val="0"/>
                <w:sz w:val="24"/>
                <w:szCs w:val="24"/>
                <w:highlight w:val="none"/>
                <w:u w:val="none"/>
                <w:lang w:val="en-US" w:eastAsia="zh-CN" w:bidi="ar"/>
              </w:rPr>
              <w:t>数量</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A2D253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rPr>
            </w:pPr>
            <w:r>
              <w:rPr>
                <w:rFonts w:hint="eastAsia" w:ascii="仿宋" w:hAnsi="仿宋" w:eastAsia="仿宋" w:cs="仿宋"/>
                <w:i w:val="0"/>
                <w:iCs w:val="0"/>
                <w:strike w:val="0"/>
                <w:dstrike w:val="0"/>
                <w:color w:val="000000"/>
                <w:kern w:val="0"/>
                <w:sz w:val="24"/>
                <w:szCs w:val="24"/>
                <w:highlight w:val="none"/>
                <w:u w:val="none"/>
                <w:lang w:val="en-US" w:eastAsia="zh-CN" w:bidi="ar"/>
              </w:rPr>
              <w:t>单位</w:t>
            </w:r>
          </w:p>
        </w:tc>
        <w:tc>
          <w:tcPr>
            <w:tcW w:w="1059" w:type="dxa"/>
            <w:tcBorders>
              <w:top w:val="single" w:color="000000" w:sz="4" w:space="0"/>
              <w:left w:val="single" w:color="000000" w:sz="4" w:space="0"/>
              <w:bottom w:val="single" w:color="000000" w:sz="4" w:space="0"/>
              <w:right w:val="single" w:color="000000" w:sz="4" w:space="0"/>
            </w:tcBorders>
            <w:noWrap/>
            <w:vAlign w:val="center"/>
          </w:tcPr>
          <w:p w14:paraId="61659CC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单价（元）</w:t>
            </w:r>
          </w:p>
        </w:tc>
        <w:tc>
          <w:tcPr>
            <w:tcW w:w="1065" w:type="dxa"/>
            <w:tcBorders>
              <w:top w:val="single" w:color="000000" w:sz="4" w:space="0"/>
              <w:left w:val="single" w:color="000000" w:sz="4" w:space="0"/>
              <w:bottom w:val="single" w:color="000000" w:sz="4" w:space="0"/>
              <w:right w:val="single" w:color="000000" w:sz="4" w:space="0"/>
            </w:tcBorders>
            <w:noWrap/>
            <w:vAlign w:val="center"/>
          </w:tcPr>
          <w:p w14:paraId="6D3E160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金额（元）</w:t>
            </w:r>
          </w:p>
        </w:tc>
      </w:tr>
      <w:tr w14:paraId="20DB1609">
        <w:tblPrEx>
          <w:tblCellMar>
            <w:top w:w="0" w:type="dxa"/>
            <w:left w:w="108" w:type="dxa"/>
            <w:bottom w:w="0" w:type="dxa"/>
            <w:right w:w="108" w:type="dxa"/>
          </w:tblCellMar>
        </w:tblPrEx>
        <w:trPr>
          <w:trHeight w:val="529" w:hRule="atLeast"/>
          <w:jc w:val="center"/>
        </w:trPr>
        <w:tc>
          <w:tcPr>
            <w:tcW w:w="10280" w:type="dxa"/>
            <w:gridSpan w:val="7"/>
            <w:tcBorders>
              <w:top w:val="single" w:color="000000" w:sz="4" w:space="0"/>
              <w:left w:val="single" w:color="000000" w:sz="4" w:space="0"/>
              <w:bottom w:val="single" w:color="000000" w:sz="4" w:space="0"/>
              <w:right w:val="single" w:color="000000" w:sz="4" w:space="0"/>
            </w:tcBorders>
            <w:noWrap/>
            <w:vAlign w:val="center"/>
          </w:tcPr>
          <w:p w14:paraId="17D2E16C">
            <w:pPr>
              <w:keepNext w:val="0"/>
              <w:keepLines w:val="0"/>
              <w:widowControl/>
              <w:suppressLineNumbers w:val="0"/>
              <w:tabs>
                <w:tab w:val="left" w:pos="431"/>
              </w:tabs>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sz w:val="24"/>
                <w:szCs w:val="24"/>
                <w:lang w:val="en-US" w:eastAsia="zh-CN"/>
              </w:rPr>
              <w:t>维护保养</w:t>
            </w:r>
          </w:p>
        </w:tc>
      </w:tr>
      <w:tr w14:paraId="61D049CF">
        <w:tblPrEx>
          <w:tblCellMar>
            <w:top w:w="0" w:type="dxa"/>
            <w:left w:w="108" w:type="dxa"/>
            <w:bottom w:w="0" w:type="dxa"/>
            <w:right w:w="108" w:type="dxa"/>
          </w:tblCellMar>
        </w:tblPrEx>
        <w:trPr>
          <w:trHeight w:val="2720" w:hRule="atLeast"/>
          <w:jc w:val="center"/>
        </w:trPr>
        <w:tc>
          <w:tcPr>
            <w:tcW w:w="713" w:type="dxa"/>
            <w:tcBorders>
              <w:top w:val="single" w:color="000000" w:sz="4" w:space="0"/>
              <w:left w:val="single" w:color="000000" w:sz="4" w:space="0"/>
              <w:bottom w:val="single" w:color="000000" w:sz="4" w:space="0"/>
              <w:right w:val="single" w:color="000000" w:sz="4" w:space="0"/>
            </w:tcBorders>
            <w:noWrap/>
            <w:vAlign w:val="center"/>
          </w:tcPr>
          <w:p w14:paraId="244B4B76">
            <w:pPr>
              <w:keepNext w:val="0"/>
              <w:keepLines w:val="0"/>
              <w:pageBreakBefore w:val="0"/>
              <w:widowControl/>
              <w:numPr>
                <w:ilvl w:val="0"/>
                <w:numId w:val="7"/>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2410" w:type="dxa"/>
            <w:tcBorders>
              <w:top w:val="single" w:color="000000" w:sz="4" w:space="0"/>
              <w:left w:val="single" w:color="000000" w:sz="4" w:space="0"/>
              <w:bottom w:val="single" w:color="000000" w:sz="4" w:space="0"/>
              <w:right w:val="single" w:color="000000" w:sz="4" w:space="0"/>
            </w:tcBorders>
            <w:noWrap w:val="0"/>
            <w:vAlign w:val="center"/>
          </w:tcPr>
          <w:p w14:paraId="3ECBBDCF">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雾化器保养</w:t>
            </w:r>
          </w:p>
        </w:tc>
        <w:tc>
          <w:tcPr>
            <w:tcW w:w="3350" w:type="dxa"/>
            <w:tcBorders>
              <w:top w:val="single" w:color="000000" w:sz="4" w:space="0"/>
              <w:left w:val="single" w:color="000000" w:sz="4" w:space="0"/>
              <w:bottom w:val="single" w:color="000000" w:sz="4" w:space="0"/>
              <w:right w:val="single" w:color="000000" w:sz="4" w:space="0"/>
            </w:tcBorders>
            <w:noWrap w:val="0"/>
            <w:vAlign w:val="center"/>
          </w:tcPr>
          <w:p w14:paraId="0DA454A1">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1.每台保养雾化器O 型圈,油封,油垫纸,滤芯,反冲垫,导向轴承及NU209、6308C3 、6305M.C3、NU308、6209-C、6006MA.C3各一只、NU306二只轴承，滤芯及导向轴承更换全由维护方提供。</w:t>
            </w:r>
          </w:p>
          <w:p w14:paraId="654C5E37">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2.整机拆装清洗检查评估由维护方提供。</w:t>
            </w:r>
          </w:p>
        </w:tc>
        <w:tc>
          <w:tcPr>
            <w:tcW w:w="866" w:type="dxa"/>
            <w:tcBorders>
              <w:top w:val="single" w:color="000000" w:sz="4" w:space="0"/>
              <w:left w:val="single" w:color="000000" w:sz="4" w:space="0"/>
              <w:bottom w:val="single" w:color="000000" w:sz="4" w:space="0"/>
              <w:right w:val="single" w:color="000000" w:sz="4" w:space="0"/>
            </w:tcBorders>
            <w:noWrap w:val="0"/>
            <w:vAlign w:val="center"/>
          </w:tcPr>
          <w:p w14:paraId="1A21B7E0">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5</w:t>
            </w:r>
          </w:p>
        </w:tc>
        <w:tc>
          <w:tcPr>
            <w:tcW w:w="817" w:type="dxa"/>
            <w:tcBorders>
              <w:top w:val="single" w:color="000000" w:sz="4" w:space="0"/>
              <w:left w:val="single" w:color="000000" w:sz="4" w:space="0"/>
              <w:bottom w:val="single" w:color="000000" w:sz="4" w:space="0"/>
              <w:right w:val="single" w:color="000000" w:sz="4" w:space="0"/>
            </w:tcBorders>
            <w:noWrap w:val="0"/>
            <w:vAlign w:val="center"/>
          </w:tcPr>
          <w:p w14:paraId="4F0B431F">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台</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14:paraId="6806694F">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noWrap w:val="0"/>
            <w:vAlign w:val="center"/>
          </w:tcPr>
          <w:p w14:paraId="0E033B73">
            <w:pPr>
              <w:keepNext w:val="0"/>
              <w:keepLines w:val="0"/>
              <w:widowControl/>
              <w:suppressLineNumbers w:val="0"/>
              <w:tabs>
                <w:tab w:val="left" w:pos="431"/>
              </w:tabs>
              <w:jc w:val="left"/>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010D451F">
        <w:tblPrEx>
          <w:tblCellMar>
            <w:top w:w="0" w:type="dxa"/>
            <w:left w:w="108" w:type="dxa"/>
            <w:bottom w:w="0" w:type="dxa"/>
            <w:right w:w="108" w:type="dxa"/>
          </w:tblCellMar>
        </w:tblPrEx>
        <w:trPr>
          <w:trHeight w:val="529" w:hRule="atLeast"/>
          <w:jc w:val="center"/>
        </w:trPr>
        <w:tc>
          <w:tcPr>
            <w:tcW w:w="10280" w:type="dxa"/>
            <w:gridSpan w:val="7"/>
            <w:tcBorders>
              <w:top w:val="single" w:color="000000" w:sz="4" w:space="0"/>
              <w:left w:val="single" w:color="000000" w:sz="4" w:space="0"/>
              <w:bottom w:val="single" w:color="000000" w:sz="4" w:space="0"/>
              <w:right w:val="single" w:color="000000" w:sz="4" w:space="0"/>
            </w:tcBorders>
            <w:noWrap/>
            <w:vAlign w:val="center"/>
          </w:tcPr>
          <w:p w14:paraId="10D6189A">
            <w:pPr>
              <w:keepNext w:val="0"/>
              <w:keepLines w:val="0"/>
              <w:widowControl/>
              <w:suppressLineNumbers w:val="0"/>
              <w:tabs>
                <w:tab w:val="left" w:pos="431"/>
              </w:tabs>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sz w:val="24"/>
                <w:szCs w:val="24"/>
                <w:lang w:val="en-US" w:eastAsia="zh-CN"/>
              </w:rPr>
              <w:t>配件供货</w:t>
            </w:r>
          </w:p>
        </w:tc>
      </w:tr>
      <w:tr w14:paraId="07005702">
        <w:tblPrEx>
          <w:tblCellMar>
            <w:top w:w="0" w:type="dxa"/>
            <w:left w:w="108" w:type="dxa"/>
            <w:bottom w:w="0" w:type="dxa"/>
            <w:right w:w="108" w:type="dxa"/>
          </w:tblCellMar>
        </w:tblPrEx>
        <w:trPr>
          <w:trHeight w:val="529" w:hRule="atLeast"/>
          <w:jc w:val="center"/>
        </w:trPr>
        <w:tc>
          <w:tcPr>
            <w:tcW w:w="713" w:type="dxa"/>
            <w:tcBorders>
              <w:top w:val="single" w:color="000000" w:sz="4" w:space="0"/>
              <w:left w:val="single" w:color="000000" w:sz="4" w:space="0"/>
              <w:bottom w:val="single" w:color="000000" w:sz="4" w:space="0"/>
              <w:right w:val="single" w:color="000000" w:sz="4" w:space="0"/>
            </w:tcBorders>
            <w:noWrap/>
            <w:vAlign w:val="center"/>
          </w:tcPr>
          <w:p w14:paraId="79B8E626">
            <w:pPr>
              <w:keepNext w:val="0"/>
              <w:keepLines w:val="0"/>
              <w:pageBreakBefore w:val="0"/>
              <w:widowControl/>
              <w:numPr>
                <w:ilvl w:val="0"/>
                <w:numId w:val="7"/>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2410" w:type="dxa"/>
            <w:tcBorders>
              <w:top w:val="single" w:color="000000" w:sz="4" w:space="0"/>
              <w:left w:val="single" w:color="000000" w:sz="4" w:space="0"/>
              <w:bottom w:val="single" w:color="000000" w:sz="4" w:space="0"/>
              <w:right w:val="single" w:color="000000" w:sz="4" w:space="0"/>
            </w:tcBorders>
            <w:noWrap w:val="0"/>
            <w:vAlign w:val="center"/>
          </w:tcPr>
          <w:p w14:paraId="20FF62DF">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sz w:val="24"/>
                <w:szCs w:val="24"/>
                <w:lang w:val="en-US" w:eastAsia="zh-CN"/>
              </w:rPr>
              <w:t>雾化器分流盘</w:t>
            </w:r>
          </w:p>
        </w:tc>
        <w:tc>
          <w:tcPr>
            <w:tcW w:w="3350" w:type="dxa"/>
            <w:tcBorders>
              <w:top w:val="single" w:color="000000" w:sz="4" w:space="0"/>
              <w:left w:val="single" w:color="000000" w:sz="4" w:space="0"/>
              <w:bottom w:val="single" w:color="000000" w:sz="4" w:space="0"/>
              <w:right w:val="single" w:color="000000" w:sz="4" w:space="0"/>
            </w:tcBorders>
            <w:noWrap w:val="0"/>
            <w:vAlign w:val="center"/>
          </w:tcPr>
          <w:p w14:paraId="7B705BF9">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sz w:val="24"/>
                <w:szCs w:val="24"/>
                <w:lang w:val="en-US" w:eastAsia="zh-CN"/>
              </w:rPr>
              <w:t>F100雾化器专用，材质：哈氏合金</w:t>
            </w:r>
          </w:p>
        </w:tc>
        <w:tc>
          <w:tcPr>
            <w:tcW w:w="866" w:type="dxa"/>
            <w:tcBorders>
              <w:top w:val="single" w:color="000000" w:sz="4" w:space="0"/>
              <w:left w:val="single" w:color="000000" w:sz="4" w:space="0"/>
              <w:bottom w:val="single" w:color="000000" w:sz="4" w:space="0"/>
              <w:right w:val="single" w:color="000000" w:sz="4" w:space="0"/>
            </w:tcBorders>
            <w:noWrap w:val="0"/>
            <w:vAlign w:val="center"/>
          </w:tcPr>
          <w:p w14:paraId="3B08AF4C">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strike w:val="0"/>
                <w:dstrike w:val="0"/>
                <w:color w:val="000000"/>
                <w:sz w:val="24"/>
                <w:szCs w:val="24"/>
                <w:highlight w:val="none"/>
                <w:u w:val="none"/>
                <w:lang w:val="en-US" w:eastAsia="zh-CN"/>
              </w:rPr>
            </w:pPr>
            <w:r>
              <w:rPr>
                <w:rFonts w:hint="eastAsia" w:ascii="仿宋" w:hAnsi="仿宋" w:eastAsia="仿宋" w:cs="仿宋"/>
                <w:sz w:val="24"/>
                <w:szCs w:val="24"/>
                <w:lang w:val="en-US" w:eastAsia="zh-CN"/>
              </w:rPr>
              <w:t>3</w:t>
            </w:r>
          </w:p>
        </w:tc>
        <w:tc>
          <w:tcPr>
            <w:tcW w:w="817" w:type="dxa"/>
            <w:tcBorders>
              <w:top w:val="single" w:color="000000" w:sz="4" w:space="0"/>
              <w:left w:val="single" w:color="000000" w:sz="4" w:space="0"/>
              <w:bottom w:val="single" w:color="000000" w:sz="4" w:space="0"/>
              <w:right w:val="single" w:color="000000" w:sz="4" w:space="0"/>
            </w:tcBorders>
            <w:noWrap w:val="0"/>
            <w:vAlign w:val="center"/>
          </w:tcPr>
          <w:p w14:paraId="20672B1A">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strike w:val="0"/>
                <w:dstrike w:val="0"/>
                <w:color w:val="000000"/>
                <w:sz w:val="24"/>
                <w:szCs w:val="24"/>
                <w:highlight w:val="none"/>
                <w:u w:val="none"/>
                <w:lang w:val="en-US" w:eastAsia="zh-CN"/>
              </w:rPr>
            </w:pPr>
            <w:r>
              <w:rPr>
                <w:rFonts w:hint="eastAsia" w:ascii="仿宋" w:hAnsi="仿宋" w:eastAsia="仿宋" w:cs="仿宋"/>
                <w:sz w:val="24"/>
                <w:szCs w:val="24"/>
                <w:lang w:val="en-US" w:eastAsia="zh-CN"/>
              </w:rPr>
              <w:t>个</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14:paraId="07AD3F9F">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noWrap w:val="0"/>
            <w:vAlign w:val="center"/>
          </w:tcPr>
          <w:p w14:paraId="18A40DB5">
            <w:pPr>
              <w:keepNext w:val="0"/>
              <w:keepLines w:val="0"/>
              <w:widowControl/>
              <w:suppressLineNumbers w:val="0"/>
              <w:tabs>
                <w:tab w:val="left" w:pos="431"/>
              </w:tabs>
              <w:jc w:val="left"/>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6F926E65">
        <w:tblPrEx>
          <w:tblCellMar>
            <w:top w:w="0" w:type="dxa"/>
            <w:left w:w="108" w:type="dxa"/>
            <w:bottom w:w="0" w:type="dxa"/>
            <w:right w:w="108" w:type="dxa"/>
          </w:tblCellMar>
        </w:tblPrEx>
        <w:trPr>
          <w:trHeight w:val="529" w:hRule="atLeast"/>
          <w:jc w:val="center"/>
        </w:trPr>
        <w:tc>
          <w:tcPr>
            <w:tcW w:w="713" w:type="dxa"/>
            <w:tcBorders>
              <w:top w:val="single" w:color="000000" w:sz="4" w:space="0"/>
              <w:left w:val="single" w:color="000000" w:sz="4" w:space="0"/>
              <w:bottom w:val="single" w:color="000000" w:sz="4" w:space="0"/>
              <w:right w:val="single" w:color="000000" w:sz="4" w:space="0"/>
            </w:tcBorders>
            <w:noWrap/>
            <w:vAlign w:val="center"/>
          </w:tcPr>
          <w:p w14:paraId="7D2CC0B8">
            <w:pPr>
              <w:keepNext w:val="0"/>
              <w:keepLines w:val="0"/>
              <w:pageBreakBefore w:val="0"/>
              <w:widowControl/>
              <w:numPr>
                <w:ilvl w:val="0"/>
                <w:numId w:val="7"/>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2410" w:type="dxa"/>
            <w:tcBorders>
              <w:top w:val="single" w:color="000000" w:sz="4" w:space="0"/>
              <w:left w:val="single" w:color="000000" w:sz="4" w:space="0"/>
              <w:bottom w:val="single" w:color="000000" w:sz="4" w:space="0"/>
              <w:right w:val="single" w:color="000000" w:sz="4" w:space="0"/>
            </w:tcBorders>
            <w:noWrap w:val="0"/>
            <w:vAlign w:val="center"/>
          </w:tcPr>
          <w:p w14:paraId="5CF4D8A1">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sz w:val="24"/>
                <w:szCs w:val="24"/>
                <w:lang w:val="en-US" w:eastAsia="zh-CN"/>
              </w:rPr>
              <w:t>雾化器导流盘</w:t>
            </w:r>
          </w:p>
        </w:tc>
        <w:tc>
          <w:tcPr>
            <w:tcW w:w="3350" w:type="dxa"/>
            <w:tcBorders>
              <w:top w:val="single" w:color="000000" w:sz="4" w:space="0"/>
              <w:left w:val="single" w:color="000000" w:sz="4" w:space="0"/>
              <w:bottom w:val="single" w:color="000000" w:sz="4" w:space="0"/>
              <w:right w:val="single" w:color="000000" w:sz="4" w:space="0"/>
            </w:tcBorders>
            <w:noWrap w:val="0"/>
            <w:vAlign w:val="center"/>
          </w:tcPr>
          <w:p w14:paraId="122EE3EB">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sz w:val="24"/>
                <w:szCs w:val="24"/>
                <w:lang w:val="en-US" w:eastAsia="zh-CN"/>
              </w:rPr>
              <w:t>F100雾化器专用，材质：哈氏合金</w:t>
            </w:r>
          </w:p>
        </w:tc>
        <w:tc>
          <w:tcPr>
            <w:tcW w:w="866" w:type="dxa"/>
            <w:tcBorders>
              <w:top w:val="single" w:color="000000" w:sz="4" w:space="0"/>
              <w:left w:val="single" w:color="000000" w:sz="4" w:space="0"/>
              <w:bottom w:val="single" w:color="000000" w:sz="4" w:space="0"/>
              <w:right w:val="single" w:color="000000" w:sz="4" w:space="0"/>
            </w:tcBorders>
            <w:noWrap w:val="0"/>
            <w:vAlign w:val="center"/>
          </w:tcPr>
          <w:p w14:paraId="1B74ED20">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sz w:val="24"/>
                <w:szCs w:val="24"/>
                <w:lang w:val="en-US" w:eastAsia="zh-CN"/>
              </w:rPr>
              <w:t>4</w:t>
            </w:r>
          </w:p>
        </w:tc>
        <w:tc>
          <w:tcPr>
            <w:tcW w:w="817" w:type="dxa"/>
            <w:tcBorders>
              <w:top w:val="single" w:color="000000" w:sz="4" w:space="0"/>
              <w:left w:val="single" w:color="000000" w:sz="4" w:space="0"/>
              <w:bottom w:val="single" w:color="000000" w:sz="4" w:space="0"/>
              <w:right w:val="single" w:color="000000" w:sz="4" w:space="0"/>
            </w:tcBorders>
            <w:noWrap w:val="0"/>
            <w:vAlign w:val="center"/>
          </w:tcPr>
          <w:p w14:paraId="3B17F2A2">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sz w:val="24"/>
                <w:szCs w:val="24"/>
                <w:lang w:val="en-US" w:eastAsia="zh-CN"/>
              </w:rPr>
              <w:t>个</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14:paraId="4EC1458E">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noWrap w:val="0"/>
            <w:vAlign w:val="center"/>
          </w:tcPr>
          <w:p w14:paraId="3EC351CA">
            <w:pPr>
              <w:keepNext w:val="0"/>
              <w:keepLines w:val="0"/>
              <w:widowControl/>
              <w:suppressLineNumbers w:val="0"/>
              <w:tabs>
                <w:tab w:val="left" w:pos="350"/>
              </w:tabs>
              <w:jc w:val="left"/>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32F25902">
        <w:tblPrEx>
          <w:tblCellMar>
            <w:top w:w="0" w:type="dxa"/>
            <w:left w:w="108" w:type="dxa"/>
            <w:bottom w:w="0" w:type="dxa"/>
            <w:right w:w="108" w:type="dxa"/>
          </w:tblCellMar>
        </w:tblPrEx>
        <w:trPr>
          <w:trHeight w:val="529" w:hRule="atLeast"/>
          <w:jc w:val="center"/>
        </w:trPr>
        <w:tc>
          <w:tcPr>
            <w:tcW w:w="713" w:type="dxa"/>
            <w:tcBorders>
              <w:top w:val="single" w:color="000000" w:sz="4" w:space="0"/>
              <w:left w:val="single" w:color="000000" w:sz="4" w:space="0"/>
              <w:bottom w:val="single" w:color="000000" w:sz="4" w:space="0"/>
              <w:right w:val="single" w:color="000000" w:sz="4" w:space="0"/>
            </w:tcBorders>
            <w:noWrap/>
            <w:vAlign w:val="center"/>
          </w:tcPr>
          <w:p w14:paraId="5D4AFAB7">
            <w:pPr>
              <w:keepNext w:val="0"/>
              <w:keepLines w:val="0"/>
              <w:pageBreakBefore w:val="0"/>
              <w:widowControl/>
              <w:numPr>
                <w:ilvl w:val="0"/>
                <w:numId w:val="7"/>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2410" w:type="dxa"/>
            <w:tcBorders>
              <w:top w:val="single" w:color="000000" w:sz="4" w:space="0"/>
              <w:left w:val="single" w:color="000000" w:sz="4" w:space="0"/>
              <w:bottom w:val="single" w:color="000000" w:sz="4" w:space="0"/>
              <w:right w:val="single" w:color="000000" w:sz="4" w:space="0"/>
            </w:tcBorders>
            <w:noWrap w:val="0"/>
            <w:vAlign w:val="center"/>
          </w:tcPr>
          <w:p w14:paraId="66482C7E">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sz w:val="24"/>
                <w:szCs w:val="24"/>
                <w:lang w:val="en-US" w:eastAsia="zh-CN"/>
              </w:rPr>
              <w:t>雾化器分配器内衬</w:t>
            </w:r>
          </w:p>
        </w:tc>
        <w:tc>
          <w:tcPr>
            <w:tcW w:w="3350" w:type="dxa"/>
            <w:tcBorders>
              <w:top w:val="single" w:color="000000" w:sz="4" w:space="0"/>
              <w:left w:val="single" w:color="000000" w:sz="4" w:space="0"/>
              <w:bottom w:val="single" w:color="000000" w:sz="4" w:space="0"/>
              <w:right w:val="single" w:color="000000" w:sz="4" w:space="0"/>
            </w:tcBorders>
            <w:noWrap w:val="0"/>
            <w:vAlign w:val="center"/>
          </w:tcPr>
          <w:p w14:paraId="1169B1E7">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sz w:val="24"/>
                <w:szCs w:val="24"/>
                <w:lang w:val="en-US" w:eastAsia="zh-CN"/>
              </w:rPr>
              <w:t>F100雾化器专用，材质：哈氏合金</w:t>
            </w:r>
          </w:p>
        </w:tc>
        <w:tc>
          <w:tcPr>
            <w:tcW w:w="866" w:type="dxa"/>
            <w:tcBorders>
              <w:top w:val="single" w:color="000000" w:sz="4" w:space="0"/>
              <w:left w:val="single" w:color="000000" w:sz="4" w:space="0"/>
              <w:bottom w:val="single" w:color="000000" w:sz="4" w:space="0"/>
              <w:right w:val="single" w:color="000000" w:sz="4" w:space="0"/>
            </w:tcBorders>
            <w:noWrap w:val="0"/>
            <w:vAlign w:val="center"/>
          </w:tcPr>
          <w:p w14:paraId="6FACD722">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sz w:val="24"/>
                <w:szCs w:val="24"/>
                <w:lang w:val="en-US" w:eastAsia="zh-CN"/>
              </w:rPr>
              <w:t>3</w:t>
            </w:r>
          </w:p>
        </w:tc>
        <w:tc>
          <w:tcPr>
            <w:tcW w:w="817" w:type="dxa"/>
            <w:tcBorders>
              <w:top w:val="single" w:color="000000" w:sz="4" w:space="0"/>
              <w:left w:val="single" w:color="000000" w:sz="4" w:space="0"/>
              <w:bottom w:val="single" w:color="000000" w:sz="4" w:space="0"/>
              <w:right w:val="single" w:color="000000" w:sz="4" w:space="0"/>
            </w:tcBorders>
            <w:noWrap w:val="0"/>
            <w:vAlign w:val="center"/>
          </w:tcPr>
          <w:p w14:paraId="78187546">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sz w:val="24"/>
                <w:szCs w:val="24"/>
                <w:lang w:val="en-US" w:eastAsia="zh-CN"/>
              </w:rPr>
              <w:t>个</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14:paraId="59D14112">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noWrap w:val="0"/>
            <w:vAlign w:val="center"/>
          </w:tcPr>
          <w:p w14:paraId="4C518B8C">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41E5BE47">
        <w:tblPrEx>
          <w:tblCellMar>
            <w:top w:w="0" w:type="dxa"/>
            <w:left w:w="108" w:type="dxa"/>
            <w:bottom w:w="0" w:type="dxa"/>
            <w:right w:w="108" w:type="dxa"/>
          </w:tblCellMar>
        </w:tblPrEx>
        <w:trPr>
          <w:trHeight w:val="529" w:hRule="atLeast"/>
          <w:jc w:val="center"/>
        </w:trPr>
        <w:tc>
          <w:tcPr>
            <w:tcW w:w="713" w:type="dxa"/>
            <w:tcBorders>
              <w:top w:val="single" w:color="000000" w:sz="4" w:space="0"/>
              <w:left w:val="single" w:color="000000" w:sz="4" w:space="0"/>
              <w:bottom w:val="single" w:color="000000" w:sz="4" w:space="0"/>
              <w:right w:val="single" w:color="000000" w:sz="4" w:space="0"/>
            </w:tcBorders>
            <w:noWrap/>
            <w:vAlign w:val="center"/>
          </w:tcPr>
          <w:p w14:paraId="1574AD44">
            <w:pPr>
              <w:keepNext w:val="0"/>
              <w:keepLines w:val="0"/>
              <w:pageBreakBefore w:val="0"/>
              <w:widowControl/>
              <w:numPr>
                <w:ilvl w:val="0"/>
                <w:numId w:val="7"/>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2410" w:type="dxa"/>
            <w:tcBorders>
              <w:top w:val="single" w:color="000000" w:sz="4" w:space="0"/>
              <w:left w:val="single" w:color="000000" w:sz="4" w:space="0"/>
              <w:bottom w:val="single" w:color="000000" w:sz="4" w:space="0"/>
              <w:right w:val="single" w:color="000000" w:sz="4" w:space="0"/>
            </w:tcBorders>
            <w:noWrap w:val="0"/>
            <w:vAlign w:val="center"/>
          </w:tcPr>
          <w:p w14:paraId="129C2DF1">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sz w:val="24"/>
                <w:szCs w:val="24"/>
                <w:lang w:val="en-US" w:eastAsia="zh-CN"/>
              </w:rPr>
              <w:t>雾化器分配器</w:t>
            </w:r>
          </w:p>
        </w:tc>
        <w:tc>
          <w:tcPr>
            <w:tcW w:w="3350" w:type="dxa"/>
            <w:tcBorders>
              <w:top w:val="single" w:color="000000" w:sz="4" w:space="0"/>
              <w:left w:val="single" w:color="000000" w:sz="4" w:space="0"/>
              <w:bottom w:val="single" w:color="000000" w:sz="4" w:space="0"/>
              <w:right w:val="single" w:color="000000" w:sz="4" w:space="0"/>
            </w:tcBorders>
            <w:noWrap w:val="0"/>
            <w:vAlign w:val="center"/>
          </w:tcPr>
          <w:p w14:paraId="55AB1330">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sz w:val="24"/>
                <w:szCs w:val="24"/>
                <w:lang w:val="en-US" w:eastAsia="zh-CN"/>
              </w:rPr>
              <w:t>F100雾化器专用，材质：哈氏合金</w:t>
            </w:r>
          </w:p>
        </w:tc>
        <w:tc>
          <w:tcPr>
            <w:tcW w:w="866" w:type="dxa"/>
            <w:tcBorders>
              <w:top w:val="single" w:color="000000" w:sz="4" w:space="0"/>
              <w:left w:val="single" w:color="000000" w:sz="4" w:space="0"/>
              <w:bottom w:val="single" w:color="000000" w:sz="4" w:space="0"/>
              <w:right w:val="single" w:color="000000" w:sz="4" w:space="0"/>
            </w:tcBorders>
            <w:noWrap w:val="0"/>
            <w:vAlign w:val="center"/>
          </w:tcPr>
          <w:p w14:paraId="0EEC6418">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sz w:val="24"/>
                <w:szCs w:val="24"/>
                <w:lang w:val="en-US" w:eastAsia="zh-CN"/>
              </w:rPr>
              <w:t>4</w:t>
            </w:r>
          </w:p>
        </w:tc>
        <w:tc>
          <w:tcPr>
            <w:tcW w:w="817" w:type="dxa"/>
            <w:tcBorders>
              <w:top w:val="single" w:color="000000" w:sz="4" w:space="0"/>
              <w:left w:val="single" w:color="000000" w:sz="4" w:space="0"/>
              <w:bottom w:val="single" w:color="000000" w:sz="4" w:space="0"/>
              <w:right w:val="single" w:color="000000" w:sz="4" w:space="0"/>
            </w:tcBorders>
            <w:noWrap w:val="0"/>
            <w:vAlign w:val="center"/>
          </w:tcPr>
          <w:p w14:paraId="6CACAF86">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sz w:val="24"/>
                <w:szCs w:val="24"/>
                <w:lang w:val="en-US" w:eastAsia="zh-CN"/>
              </w:rPr>
              <w:t>个</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14:paraId="27A88340">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noWrap w:val="0"/>
            <w:vAlign w:val="center"/>
          </w:tcPr>
          <w:p w14:paraId="0D120669">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4AC45B3B">
        <w:tblPrEx>
          <w:tblCellMar>
            <w:top w:w="0" w:type="dxa"/>
            <w:left w:w="108" w:type="dxa"/>
            <w:bottom w:w="0" w:type="dxa"/>
            <w:right w:w="108" w:type="dxa"/>
          </w:tblCellMar>
        </w:tblPrEx>
        <w:trPr>
          <w:trHeight w:val="529" w:hRule="atLeast"/>
          <w:jc w:val="center"/>
        </w:trPr>
        <w:tc>
          <w:tcPr>
            <w:tcW w:w="713" w:type="dxa"/>
            <w:tcBorders>
              <w:top w:val="single" w:color="000000" w:sz="4" w:space="0"/>
              <w:left w:val="single" w:color="000000" w:sz="4" w:space="0"/>
              <w:bottom w:val="single" w:color="000000" w:sz="4" w:space="0"/>
              <w:right w:val="single" w:color="000000" w:sz="4" w:space="0"/>
            </w:tcBorders>
            <w:noWrap/>
            <w:vAlign w:val="center"/>
          </w:tcPr>
          <w:p w14:paraId="4ADA0B23">
            <w:pPr>
              <w:keepNext w:val="0"/>
              <w:keepLines w:val="0"/>
              <w:pageBreakBefore w:val="0"/>
              <w:widowControl/>
              <w:numPr>
                <w:ilvl w:val="0"/>
                <w:numId w:val="7"/>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2410" w:type="dxa"/>
            <w:tcBorders>
              <w:top w:val="single" w:color="000000" w:sz="4" w:space="0"/>
              <w:left w:val="single" w:color="000000" w:sz="4" w:space="0"/>
              <w:bottom w:val="single" w:color="000000" w:sz="4" w:space="0"/>
              <w:right w:val="single" w:color="000000" w:sz="4" w:space="0"/>
            </w:tcBorders>
            <w:noWrap w:val="0"/>
            <w:vAlign w:val="center"/>
          </w:tcPr>
          <w:p w14:paraId="06835E6E">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sz w:val="24"/>
                <w:szCs w:val="24"/>
                <w:lang w:val="en-US" w:eastAsia="zh-CN"/>
              </w:rPr>
              <w:t>雾化器隔板</w:t>
            </w:r>
          </w:p>
        </w:tc>
        <w:tc>
          <w:tcPr>
            <w:tcW w:w="3350" w:type="dxa"/>
            <w:tcBorders>
              <w:top w:val="single" w:color="000000" w:sz="4" w:space="0"/>
              <w:left w:val="single" w:color="000000" w:sz="4" w:space="0"/>
              <w:bottom w:val="single" w:color="000000" w:sz="4" w:space="0"/>
              <w:right w:val="single" w:color="000000" w:sz="4" w:space="0"/>
            </w:tcBorders>
            <w:noWrap w:val="0"/>
            <w:vAlign w:val="center"/>
          </w:tcPr>
          <w:p w14:paraId="4E948ECD">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sz w:val="24"/>
                <w:szCs w:val="24"/>
                <w:lang w:val="en-US" w:eastAsia="zh-CN"/>
              </w:rPr>
              <w:t>F100雾化器专用，材质：哈氏合金</w:t>
            </w:r>
          </w:p>
        </w:tc>
        <w:tc>
          <w:tcPr>
            <w:tcW w:w="866" w:type="dxa"/>
            <w:tcBorders>
              <w:top w:val="single" w:color="000000" w:sz="4" w:space="0"/>
              <w:left w:val="single" w:color="000000" w:sz="4" w:space="0"/>
              <w:bottom w:val="single" w:color="000000" w:sz="4" w:space="0"/>
              <w:right w:val="single" w:color="000000" w:sz="4" w:space="0"/>
            </w:tcBorders>
            <w:noWrap w:val="0"/>
            <w:vAlign w:val="center"/>
          </w:tcPr>
          <w:p w14:paraId="0E6D17AC">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sz w:val="24"/>
                <w:szCs w:val="24"/>
                <w:lang w:val="en-US" w:eastAsia="zh-CN"/>
              </w:rPr>
              <w:t>4</w:t>
            </w:r>
          </w:p>
        </w:tc>
        <w:tc>
          <w:tcPr>
            <w:tcW w:w="817" w:type="dxa"/>
            <w:tcBorders>
              <w:top w:val="single" w:color="000000" w:sz="4" w:space="0"/>
              <w:left w:val="single" w:color="000000" w:sz="4" w:space="0"/>
              <w:bottom w:val="single" w:color="000000" w:sz="4" w:space="0"/>
              <w:right w:val="single" w:color="000000" w:sz="4" w:space="0"/>
            </w:tcBorders>
            <w:noWrap w:val="0"/>
            <w:vAlign w:val="center"/>
          </w:tcPr>
          <w:p w14:paraId="4C2560AE">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sz w:val="24"/>
                <w:szCs w:val="24"/>
                <w:lang w:val="en-US" w:eastAsia="zh-CN"/>
              </w:rPr>
              <w:t>个</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14:paraId="2074E544">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noWrap w:val="0"/>
            <w:vAlign w:val="center"/>
          </w:tcPr>
          <w:p w14:paraId="7EE30439">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0C4CB8AE">
        <w:tblPrEx>
          <w:tblCellMar>
            <w:top w:w="0" w:type="dxa"/>
            <w:left w:w="108" w:type="dxa"/>
            <w:bottom w:w="0" w:type="dxa"/>
            <w:right w:w="108" w:type="dxa"/>
          </w:tblCellMar>
        </w:tblPrEx>
        <w:trPr>
          <w:trHeight w:val="529" w:hRule="atLeast"/>
          <w:jc w:val="center"/>
        </w:trPr>
        <w:tc>
          <w:tcPr>
            <w:tcW w:w="713" w:type="dxa"/>
            <w:tcBorders>
              <w:top w:val="single" w:color="000000" w:sz="4" w:space="0"/>
              <w:left w:val="single" w:color="000000" w:sz="4" w:space="0"/>
              <w:bottom w:val="single" w:color="000000" w:sz="4" w:space="0"/>
              <w:right w:val="single" w:color="000000" w:sz="4" w:space="0"/>
            </w:tcBorders>
            <w:noWrap/>
            <w:vAlign w:val="center"/>
          </w:tcPr>
          <w:p w14:paraId="27977E83">
            <w:pPr>
              <w:keepNext w:val="0"/>
              <w:keepLines w:val="0"/>
              <w:pageBreakBefore w:val="0"/>
              <w:widowControl/>
              <w:numPr>
                <w:ilvl w:val="0"/>
                <w:numId w:val="7"/>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2410" w:type="dxa"/>
            <w:tcBorders>
              <w:top w:val="single" w:color="000000" w:sz="4" w:space="0"/>
              <w:left w:val="single" w:color="000000" w:sz="4" w:space="0"/>
              <w:bottom w:val="single" w:color="000000" w:sz="4" w:space="0"/>
              <w:right w:val="single" w:color="000000" w:sz="4" w:space="0"/>
            </w:tcBorders>
            <w:noWrap w:val="0"/>
            <w:vAlign w:val="center"/>
          </w:tcPr>
          <w:p w14:paraId="13FBBE47">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sz w:val="24"/>
                <w:szCs w:val="24"/>
                <w:lang w:val="en-US" w:eastAsia="zh-CN"/>
              </w:rPr>
              <w:t>雾化器分配盘螺栓</w:t>
            </w:r>
          </w:p>
        </w:tc>
        <w:tc>
          <w:tcPr>
            <w:tcW w:w="3350" w:type="dxa"/>
            <w:tcBorders>
              <w:top w:val="single" w:color="000000" w:sz="4" w:space="0"/>
              <w:left w:val="single" w:color="000000" w:sz="4" w:space="0"/>
              <w:bottom w:val="single" w:color="000000" w:sz="4" w:space="0"/>
              <w:right w:val="single" w:color="000000" w:sz="4" w:space="0"/>
            </w:tcBorders>
            <w:noWrap w:val="0"/>
            <w:vAlign w:val="center"/>
          </w:tcPr>
          <w:p w14:paraId="6BB42C0B">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sz w:val="24"/>
                <w:szCs w:val="24"/>
                <w:lang w:val="en-US" w:eastAsia="zh-CN"/>
              </w:rPr>
              <w:t>M8*70材质：哈氏合金C276</w:t>
            </w:r>
          </w:p>
        </w:tc>
        <w:tc>
          <w:tcPr>
            <w:tcW w:w="866" w:type="dxa"/>
            <w:tcBorders>
              <w:top w:val="single" w:color="000000" w:sz="4" w:space="0"/>
              <w:left w:val="single" w:color="000000" w:sz="4" w:space="0"/>
              <w:bottom w:val="single" w:color="000000" w:sz="4" w:space="0"/>
              <w:right w:val="single" w:color="000000" w:sz="4" w:space="0"/>
            </w:tcBorders>
            <w:noWrap w:val="0"/>
            <w:vAlign w:val="center"/>
          </w:tcPr>
          <w:p w14:paraId="0C86CD12">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sz w:val="24"/>
                <w:szCs w:val="24"/>
                <w:lang w:val="en-US" w:eastAsia="zh-CN"/>
              </w:rPr>
              <w:t>10</w:t>
            </w:r>
          </w:p>
        </w:tc>
        <w:tc>
          <w:tcPr>
            <w:tcW w:w="817" w:type="dxa"/>
            <w:tcBorders>
              <w:top w:val="single" w:color="000000" w:sz="4" w:space="0"/>
              <w:left w:val="single" w:color="000000" w:sz="4" w:space="0"/>
              <w:bottom w:val="single" w:color="000000" w:sz="4" w:space="0"/>
              <w:right w:val="single" w:color="000000" w:sz="4" w:space="0"/>
            </w:tcBorders>
            <w:noWrap w:val="0"/>
            <w:vAlign w:val="center"/>
          </w:tcPr>
          <w:p w14:paraId="037D9B2E">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sz w:val="24"/>
                <w:szCs w:val="24"/>
                <w:lang w:val="en-US" w:eastAsia="zh-CN"/>
              </w:rPr>
              <w:t>颗</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14:paraId="0BD7BCA9">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noWrap w:val="0"/>
            <w:vAlign w:val="center"/>
          </w:tcPr>
          <w:p w14:paraId="085A03EE">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29DE325B">
        <w:tblPrEx>
          <w:tblCellMar>
            <w:top w:w="0" w:type="dxa"/>
            <w:left w:w="108" w:type="dxa"/>
            <w:bottom w:w="0" w:type="dxa"/>
            <w:right w:w="108" w:type="dxa"/>
          </w:tblCellMar>
        </w:tblPrEx>
        <w:trPr>
          <w:trHeight w:val="529" w:hRule="atLeast"/>
          <w:jc w:val="center"/>
        </w:trPr>
        <w:tc>
          <w:tcPr>
            <w:tcW w:w="713" w:type="dxa"/>
            <w:tcBorders>
              <w:top w:val="single" w:color="000000" w:sz="4" w:space="0"/>
              <w:left w:val="single" w:color="000000" w:sz="4" w:space="0"/>
              <w:bottom w:val="single" w:color="000000" w:sz="4" w:space="0"/>
              <w:right w:val="single" w:color="000000" w:sz="4" w:space="0"/>
            </w:tcBorders>
            <w:noWrap/>
            <w:vAlign w:val="center"/>
          </w:tcPr>
          <w:p w14:paraId="1FBB5CE5">
            <w:pPr>
              <w:keepNext w:val="0"/>
              <w:keepLines w:val="0"/>
              <w:pageBreakBefore w:val="0"/>
              <w:widowControl/>
              <w:numPr>
                <w:ilvl w:val="0"/>
                <w:numId w:val="7"/>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2410" w:type="dxa"/>
            <w:tcBorders>
              <w:top w:val="single" w:color="000000" w:sz="4" w:space="0"/>
              <w:left w:val="single" w:color="000000" w:sz="4" w:space="0"/>
              <w:bottom w:val="single" w:color="000000" w:sz="4" w:space="0"/>
              <w:right w:val="single" w:color="000000" w:sz="4" w:space="0"/>
            </w:tcBorders>
            <w:noWrap w:val="0"/>
            <w:vAlign w:val="center"/>
          </w:tcPr>
          <w:p w14:paraId="26EB9D3A">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sz w:val="24"/>
                <w:szCs w:val="24"/>
                <w:lang w:val="en-US" w:eastAsia="zh-CN"/>
              </w:rPr>
              <w:t>雾化器分配盘螺栓</w:t>
            </w:r>
          </w:p>
        </w:tc>
        <w:tc>
          <w:tcPr>
            <w:tcW w:w="3350" w:type="dxa"/>
            <w:tcBorders>
              <w:top w:val="single" w:color="000000" w:sz="4" w:space="0"/>
              <w:left w:val="single" w:color="000000" w:sz="4" w:space="0"/>
              <w:bottom w:val="single" w:color="000000" w:sz="4" w:space="0"/>
              <w:right w:val="single" w:color="000000" w:sz="4" w:space="0"/>
            </w:tcBorders>
            <w:noWrap w:val="0"/>
            <w:vAlign w:val="center"/>
          </w:tcPr>
          <w:p w14:paraId="1F75B2EF">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sz w:val="24"/>
                <w:szCs w:val="24"/>
                <w:lang w:val="en-US" w:eastAsia="zh-CN"/>
              </w:rPr>
              <w:t>M10*70材质：哈氏合金C276</w:t>
            </w:r>
          </w:p>
        </w:tc>
        <w:tc>
          <w:tcPr>
            <w:tcW w:w="866" w:type="dxa"/>
            <w:tcBorders>
              <w:top w:val="single" w:color="000000" w:sz="4" w:space="0"/>
              <w:left w:val="single" w:color="000000" w:sz="4" w:space="0"/>
              <w:bottom w:val="single" w:color="000000" w:sz="4" w:space="0"/>
              <w:right w:val="single" w:color="000000" w:sz="4" w:space="0"/>
            </w:tcBorders>
            <w:noWrap w:val="0"/>
            <w:vAlign w:val="center"/>
          </w:tcPr>
          <w:p w14:paraId="0FE27107">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sz w:val="24"/>
                <w:szCs w:val="24"/>
                <w:lang w:val="en-US" w:eastAsia="zh-CN"/>
              </w:rPr>
              <w:t>28</w:t>
            </w:r>
          </w:p>
        </w:tc>
        <w:tc>
          <w:tcPr>
            <w:tcW w:w="817" w:type="dxa"/>
            <w:tcBorders>
              <w:top w:val="single" w:color="000000" w:sz="4" w:space="0"/>
              <w:left w:val="single" w:color="000000" w:sz="4" w:space="0"/>
              <w:bottom w:val="single" w:color="000000" w:sz="4" w:space="0"/>
              <w:right w:val="single" w:color="000000" w:sz="4" w:space="0"/>
            </w:tcBorders>
            <w:noWrap w:val="0"/>
            <w:vAlign w:val="center"/>
          </w:tcPr>
          <w:p w14:paraId="0B9991C3">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sz w:val="24"/>
                <w:szCs w:val="24"/>
                <w:lang w:val="en-US" w:eastAsia="zh-CN"/>
              </w:rPr>
              <w:t>颗</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14:paraId="4AEA8E9B">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noWrap w:val="0"/>
            <w:vAlign w:val="center"/>
          </w:tcPr>
          <w:p w14:paraId="7B8025B7">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44BB1DF3">
        <w:tblPrEx>
          <w:tblCellMar>
            <w:top w:w="0" w:type="dxa"/>
            <w:left w:w="108" w:type="dxa"/>
            <w:bottom w:w="0" w:type="dxa"/>
            <w:right w:w="108" w:type="dxa"/>
          </w:tblCellMar>
        </w:tblPrEx>
        <w:trPr>
          <w:trHeight w:val="529" w:hRule="atLeast"/>
          <w:jc w:val="center"/>
        </w:trPr>
        <w:tc>
          <w:tcPr>
            <w:tcW w:w="713" w:type="dxa"/>
            <w:tcBorders>
              <w:top w:val="single" w:color="000000" w:sz="4" w:space="0"/>
              <w:left w:val="single" w:color="000000" w:sz="4" w:space="0"/>
              <w:bottom w:val="single" w:color="000000" w:sz="4" w:space="0"/>
              <w:right w:val="single" w:color="000000" w:sz="4" w:space="0"/>
            </w:tcBorders>
            <w:noWrap/>
            <w:vAlign w:val="center"/>
          </w:tcPr>
          <w:p w14:paraId="5BC9C047">
            <w:pPr>
              <w:keepNext w:val="0"/>
              <w:keepLines w:val="0"/>
              <w:pageBreakBefore w:val="0"/>
              <w:widowControl/>
              <w:numPr>
                <w:ilvl w:val="0"/>
                <w:numId w:val="7"/>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2410" w:type="dxa"/>
            <w:tcBorders>
              <w:top w:val="single" w:color="000000" w:sz="4" w:space="0"/>
              <w:left w:val="single" w:color="000000" w:sz="4" w:space="0"/>
              <w:bottom w:val="single" w:color="000000" w:sz="4" w:space="0"/>
              <w:right w:val="single" w:color="000000" w:sz="4" w:space="0"/>
            </w:tcBorders>
            <w:noWrap w:val="0"/>
            <w:vAlign w:val="center"/>
          </w:tcPr>
          <w:p w14:paraId="67000D0B">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sz w:val="24"/>
                <w:szCs w:val="24"/>
                <w:lang w:val="en-US" w:eastAsia="zh-CN"/>
              </w:rPr>
              <w:t>雾化盘螺栓</w:t>
            </w:r>
          </w:p>
        </w:tc>
        <w:tc>
          <w:tcPr>
            <w:tcW w:w="3350" w:type="dxa"/>
            <w:tcBorders>
              <w:top w:val="single" w:color="000000" w:sz="4" w:space="0"/>
              <w:left w:val="single" w:color="000000" w:sz="4" w:space="0"/>
              <w:bottom w:val="single" w:color="000000" w:sz="4" w:space="0"/>
              <w:right w:val="single" w:color="000000" w:sz="4" w:space="0"/>
            </w:tcBorders>
            <w:noWrap w:val="0"/>
            <w:vAlign w:val="center"/>
          </w:tcPr>
          <w:p w14:paraId="2BA1A9F8">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sz w:val="24"/>
                <w:szCs w:val="24"/>
                <w:lang w:val="en-US" w:eastAsia="zh-CN"/>
              </w:rPr>
              <w:t>M8*35材质：哈氏合金C276</w:t>
            </w:r>
          </w:p>
        </w:tc>
        <w:tc>
          <w:tcPr>
            <w:tcW w:w="866" w:type="dxa"/>
            <w:tcBorders>
              <w:top w:val="single" w:color="000000" w:sz="4" w:space="0"/>
              <w:left w:val="single" w:color="000000" w:sz="4" w:space="0"/>
              <w:bottom w:val="single" w:color="000000" w:sz="4" w:space="0"/>
              <w:right w:val="single" w:color="000000" w:sz="4" w:space="0"/>
            </w:tcBorders>
            <w:noWrap w:val="0"/>
            <w:vAlign w:val="center"/>
          </w:tcPr>
          <w:p w14:paraId="6C053926">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sz w:val="24"/>
                <w:szCs w:val="24"/>
                <w:lang w:val="en-US" w:eastAsia="zh-CN"/>
              </w:rPr>
              <w:t>5</w:t>
            </w:r>
          </w:p>
        </w:tc>
        <w:tc>
          <w:tcPr>
            <w:tcW w:w="817" w:type="dxa"/>
            <w:tcBorders>
              <w:top w:val="single" w:color="000000" w:sz="4" w:space="0"/>
              <w:left w:val="single" w:color="000000" w:sz="4" w:space="0"/>
              <w:bottom w:val="single" w:color="000000" w:sz="4" w:space="0"/>
              <w:right w:val="single" w:color="000000" w:sz="4" w:space="0"/>
            </w:tcBorders>
            <w:noWrap w:val="0"/>
            <w:vAlign w:val="center"/>
          </w:tcPr>
          <w:p w14:paraId="08E61350">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sz w:val="24"/>
                <w:szCs w:val="24"/>
                <w:lang w:val="en-US" w:eastAsia="zh-CN"/>
              </w:rPr>
              <w:t>颗</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14:paraId="48E4149C">
            <w:pPr>
              <w:jc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noWrap w:val="0"/>
            <w:vAlign w:val="center"/>
          </w:tcPr>
          <w:p w14:paraId="3C654369">
            <w:pPr>
              <w:jc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7AF5B2DE">
        <w:tblPrEx>
          <w:tblCellMar>
            <w:top w:w="0" w:type="dxa"/>
            <w:left w:w="108" w:type="dxa"/>
            <w:bottom w:w="0" w:type="dxa"/>
            <w:right w:w="108" w:type="dxa"/>
          </w:tblCellMar>
        </w:tblPrEx>
        <w:trPr>
          <w:trHeight w:val="529" w:hRule="atLeast"/>
          <w:jc w:val="center"/>
        </w:trPr>
        <w:tc>
          <w:tcPr>
            <w:tcW w:w="713" w:type="dxa"/>
            <w:tcBorders>
              <w:top w:val="single" w:color="000000" w:sz="4" w:space="0"/>
              <w:left w:val="single" w:color="000000" w:sz="4" w:space="0"/>
              <w:bottom w:val="single" w:color="000000" w:sz="4" w:space="0"/>
              <w:right w:val="single" w:color="000000" w:sz="4" w:space="0"/>
            </w:tcBorders>
            <w:noWrap/>
            <w:vAlign w:val="center"/>
          </w:tcPr>
          <w:p w14:paraId="4884BA0E">
            <w:pPr>
              <w:keepNext w:val="0"/>
              <w:keepLines w:val="0"/>
              <w:pageBreakBefore w:val="0"/>
              <w:widowControl/>
              <w:numPr>
                <w:ilvl w:val="0"/>
                <w:numId w:val="7"/>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2410" w:type="dxa"/>
            <w:tcBorders>
              <w:top w:val="single" w:color="000000" w:sz="4" w:space="0"/>
              <w:left w:val="single" w:color="000000" w:sz="4" w:space="0"/>
              <w:bottom w:val="single" w:color="000000" w:sz="4" w:space="0"/>
              <w:right w:val="single" w:color="000000" w:sz="4" w:space="0"/>
            </w:tcBorders>
            <w:noWrap w:val="0"/>
            <w:vAlign w:val="center"/>
          </w:tcPr>
          <w:p w14:paraId="25E9A746">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sz w:val="24"/>
                <w:szCs w:val="24"/>
                <w:lang w:val="en-US" w:eastAsia="zh-CN"/>
              </w:rPr>
              <w:t>雾化盘螺栓</w:t>
            </w:r>
          </w:p>
        </w:tc>
        <w:tc>
          <w:tcPr>
            <w:tcW w:w="3350" w:type="dxa"/>
            <w:tcBorders>
              <w:top w:val="single" w:color="000000" w:sz="4" w:space="0"/>
              <w:left w:val="single" w:color="000000" w:sz="4" w:space="0"/>
              <w:bottom w:val="single" w:color="000000" w:sz="4" w:space="0"/>
              <w:right w:val="single" w:color="000000" w:sz="4" w:space="0"/>
            </w:tcBorders>
            <w:noWrap w:val="0"/>
            <w:vAlign w:val="center"/>
          </w:tcPr>
          <w:p w14:paraId="27ED8768">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sz w:val="24"/>
                <w:szCs w:val="24"/>
                <w:lang w:val="en-US" w:eastAsia="zh-CN"/>
              </w:rPr>
              <w:t>M8*10材质：哈氏合金C276</w:t>
            </w:r>
          </w:p>
        </w:tc>
        <w:tc>
          <w:tcPr>
            <w:tcW w:w="866" w:type="dxa"/>
            <w:tcBorders>
              <w:top w:val="single" w:color="000000" w:sz="4" w:space="0"/>
              <w:left w:val="single" w:color="000000" w:sz="4" w:space="0"/>
              <w:bottom w:val="single" w:color="000000" w:sz="4" w:space="0"/>
              <w:right w:val="single" w:color="000000" w:sz="4" w:space="0"/>
            </w:tcBorders>
            <w:noWrap w:val="0"/>
            <w:vAlign w:val="center"/>
          </w:tcPr>
          <w:p w14:paraId="5D0F121B">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sz w:val="24"/>
                <w:szCs w:val="24"/>
                <w:lang w:val="en-US" w:eastAsia="zh-CN"/>
              </w:rPr>
              <w:t>16</w:t>
            </w:r>
          </w:p>
        </w:tc>
        <w:tc>
          <w:tcPr>
            <w:tcW w:w="817" w:type="dxa"/>
            <w:tcBorders>
              <w:top w:val="single" w:color="000000" w:sz="4" w:space="0"/>
              <w:left w:val="single" w:color="000000" w:sz="4" w:space="0"/>
              <w:bottom w:val="single" w:color="000000" w:sz="4" w:space="0"/>
              <w:right w:val="single" w:color="000000" w:sz="4" w:space="0"/>
            </w:tcBorders>
            <w:noWrap w:val="0"/>
            <w:vAlign w:val="center"/>
          </w:tcPr>
          <w:p w14:paraId="4B09099F">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sz w:val="24"/>
                <w:szCs w:val="24"/>
                <w:lang w:val="en-US" w:eastAsia="zh-CN"/>
              </w:rPr>
              <w:t>颗</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14:paraId="3EDE64C8">
            <w:pPr>
              <w:jc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noWrap w:val="0"/>
            <w:vAlign w:val="center"/>
          </w:tcPr>
          <w:p w14:paraId="3B39C68A">
            <w:pPr>
              <w:jc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4AD4DC01">
        <w:tblPrEx>
          <w:tblCellMar>
            <w:top w:w="0" w:type="dxa"/>
            <w:left w:w="108" w:type="dxa"/>
            <w:bottom w:w="0" w:type="dxa"/>
            <w:right w:w="108" w:type="dxa"/>
          </w:tblCellMar>
        </w:tblPrEx>
        <w:trPr>
          <w:trHeight w:val="529" w:hRule="atLeast"/>
          <w:jc w:val="center"/>
        </w:trPr>
        <w:tc>
          <w:tcPr>
            <w:tcW w:w="713" w:type="dxa"/>
            <w:tcBorders>
              <w:top w:val="single" w:color="000000" w:sz="4" w:space="0"/>
              <w:left w:val="single" w:color="000000" w:sz="4" w:space="0"/>
              <w:bottom w:val="single" w:color="000000" w:sz="4" w:space="0"/>
              <w:right w:val="single" w:color="000000" w:sz="4" w:space="0"/>
            </w:tcBorders>
            <w:noWrap/>
            <w:vAlign w:val="center"/>
          </w:tcPr>
          <w:p w14:paraId="69EA3001">
            <w:pPr>
              <w:keepNext w:val="0"/>
              <w:keepLines w:val="0"/>
              <w:pageBreakBefore w:val="0"/>
              <w:widowControl/>
              <w:numPr>
                <w:ilvl w:val="0"/>
                <w:numId w:val="7"/>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2410" w:type="dxa"/>
            <w:tcBorders>
              <w:top w:val="single" w:color="000000" w:sz="4" w:space="0"/>
              <w:left w:val="single" w:color="000000" w:sz="4" w:space="0"/>
              <w:bottom w:val="single" w:color="000000" w:sz="4" w:space="0"/>
              <w:right w:val="single" w:color="000000" w:sz="4" w:space="0"/>
            </w:tcBorders>
            <w:noWrap w:val="0"/>
            <w:vAlign w:val="center"/>
          </w:tcPr>
          <w:p w14:paraId="30091649">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sz w:val="24"/>
                <w:szCs w:val="24"/>
                <w:lang w:val="en-US" w:eastAsia="zh-CN"/>
              </w:rPr>
              <w:t>雾化器隔热桶螺栓</w:t>
            </w:r>
          </w:p>
        </w:tc>
        <w:tc>
          <w:tcPr>
            <w:tcW w:w="3350" w:type="dxa"/>
            <w:tcBorders>
              <w:top w:val="single" w:color="000000" w:sz="4" w:space="0"/>
              <w:left w:val="single" w:color="000000" w:sz="4" w:space="0"/>
              <w:bottom w:val="single" w:color="000000" w:sz="4" w:space="0"/>
              <w:right w:val="single" w:color="000000" w:sz="4" w:space="0"/>
            </w:tcBorders>
            <w:noWrap w:val="0"/>
            <w:vAlign w:val="center"/>
          </w:tcPr>
          <w:p w14:paraId="36F0BBD2">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sz w:val="24"/>
                <w:szCs w:val="24"/>
                <w:lang w:val="en-US" w:eastAsia="zh-CN"/>
              </w:rPr>
              <w:t>M12*17.5*16MM材质：哈氏合金316L</w:t>
            </w:r>
          </w:p>
        </w:tc>
        <w:tc>
          <w:tcPr>
            <w:tcW w:w="866" w:type="dxa"/>
            <w:tcBorders>
              <w:top w:val="single" w:color="000000" w:sz="4" w:space="0"/>
              <w:left w:val="single" w:color="000000" w:sz="4" w:space="0"/>
              <w:bottom w:val="single" w:color="000000" w:sz="4" w:space="0"/>
              <w:right w:val="single" w:color="000000" w:sz="4" w:space="0"/>
            </w:tcBorders>
            <w:noWrap w:val="0"/>
            <w:vAlign w:val="center"/>
          </w:tcPr>
          <w:p w14:paraId="79E52E38">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sz w:val="24"/>
                <w:szCs w:val="24"/>
                <w:lang w:val="en-US" w:eastAsia="zh-CN"/>
              </w:rPr>
              <w:t>12</w:t>
            </w:r>
          </w:p>
        </w:tc>
        <w:tc>
          <w:tcPr>
            <w:tcW w:w="817" w:type="dxa"/>
            <w:tcBorders>
              <w:top w:val="single" w:color="000000" w:sz="4" w:space="0"/>
              <w:left w:val="single" w:color="000000" w:sz="4" w:space="0"/>
              <w:bottom w:val="single" w:color="000000" w:sz="4" w:space="0"/>
              <w:right w:val="single" w:color="000000" w:sz="4" w:space="0"/>
            </w:tcBorders>
            <w:noWrap w:val="0"/>
            <w:vAlign w:val="center"/>
          </w:tcPr>
          <w:p w14:paraId="05C485BD">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sz w:val="24"/>
                <w:szCs w:val="24"/>
                <w:lang w:val="en-US" w:eastAsia="zh-CN"/>
              </w:rPr>
              <w:t>颗</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14:paraId="14F756CD">
            <w:pPr>
              <w:jc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noWrap w:val="0"/>
            <w:vAlign w:val="center"/>
          </w:tcPr>
          <w:p w14:paraId="4CCECB00">
            <w:pPr>
              <w:jc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7856A0BD">
        <w:tblPrEx>
          <w:tblCellMar>
            <w:top w:w="0" w:type="dxa"/>
            <w:left w:w="108" w:type="dxa"/>
            <w:bottom w:w="0" w:type="dxa"/>
            <w:right w:w="108" w:type="dxa"/>
          </w:tblCellMar>
        </w:tblPrEx>
        <w:trPr>
          <w:trHeight w:val="529" w:hRule="atLeast"/>
          <w:jc w:val="center"/>
        </w:trPr>
        <w:tc>
          <w:tcPr>
            <w:tcW w:w="713" w:type="dxa"/>
            <w:tcBorders>
              <w:top w:val="single" w:color="000000" w:sz="4" w:space="0"/>
              <w:left w:val="single" w:color="000000" w:sz="4" w:space="0"/>
              <w:bottom w:val="single" w:color="000000" w:sz="4" w:space="0"/>
              <w:right w:val="single" w:color="000000" w:sz="4" w:space="0"/>
            </w:tcBorders>
            <w:noWrap/>
            <w:vAlign w:val="center"/>
          </w:tcPr>
          <w:p w14:paraId="7DFF1D4B">
            <w:pPr>
              <w:keepNext w:val="0"/>
              <w:keepLines w:val="0"/>
              <w:pageBreakBefore w:val="0"/>
              <w:widowControl/>
              <w:numPr>
                <w:ilvl w:val="0"/>
                <w:numId w:val="7"/>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2410" w:type="dxa"/>
            <w:tcBorders>
              <w:top w:val="single" w:color="000000" w:sz="4" w:space="0"/>
              <w:left w:val="single" w:color="000000" w:sz="4" w:space="0"/>
              <w:bottom w:val="single" w:color="000000" w:sz="4" w:space="0"/>
              <w:right w:val="single" w:color="000000" w:sz="4" w:space="0"/>
            </w:tcBorders>
            <w:noWrap w:val="0"/>
            <w:vAlign w:val="center"/>
          </w:tcPr>
          <w:p w14:paraId="502E0454">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sz w:val="24"/>
                <w:szCs w:val="24"/>
                <w:lang w:val="en-US" w:eastAsia="zh-CN"/>
              </w:rPr>
              <w:t>雾化器轴心校正</w:t>
            </w:r>
          </w:p>
        </w:tc>
        <w:tc>
          <w:tcPr>
            <w:tcW w:w="3350" w:type="dxa"/>
            <w:tcBorders>
              <w:top w:val="single" w:color="000000" w:sz="4" w:space="0"/>
              <w:left w:val="single" w:color="000000" w:sz="4" w:space="0"/>
              <w:bottom w:val="single" w:color="000000" w:sz="4" w:space="0"/>
              <w:right w:val="single" w:color="000000" w:sz="4" w:space="0"/>
            </w:tcBorders>
            <w:noWrap w:val="0"/>
            <w:vAlign w:val="center"/>
          </w:tcPr>
          <w:p w14:paraId="6DB26234">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sz w:val="24"/>
                <w:szCs w:val="24"/>
                <w:lang w:val="en-US" w:eastAsia="zh-CN"/>
              </w:rPr>
              <w:t>超过10丝不能用油压校正，校正后弯曲度≦0.03丝。</w:t>
            </w:r>
          </w:p>
        </w:tc>
        <w:tc>
          <w:tcPr>
            <w:tcW w:w="866" w:type="dxa"/>
            <w:tcBorders>
              <w:top w:val="single" w:color="000000" w:sz="4" w:space="0"/>
              <w:left w:val="single" w:color="000000" w:sz="4" w:space="0"/>
              <w:bottom w:val="single" w:color="000000" w:sz="4" w:space="0"/>
              <w:right w:val="single" w:color="000000" w:sz="4" w:space="0"/>
            </w:tcBorders>
            <w:noWrap w:val="0"/>
            <w:vAlign w:val="center"/>
          </w:tcPr>
          <w:p w14:paraId="55B2BA21">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sz w:val="24"/>
                <w:szCs w:val="24"/>
                <w:lang w:val="en-US" w:eastAsia="zh-CN"/>
              </w:rPr>
              <w:t>2</w:t>
            </w:r>
          </w:p>
        </w:tc>
        <w:tc>
          <w:tcPr>
            <w:tcW w:w="817" w:type="dxa"/>
            <w:tcBorders>
              <w:top w:val="single" w:color="000000" w:sz="4" w:space="0"/>
              <w:left w:val="single" w:color="000000" w:sz="4" w:space="0"/>
              <w:bottom w:val="single" w:color="000000" w:sz="4" w:space="0"/>
              <w:right w:val="single" w:color="000000" w:sz="4" w:space="0"/>
            </w:tcBorders>
            <w:noWrap w:val="0"/>
            <w:vAlign w:val="center"/>
          </w:tcPr>
          <w:p w14:paraId="3CDBBF76">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sz w:val="24"/>
                <w:szCs w:val="24"/>
                <w:lang w:val="en-US" w:eastAsia="zh-CN"/>
              </w:rPr>
              <w:t>支</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14:paraId="41D681E1">
            <w:pPr>
              <w:jc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noWrap w:val="0"/>
            <w:vAlign w:val="center"/>
          </w:tcPr>
          <w:p w14:paraId="378AB21F">
            <w:pPr>
              <w:jc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4FCA4C33">
        <w:tblPrEx>
          <w:tblCellMar>
            <w:top w:w="0" w:type="dxa"/>
            <w:left w:w="108" w:type="dxa"/>
            <w:bottom w:w="0" w:type="dxa"/>
            <w:right w:w="108" w:type="dxa"/>
          </w:tblCellMar>
        </w:tblPrEx>
        <w:trPr>
          <w:trHeight w:val="529" w:hRule="atLeast"/>
          <w:jc w:val="center"/>
        </w:trPr>
        <w:tc>
          <w:tcPr>
            <w:tcW w:w="713" w:type="dxa"/>
            <w:tcBorders>
              <w:top w:val="single" w:color="000000" w:sz="4" w:space="0"/>
              <w:left w:val="single" w:color="000000" w:sz="4" w:space="0"/>
              <w:bottom w:val="single" w:color="000000" w:sz="4" w:space="0"/>
              <w:right w:val="single" w:color="000000" w:sz="4" w:space="0"/>
            </w:tcBorders>
            <w:noWrap/>
            <w:vAlign w:val="center"/>
          </w:tcPr>
          <w:p w14:paraId="1E2A670A">
            <w:pPr>
              <w:keepNext w:val="0"/>
              <w:keepLines w:val="0"/>
              <w:pageBreakBefore w:val="0"/>
              <w:widowControl/>
              <w:numPr>
                <w:ilvl w:val="0"/>
                <w:numId w:val="7"/>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2410" w:type="dxa"/>
            <w:tcBorders>
              <w:top w:val="single" w:color="000000" w:sz="4" w:space="0"/>
              <w:left w:val="single" w:color="000000" w:sz="4" w:space="0"/>
              <w:bottom w:val="single" w:color="000000" w:sz="4" w:space="0"/>
              <w:right w:val="single" w:color="000000" w:sz="4" w:space="0"/>
            </w:tcBorders>
            <w:noWrap w:val="0"/>
            <w:vAlign w:val="center"/>
          </w:tcPr>
          <w:p w14:paraId="4AD0D6DB">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sz w:val="24"/>
                <w:szCs w:val="24"/>
                <w:lang w:val="en-US" w:eastAsia="zh-CN"/>
              </w:rPr>
              <w:t>雾化器轴心</w:t>
            </w:r>
          </w:p>
        </w:tc>
        <w:tc>
          <w:tcPr>
            <w:tcW w:w="3350" w:type="dxa"/>
            <w:tcBorders>
              <w:top w:val="single" w:color="000000" w:sz="4" w:space="0"/>
              <w:left w:val="single" w:color="000000" w:sz="4" w:space="0"/>
              <w:bottom w:val="single" w:color="000000" w:sz="4" w:space="0"/>
              <w:right w:val="single" w:color="000000" w:sz="4" w:space="0"/>
            </w:tcBorders>
            <w:noWrap w:val="0"/>
            <w:vAlign w:val="center"/>
          </w:tcPr>
          <w:p w14:paraId="4FA412B8">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sz w:val="24"/>
                <w:szCs w:val="24"/>
                <w:lang w:val="en-US" w:eastAsia="zh-CN"/>
              </w:rPr>
              <w:t>0D45*1017LMM（材质：SUS630)弯曲度在≦0.02丝。做G0.4最高等级，测试转速在1500rpm以上，减重测试必须做到0.05g以内，要求有动平衡校正报告。</w:t>
            </w:r>
          </w:p>
        </w:tc>
        <w:tc>
          <w:tcPr>
            <w:tcW w:w="866" w:type="dxa"/>
            <w:tcBorders>
              <w:top w:val="single" w:color="000000" w:sz="4" w:space="0"/>
              <w:left w:val="single" w:color="000000" w:sz="4" w:space="0"/>
              <w:bottom w:val="single" w:color="000000" w:sz="4" w:space="0"/>
              <w:right w:val="single" w:color="000000" w:sz="4" w:space="0"/>
            </w:tcBorders>
            <w:noWrap w:val="0"/>
            <w:vAlign w:val="center"/>
          </w:tcPr>
          <w:p w14:paraId="31430E23">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sz w:val="24"/>
                <w:szCs w:val="24"/>
                <w:lang w:val="en-US" w:eastAsia="zh-CN"/>
              </w:rPr>
              <w:t>1</w:t>
            </w:r>
          </w:p>
        </w:tc>
        <w:tc>
          <w:tcPr>
            <w:tcW w:w="817" w:type="dxa"/>
            <w:tcBorders>
              <w:top w:val="single" w:color="000000" w:sz="4" w:space="0"/>
              <w:left w:val="single" w:color="000000" w:sz="4" w:space="0"/>
              <w:bottom w:val="single" w:color="000000" w:sz="4" w:space="0"/>
              <w:right w:val="single" w:color="000000" w:sz="4" w:space="0"/>
            </w:tcBorders>
            <w:noWrap w:val="0"/>
            <w:vAlign w:val="center"/>
          </w:tcPr>
          <w:p w14:paraId="361F0872">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sz w:val="24"/>
                <w:szCs w:val="24"/>
                <w:lang w:val="en-US" w:eastAsia="zh-CN"/>
              </w:rPr>
              <w:t>支</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14:paraId="301CC78D">
            <w:pPr>
              <w:jc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noWrap w:val="0"/>
            <w:vAlign w:val="center"/>
          </w:tcPr>
          <w:p w14:paraId="6DF8BE7F">
            <w:pPr>
              <w:jc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65861C18">
        <w:tblPrEx>
          <w:tblCellMar>
            <w:top w:w="0" w:type="dxa"/>
            <w:left w:w="108" w:type="dxa"/>
            <w:bottom w:w="0" w:type="dxa"/>
            <w:right w:w="108" w:type="dxa"/>
          </w:tblCellMar>
        </w:tblPrEx>
        <w:trPr>
          <w:trHeight w:val="529" w:hRule="atLeast"/>
          <w:jc w:val="center"/>
        </w:trPr>
        <w:tc>
          <w:tcPr>
            <w:tcW w:w="713" w:type="dxa"/>
            <w:tcBorders>
              <w:top w:val="single" w:color="000000" w:sz="4" w:space="0"/>
              <w:left w:val="single" w:color="000000" w:sz="4" w:space="0"/>
              <w:bottom w:val="single" w:color="000000" w:sz="4" w:space="0"/>
              <w:right w:val="single" w:color="000000" w:sz="4" w:space="0"/>
            </w:tcBorders>
            <w:noWrap/>
            <w:vAlign w:val="center"/>
          </w:tcPr>
          <w:p w14:paraId="593EA64C">
            <w:pPr>
              <w:keepNext w:val="0"/>
              <w:keepLines w:val="0"/>
              <w:pageBreakBefore w:val="0"/>
              <w:widowControl/>
              <w:numPr>
                <w:ilvl w:val="0"/>
                <w:numId w:val="7"/>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2410" w:type="dxa"/>
            <w:tcBorders>
              <w:top w:val="single" w:color="000000" w:sz="4" w:space="0"/>
              <w:left w:val="single" w:color="000000" w:sz="4" w:space="0"/>
              <w:bottom w:val="single" w:color="000000" w:sz="4" w:space="0"/>
              <w:right w:val="single" w:color="000000" w:sz="4" w:space="0"/>
            </w:tcBorders>
            <w:noWrap w:val="0"/>
            <w:vAlign w:val="center"/>
          </w:tcPr>
          <w:p w14:paraId="38E04FA6">
            <w:pPr>
              <w:pStyle w:val="12"/>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sz w:val="24"/>
                <w:szCs w:val="24"/>
                <w:lang w:val="en-US" w:eastAsia="zh-CN"/>
              </w:rPr>
              <w:t>雾化盘动平衡校正</w:t>
            </w:r>
          </w:p>
        </w:tc>
        <w:tc>
          <w:tcPr>
            <w:tcW w:w="3350" w:type="dxa"/>
            <w:tcBorders>
              <w:top w:val="single" w:color="000000" w:sz="4" w:space="0"/>
              <w:left w:val="single" w:color="000000" w:sz="4" w:space="0"/>
              <w:bottom w:val="single" w:color="000000" w:sz="4" w:space="0"/>
              <w:right w:val="single" w:color="000000" w:sz="4" w:space="0"/>
            </w:tcBorders>
            <w:noWrap w:val="0"/>
            <w:vAlign w:val="center"/>
          </w:tcPr>
          <w:p w14:paraId="09DE04D5">
            <w:pPr>
              <w:pStyle w:val="12"/>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sz w:val="24"/>
                <w:szCs w:val="24"/>
                <w:lang w:val="en-US" w:eastAsia="zh-CN"/>
              </w:rPr>
              <w:t>做G0.4最高等级，测试转速在1500rpm以上，减重测试必须做到0.05g以内，要求有动平衡校正报告。</w:t>
            </w:r>
          </w:p>
        </w:tc>
        <w:tc>
          <w:tcPr>
            <w:tcW w:w="866" w:type="dxa"/>
            <w:tcBorders>
              <w:top w:val="single" w:color="000000" w:sz="4" w:space="0"/>
              <w:left w:val="single" w:color="000000" w:sz="4" w:space="0"/>
              <w:bottom w:val="single" w:color="000000" w:sz="4" w:space="0"/>
              <w:right w:val="single" w:color="000000" w:sz="4" w:space="0"/>
            </w:tcBorders>
            <w:noWrap w:val="0"/>
            <w:vAlign w:val="center"/>
          </w:tcPr>
          <w:p w14:paraId="5C3BA99B">
            <w:pPr>
              <w:pStyle w:val="12"/>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sz w:val="24"/>
                <w:szCs w:val="24"/>
                <w:lang w:val="en-US" w:eastAsia="zh-CN"/>
              </w:rPr>
              <w:t>3</w:t>
            </w:r>
          </w:p>
        </w:tc>
        <w:tc>
          <w:tcPr>
            <w:tcW w:w="817" w:type="dxa"/>
            <w:tcBorders>
              <w:top w:val="single" w:color="000000" w:sz="4" w:space="0"/>
              <w:left w:val="single" w:color="000000" w:sz="4" w:space="0"/>
              <w:bottom w:val="single" w:color="000000" w:sz="4" w:space="0"/>
              <w:right w:val="single" w:color="000000" w:sz="4" w:space="0"/>
            </w:tcBorders>
            <w:noWrap w:val="0"/>
            <w:vAlign w:val="center"/>
          </w:tcPr>
          <w:p w14:paraId="308DE89B">
            <w:pPr>
              <w:pStyle w:val="12"/>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sz w:val="24"/>
                <w:szCs w:val="24"/>
                <w:lang w:val="en-US" w:eastAsia="zh-CN"/>
              </w:rPr>
              <w:t>个</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14:paraId="74ADF31A">
            <w:pPr>
              <w:jc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noWrap w:val="0"/>
            <w:vAlign w:val="center"/>
          </w:tcPr>
          <w:p w14:paraId="1ACD0A33">
            <w:pPr>
              <w:jc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491BE7E5">
        <w:tblPrEx>
          <w:tblCellMar>
            <w:top w:w="0" w:type="dxa"/>
            <w:left w:w="108" w:type="dxa"/>
            <w:bottom w:w="0" w:type="dxa"/>
            <w:right w:w="108" w:type="dxa"/>
          </w:tblCellMar>
        </w:tblPrEx>
        <w:trPr>
          <w:trHeight w:val="529" w:hRule="atLeast"/>
          <w:jc w:val="center"/>
        </w:trPr>
        <w:tc>
          <w:tcPr>
            <w:tcW w:w="713" w:type="dxa"/>
            <w:tcBorders>
              <w:top w:val="single" w:color="000000" w:sz="4" w:space="0"/>
              <w:left w:val="single" w:color="000000" w:sz="4" w:space="0"/>
              <w:bottom w:val="single" w:color="000000" w:sz="4" w:space="0"/>
              <w:right w:val="single" w:color="000000" w:sz="4" w:space="0"/>
            </w:tcBorders>
            <w:noWrap/>
            <w:vAlign w:val="center"/>
          </w:tcPr>
          <w:p w14:paraId="76025C6B">
            <w:pPr>
              <w:keepNext w:val="0"/>
              <w:keepLines w:val="0"/>
              <w:pageBreakBefore w:val="0"/>
              <w:widowControl/>
              <w:numPr>
                <w:ilvl w:val="0"/>
                <w:numId w:val="7"/>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2410" w:type="dxa"/>
            <w:tcBorders>
              <w:top w:val="single" w:color="000000" w:sz="4" w:space="0"/>
              <w:left w:val="single" w:color="000000" w:sz="4" w:space="0"/>
              <w:bottom w:val="single" w:color="000000" w:sz="4" w:space="0"/>
              <w:right w:val="single" w:color="000000" w:sz="4" w:space="0"/>
            </w:tcBorders>
            <w:noWrap w:val="0"/>
            <w:vAlign w:val="center"/>
          </w:tcPr>
          <w:p w14:paraId="28913968">
            <w:pPr>
              <w:pStyle w:val="12"/>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sz w:val="24"/>
                <w:szCs w:val="24"/>
                <w:lang w:val="en-US" w:eastAsia="zh-CN"/>
              </w:rPr>
              <w:t>雾化器隔热筒修复</w:t>
            </w:r>
          </w:p>
        </w:tc>
        <w:tc>
          <w:tcPr>
            <w:tcW w:w="3350" w:type="dxa"/>
            <w:tcBorders>
              <w:top w:val="single" w:color="000000" w:sz="4" w:space="0"/>
              <w:left w:val="single" w:color="000000" w:sz="4" w:space="0"/>
              <w:bottom w:val="single" w:color="000000" w:sz="4" w:space="0"/>
              <w:right w:val="single" w:color="000000" w:sz="4" w:space="0"/>
            </w:tcBorders>
            <w:noWrap w:val="0"/>
            <w:vAlign w:val="center"/>
          </w:tcPr>
          <w:p w14:paraId="0D18685E">
            <w:pPr>
              <w:pStyle w:val="12"/>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sz w:val="24"/>
                <w:szCs w:val="24"/>
                <w:lang w:val="en-US" w:eastAsia="zh-CN"/>
              </w:rPr>
              <w:t>椎体更换及喷涂0.3mm厚度的铁氟龙涂层，椎体材质为316L不锈钢。</w:t>
            </w:r>
          </w:p>
        </w:tc>
        <w:tc>
          <w:tcPr>
            <w:tcW w:w="866" w:type="dxa"/>
            <w:tcBorders>
              <w:top w:val="single" w:color="000000" w:sz="4" w:space="0"/>
              <w:left w:val="single" w:color="000000" w:sz="4" w:space="0"/>
              <w:bottom w:val="single" w:color="000000" w:sz="4" w:space="0"/>
              <w:right w:val="single" w:color="000000" w:sz="4" w:space="0"/>
            </w:tcBorders>
            <w:noWrap w:val="0"/>
            <w:vAlign w:val="center"/>
          </w:tcPr>
          <w:p w14:paraId="1F3D6DCD">
            <w:pPr>
              <w:pStyle w:val="12"/>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sz w:val="24"/>
                <w:szCs w:val="24"/>
                <w:lang w:val="en-US" w:eastAsia="zh-CN"/>
              </w:rPr>
              <w:t>2</w:t>
            </w:r>
          </w:p>
        </w:tc>
        <w:tc>
          <w:tcPr>
            <w:tcW w:w="817" w:type="dxa"/>
            <w:tcBorders>
              <w:top w:val="single" w:color="000000" w:sz="4" w:space="0"/>
              <w:left w:val="single" w:color="000000" w:sz="4" w:space="0"/>
              <w:bottom w:val="single" w:color="000000" w:sz="4" w:space="0"/>
              <w:right w:val="single" w:color="000000" w:sz="4" w:space="0"/>
            </w:tcBorders>
            <w:noWrap w:val="0"/>
            <w:vAlign w:val="center"/>
          </w:tcPr>
          <w:p w14:paraId="34C57722">
            <w:pPr>
              <w:pStyle w:val="12"/>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sz w:val="24"/>
                <w:szCs w:val="24"/>
                <w:lang w:val="en-US" w:eastAsia="zh-CN"/>
              </w:rPr>
              <w:t>个</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14:paraId="17E6AE74">
            <w:pPr>
              <w:jc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noWrap w:val="0"/>
            <w:vAlign w:val="center"/>
          </w:tcPr>
          <w:p w14:paraId="611473CC">
            <w:pPr>
              <w:jc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2A8865B7">
        <w:tblPrEx>
          <w:tblCellMar>
            <w:top w:w="0" w:type="dxa"/>
            <w:left w:w="108" w:type="dxa"/>
            <w:bottom w:w="0" w:type="dxa"/>
            <w:right w:w="108" w:type="dxa"/>
          </w:tblCellMar>
        </w:tblPrEx>
        <w:trPr>
          <w:trHeight w:val="529" w:hRule="atLeast"/>
          <w:jc w:val="center"/>
        </w:trPr>
        <w:tc>
          <w:tcPr>
            <w:tcW w:w="713" w:type="dxa"/>
            <w:tcBorders>
              <w:top w:val="single" w:color="000000" w:sz="4" w:space="0"/>
              <w:left w:val="single" w:color="000000" w:sz="4" w:space="0"/>
              <w:bottom w:val="single" w:color="000000" w:sz="4" w:space="0"/>
              <w:right w:val="single" w:color="000000" w:sz="4" w:space="0"/>
            </w:tcBorders>
            <w:noWrap/>
            <w:vAlign w:val="center"/>
          </w:tcPr>
          <w:p w14:paraId="5FAF5C1D">
            <w:pPr>
              <w:keepNext w:val="0"/>
              <w:keepLines w:val="0"/>
              <w:pageBreakBefore w:val="0"/>
              <w:widowControl/>
              <w:numPr>
                <w:ilvl w:val="0"/>
                <w:numId w:val="7"/>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2410" w:type="dxa"/>
            <w:tcBorders>
              <w:top w:val="single" w:color="000000" w:sz="4" w:space="0"/>
              <w:left w:val="single" w:color="000000" w:sz="4" w:space="0"/>
              <w:bottom w:val="single" w:color="000000" w:sz="4" w:space="0"/>
              <w:right w:val="single" w:color="000000" w:sz="4" w:space="0"/>
            </w:tcBorders>
            <w:noWrap w:val="0"/>
            <w:vAlign w:val="center"/>
          </w:tcPr>
          <w:p w14:paraId="0F3C5EA8">
            <w:pPr>
              <w:pStyle w:val="12"/>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sz w:val="24"/>
                <w:szCs w:val="24"/>
                <w:lang w:val="en-US" w:eastAsia="zh-CN"/>
              </w:rPr>
              <w:t>雾化盘防磨盘修复</w:t>
            </w:r>
          </w:p>
        </w:tc>
        <w:tc>
          <w:tcPr>
            <w:tcW w:w="3350" w:type="dxa"/>
            <w:tcBorders>
              <w:top w:val="single" w:color="000000" w:sz="4" w:space="0"/>
              <w:left w:val="single" w:color="000000" w:sz="4" w:space="0"/>
              <w:bottom w:val="single" w:color="000000" w:sz="4" w:space="0"/>
              <w:right w:val="single" w:color="000000" w:sz="4" w:space="0"/>
            </w:tcBorders>
            <w:noWrap w:val="0"/>
            <w:vAlign w:val="center"/>
          </w:tcPr>
          <w:p w14:paraId="625DE172">
            <w:pPr>
              <w:pStyle w:val="12"/>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kern w:val="2"/>
                <w:sz w:val="24"/>
                <w:szCs w:val="24"/>
                <w:lang w:val="en-US" w:eastAsia="zh-CN" w:bidi="ar-SA"/>
              </w:rPr>
              <w:t>1.</w:t>
            </w:r>
            <w:r>
              <w:rPr>
                <w:rFonts w:hint="eastAsia" w:ascii="仿宋" w:hAnsi="仿宋" w:eastAsia="仿宋" w:cs="仿宋"/>
                <w:sz w:val="24"/>
                <w:szCs w:val="24"/>
                <w:lang w:val="en-US" w:eastAsia="zh-CN"/>
              </w:rPr>
              <w:t>雾化盘耐磨盘修复材料材质要求为碳化硅材质，外侧固定环材质要求SUS630材质，以上材质要求附材质证明。</w:t>
            </w:r>
          </w:p>
          <w:p w14:paraId="36EFA2C9">
            <w:pPr>
              <w:pStyle w:val="12"/>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sz w:val="24"/>
                <w:szCs w:val="24"/>
                <w:lang w:val="en-US" w:eastAsia="zh-CN"/>
              </w:rPr>
              <w:t>2.动平衡要求：做G0.4最高等级，测试转速在1500rpm以上，减重测试必须做到0.05g以内，要求有动平衡校正报告。</w:t>
            </w:r>
          </w:p>
        </w:tc>
        <w:tc>
          <w:tcPr>
            <w:tcW w:w="866" w:type="dxa"/>
            <w:tcBorders>
              <w:top w:val="single" w:color="000000" w:sz="4" w:space="0"/>
              <w:left w:val="single" w:color="000000" w:sz="4" w:space="0"/>
              <w:bottom w:val="single" w:color="000000" w:sz="4" w:space="0"/>
              <w:right w:val="single" w:color="000000" w:sz="4" w:space="0"/>
            </w:tcBorders>
            <w:noWrap w:val="0"/>
            <w:vAlign w:val="center"/>
          </w:tcPr>
          <w:p w14:paraId="719F6103">
            <w:pPr>
              <w:pStyle w:val="12"/>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sz w:val="24"/>
                <w:szCs w:val="24"/>
                <w:lang w:val="en-US" w:eastAsia="zh-CN"/>
              </w:rPr>
              <w:t>2</w:t>
            </w:r>
          </w:p>
        </w:tc>
        <w:tc>
          <w:tcPr>
            <w:tcW w:w="817" w:type="dxa"/>
            <w:tcBorders>
              <w:top w:val="single" w:color="000000" w:sz="4" w:space="0"/>
              <w:left w:val="single" w:color="000000" w:sz="4" w:space="0"/>
              <w:bottom w:val="single" w:color="000000" w:sz="4" w:space="0"/>
              <w:right w:val="single" w:color="000000" w:sz="4" w:space="0"/>
            </w:tcBorders>
            <w:noWrap w:val="0"/>
            <w:vAlign w:val="center"/>
          </w:tcPr>
          <w:p w14:paraId="4A556C71">
            <w:pPr>
              <w:pStyle w:val="12"/>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sz w:val="24"/>
                <w:szCs w:val="24"/>
                <w:lang w:val="en-US" w:eastAsia="zh-CN"/>
              </w:rPr>
              <w:t>个</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14:paraId="2E55819C">
            <w:pPr>
              <w:jc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noWrap w:val="0"/>
            <w:vAlign w:val="center"/>
          </w:tcPr>
          <w:p w14:paraId="098D948D">
            <w:pPr>
              <w:jc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1F09C2DB">
        <w:tblPrEx>
          <w:tblCellMar>
            <w:top w:w="0" w:type="dxa"/>
            <w:left w:w="108" w:type="dxa"/>
            <w:bottom w:w="0" w:type="dxa"/>
            <w:right w:w="108" w:type="dxa"/>
          </w:tblCellMar>
        </w:tblPrEx>
        <w:trPr>
          <w:trHeight w:val="529" w:hRule="atLeast"/>
          <w:jc w:val="center"/>
        </w:trPr>
        <w:tc>
          <w:tcPr>
            <w:tcW w:w="713" w:type="dxa"/>
            <w:tcBorders>
              <w:top w:val="single" w:color="000000" w:sz="4" w:space="0"/>
              <w:left w:val="single" w:color="000000" w:sz="4" w:space="0"/>
              <w:bottom w:val="single" w:color="000000" w:sz="4" w:space="0"/>
              <w:right w:val="single" w:color="000000" w:sz="4" w:space="0"/>
            </w:tcBorders>
            <w:noWrap/>
            <w:vAlign w:val="center"/>
          </w:tcPr>
          <w:p w14:paraId="18388B74">
            <w:pPr>
              <w:keepNext w:val="0"/>
              <w:keepLines w:val="0"/>
              <w:pageBreakBefore w:val="0"/>
              <w:widowControl/>
              <w:numPr>
                <w:ilvl w:val="0"/>
                <w:numId w:val="7"/>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2410" w:type="dxa"/>
            <w:tcBorders>
              <w:top w:val="single" w:color="000000" w:sz="4" w:space="0"/>
              <w:left w:val="single" w:color="000000" w:sz="4" w:space="0"/>
              <w:bottom w:val="single" w:color="000000" w:sz="4" w:space="0"/>
              <w:right w:val="single" w:color="000000" w:sz="4" w:space="0"/>
            </w:tcBorders>
            <w:noWrap w:val="0"/>
            <w:vAlign w:val="center"/>
          </w:tcPr>
          <w:p w14:paraId="754B2966">
            <w:pPr>
              <w:pStyle w:val="12"/>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sz w:val="24"/>
                <w:szCs w:val="24"/>
                <w:lang w:val="en-US" w:eastAsia="zh-CN"/>
              </w:rPr>
              <w:t>雾化盘防磨盘更换</w:t>
            </w:r>
          </w:p>
        </w:tc>
        <w:tc>
          <w:tcPr>
            <w:tcW w:w="3350" w:type="dxa"/>
            <w:tcBorders>
              <w:top w:val="single" w:color="000000" w:sz="4" w:space="0"/>
              <w:left w:val="single" w:color="000000" w:sz="4" w:space="0"/>
              <w:bottom w:val="single" w:color="000000" w:sz="4" w:space="0"/>
              <w:right w:val="single" w:color="000000" w:sz="4" w:space="0"/>
            </w:tcBorders>
            <w:noWrap w:val="0"/>
            <w:vAlign w:val="center"/>
          </w:tcPr>
          <w:p w14:paraId="3DCAC9FB">
            <w:pPr>
              <w:pStyle w:val="12"/>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kern w:val="2"/>
                <w:sz w:val="24"/>
                <w:szCs w:val="24"/>
                <w:lang w:val="en-US" w:eastAsia="zh-CN" w:bidi="ar-SA"/>
              </w:rPr>
              <w:t>1.</w:t>
            </w:r>
            <w:r>
              <w:rPr>
                <w:rFonts w:hint="eastAsia" w:ascii="仿宋" w:hAnsi="仿宋" w:eastAsia="仿宋" w:cs="仿宋"/>
                <w:sz w:val="24"/>
                <w:szCs w:val="24"/>
                <w:lang w:val="en-US" w:eastAsia="zh-CN"/>
              </w:rPr>
              <w:t>雾化盘耐磨盘材质要求为碳化硅材质，外侧固定环材质要求SUS630材质，以上材质要求附材质证明。</w:t>
            </w:r>
          </w:p>
          <w:p w14:paraId="1C3FD757">
            <w:pPr>
              <w:pStyle w:val="12"/>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lang w:val="en-US" w:eastAsia="zh-CN" w:bidi="ar"/>
              </w:rPr>
              <w:t>2.</w:t>
            </w:r>
            <w:r>
              <w:rPr>
                <w:rFonts w:hint="eastAsia" w:ascii="仿宋" w:hAnsi="仿宋" w:eastAsia="仿宋" w:cs="仿宋"/>
                <w:sz w:val="24"/>
                <w:szCs w:val="24"/>
                <w:lang w:val="en-US" w:eastAsia="zh-CN"/>
              </w:rPr>
              <w:t>动平衡要求：做G0.4最高等级，测试转速在1500rpm以上，减重测试必须做到0.05g以内，要求有动平衡校正报告。</w:t>
            </w:r>
          </w:p>
        </w:tc>
        <w:tc>
          <w:tcPr>
            <w:tcW w:w="866" w:type="dxa"/>
            <w:tcBorders>
              <w:top w:val="single" w:color="000000" w:sz="4" w:space="0"/>
              <w:left w:val="single" w:color="000000" w:sz="4" w:space="0"/>
              <w:bottom w:val="single" w:color="000000" w:sz="4" w:space="0"/>
              <w:right w:val="single" w:color="000000" w:sz="4" w:space="0"/>
            </w:tcBorders>
            <w:noWrap w:val="0"/>
            <w:vAlign w:val="center"/>
          </w:tcPr>
          <w:p w14:paraId="0BCFD765">
            <w:pPr>
              <w:pStyle w:val="12"/>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sz w:val="24"/>
                <w:szCs w:val="24"/>
                <w:lang w:val="en-US" w:eastAsia="zh-CN"/>
              </w:rPr>
              <w:t>2</w:t>
            </w:r>
          </w:p>
        </w:tc>
        <w:tc>
          <w:tcPr>
            <w:tcW w:w="817" w:type="dxa"/>
            <w:tcBorders>
              <w:top w:val="single" w:color="000000" w:sz="4" w:space="0"/>
              <w:left w:val="single" w:color="000000" w:sz="4" w:space="0"/>
              <w:bottom w:val="single" w:color="000000" w:sz="4" w:space="0"/>
              <w:right w:val="single" w:color="000000" w:sz="4" w:space="0"/>
            </w:tcBorders>
            <w:noWrap w:val="0"/>
            <w:vAlign w:val="center"/>
          </w:tcPr>
          <w:p w14:paraId="06AAE725">
            <w:pPr>
              <w:pStyle w:val="12"/>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sz w:val="24"/>
                <w:szCs w:val="24"/>
                <w:lang w:val="en-US" w:eastAsia="zh-CN"/>
              </w:rPr>
              <w:t>个</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14:paraId="765A4DE7">
            <w:pPr>
              <w:jc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noWrap w:val="0"/>
            <w:vAlign w:val="center"/>
          </w:tcPr>
          <w:p w14:paraId="1676D6FF">
            <w:pPr>
              <w:jc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12F1235B">
        <w:tblPrEx>
          <w:tblCellMar>
            <w:top w:w="0" w:type="dxa"/>
            <w:left w:w="108" w:type="dxa"/>
            <w:bottom w:w="0" w:type="dxa"/>
            <w:right w:w="108" w:type="dxa"/>
          </w:tblCellMar>
        </w:tblPrEx>
        <w:trPr>
          <w:trHeight w:val="529" w:hRule="atLeast"/>
          <w:jc w:val="center"/>
        </w:trPr>
        <w:tc>
          <w:tcPr>
            <w:tcW w:w="713" w:type="dxa"/>
            <w:tcBorders>
              <w:top w:val="single" w:color="000000" w:sz="4" w:space="0"/>
              <w:left w:val="single" w:color="000000" w:sz="4" w:space="0"/>
              <w:bottom w:val="single" w:color="000000" w:sz="4" w:space="0"/>
              <w:right w:val="single" w:color="000000" w:sz="4" w:space="0"/>
            </w:tcBorders>
            <w:noWrap/>
            <w:vAlign w:val="center"/>
          </w:tcPr>
          <w:p w14:paraId="6837B3DF">
            <w:pPr>
              <w:keepNext w:val="0"/>
              <w:keepLines w:val="0"/>
              <w:pageBreakBefore w:val="0"/>
              <w:widowControl/>
              <w:numPr>
                <w:ilvl w:val="0"/>
                <w:numId w:val="7"/>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2410" w:type="dxa"/>
            <w:tcBorders>
              <w:top w:val="single" w:color="000000" w:sz="4" w:space="0"/>
              <w:left w:val="single" w:color="000000" w:sz="4" w:space="0"/>
              <w:bottom w:val="single" w:color="000000" w:sz="4" w:space="0"/>
              <w:right w:val="single" w:color="000000" w:sz="4" w:space="0"/>
            </w:tcBorders>
            <w:noWrap w:val="0"/>
            <w:vAlign w:val="center"/>
          </w:tcPr>
          <w:p w14:paraId="386AF2A8">
            <w:pPr>
              <w:pStyle w:val="12"/>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sz w:val="24"/>
                <w:szCs w:val="24"/>
                <w:lang w:val="en-US" w:eastAsia="zh-CN"/>
              </w:rPr>
              <w:t>雾化器拆装工具</w:t>
            </w:r>
          </w:p>
        </w:tc>
        <w:tc>
          <w:tcPr>
            <w:tcW w:w="3350" w:type="dxa"/>
            <w:tcBorders>
              <w:top w:val="single" w:color="000000" w:sz="4" w:space="0"/>
              <w:left w:val="single" w:color="000000" w:sz="4" w:space="0"/>
              <w:bottom w:val="single" w:color="000000" w:sz="4" w:space="0"/>
              <w:right w:val="single" w:color="000000" w:sz="4" w:space="0"/>
            </w:tcBorders>
            <w:noWrap w:val="0"/>
            <w:vAlign w:val="center"/>
          </w:tcPr>
          <w:p w14:paraId="20C29C04">
            <w:pPr>
              <w:pStyle w:val="12"/>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sz w:val="24"/>
                <w:szCs w:val="24"/>
                <w:lang w:val="en-US" w:eastAsia="zh-CN"/>
              </w:rPr>
              <w:t>雾化器专用工具共16件（包含内六角扳手，轴芯轴承拆卸工具2件，拉拔器，轴芯上逆牙拆卸工具，联轴器拆卸工具2件，齿轮间隙调整螺栓，雾化器拆装工具4件，特制短头内六角，开口扳手2把，轴套紧固电热吹风机）。</w:t>
            </w:r>
          </w:p>
        </w:tc>
        <w:tc>
          <w:tcPr>
            <w:tcW w:w="866" w:type="dxa"/>
            <w:tcBorders>
              <w:top w:val="single" w:color="000000" w:sz="4" w:space="0"/>
              <w:left w:val="single" w:color="000000" w:sz="4" w:space="0"/>
              <w:bottom w:val="single" w:color="000000" w:sz="4" w:space="0"/>
              <w:right w:val="single" w:color="000000" w:sz="4" w:space="0"/>
            </w:tcBorders>
            <w:noWrap w:val="0"/>
            <w:vAlign w:val="center"/>
          </w:tcPr>
          <w:p w14:paraId="08D55B3B">
            <w:pPr>
              <w:pStyle w:val="12"/>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sz w:val="24"/>
                <w:szCs w:val="24"/>
                <w:lang w:val="en-US" w:eastAsia="zh-CN"/>
              </w:rPr>
              <w:t>1</w:t>
            </w:r>
          </w:p>
        </w:tc>
        <w:tc>
          <w:tcPr>
            <w:tcW w:w="817" w:type="dxa"/>
            <w:tcBorders>
              <w:top w:val="single" w:color="000000" w:sz="4" w:space="0"/>
              <w:left w:val="single" w:color="000000" w:sz="4" w:space="0"/>
              <w:bottom w:val="single" w:color="000000" w:sz="4" w:space="0"/>
              <w:right w:val="single" w:color="000000" w:sz="4" w:space="0"/>
            </w:tcBorders>
            <w:noWrap w:val="0"/>
            <w:vAlign w:val="center"/>
          </w:tcPr>
          <w:p w14:paraId="552B2588">
            <w:pPr>
              <w:pStyle w:val="12"/>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240" w:lineRule="exact"/>
              <w:ind w:left="0" w:leftChars="0" w:firstLine="0" w:firstLineChars="0"/>
              <w:jc w:val="center"/>
              <w:textAlignment w:val="auto"/>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sz w:val="24"/>
                <w:szCs w:val="24"/>
                <w:lang w:val="en-US" w:eastAsia="zh-CN"/>
              </w:rPr>
              <w:t>套</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14:paraId="3CA469ED">
            <w:pPr>
              <w:jc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noWrap w:val="0"/>
            <w:vAlign w:val="center"/>
          </w:tcPr>
          <w:p w14:paraId="5F7D73C6">
            <w:pPr>
              <w:jc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bl>
    <w:p w14:paraId="145246E1">
      <w:pPr>
        <w:pStyle w:val="9"/>
        <w:rPr>
          <w:rFonts w:hint="eastAsia" w:ascii="仿宋" w:hAnsi="仿宋" w:eastAsia="仿宋" w:cs="仿宋"/>
          <w:color w:val="auto"/>
        </w:rPr>
      </w:pPr>
    </w:p>
    <w:p w14:paraId="5EE6A5FF">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color w:val="auto"/>
          <w:sz w:val="30"/>
          <w:szCs w:val="30"/>
        </w:rPr>
      </w:pPr>
      <w:r>
        <w:rPr>
          <w:rFonts w:hint="eastAsia" w:ascii="仿宋" w:hAnsi="仿宋" w:eastAsia="仿宋" w:cs="仿宋"/>
          <w:color w:val="auto"/>
          <w:sz w:val="30"/>
          <w:szCs w:val="30"/>
        </w:rPr>
        <w:t>报价如下：（</w:t>
      </w:r>
      <w:r>
        <w:rPr>
          <w:rFonts w:hint="eastAsia" w:ascii="仿宋" w:hAnsi="仿宋" w:eastAsia="仿宋" w:cs="仿宋"/>
          <w:color w:val="auto"/>
          <w:sz w:val="30"/>
          <w:szCs w:val="30"/>
          <w:highlight w:val="none"/>
          <w:lang w:eastAsia="zh-CN"/>
        </w:rPr>
        <w:t>总金额</w:t>
      </w:r>
      <w:r>
        <w:rPr>
          <w:rFonts w:hint="eastAsia" w:ascii="仿宋" w:hAnsi="仿宋" w:eastAsia="仿宋" w:cs="仿宋"/>
          <w:color w:val="auto"/>
          <w:sz w:val="30"/>
          <w:szCs w:val="30"/>
          <w:highlight w:val="none"/>
        </w:rPr>
        <w:t>：</w:t>
      </w:r>
      <w:r>
        <w:rPr>
          <w:rFonts w:hint="eastAsia" w:ascii="仿宋" w:hAnsi="仿宋" w:eastAsia="仿宋" w:cs="仿宋"/>
          <w:color w:val="auto"/>
          <w:sz w:val="30"/>
          <w:szCs w:val="30"/>
          <w:highlight w:val="none"/>
          <w:lang w:val="en-US" w:eastAsia="zh-CN"/>
        </w:rPr>
        <w:t xml:space="preserve">  </w:t>
      </w:r>
      <w:r>
        <w:rPr>
          <w:rFonts w:hint="eastAsia" w:ascii="仿宋" w:hAnsi="仿宋" w:eastAsia="仿宋" w:cs="仿宋"/>
          <w:color w:val="auto"/>
          <w:sz w:val="30"/>
          <w:szCs w:val="30"/>
          <w:lang w:val="en-US" w:eastAsia="zh-CN"/>
        </w:rPr>
        <w:t xml:space="preserve">       </w:t>
      </w:r>
      <w:r>
        <w:rPr>
          <w:rFonts w:hint="eastAsia" w:ascii="仿宋" w:hAnsi="仿宋" w:eastAsia="仿宋" w:cs="仿宋"/>
          <w:color w:val="auto"/>
          <w:sz w:val="30"/>
          <w:szCs w:val="30"/>
        </w:rPr>
        <w:t xml:space="preserve">元，税率为    </w:t>
      </w:r>
      <w:r>
        <w:rPr>
          <w:rFonts w:hint="eastAsia" w:ascii="仿宋" w:hAnsi="仿宋" w:eastAsia="仿宋" w:cs="仿宋"/>
          <w:color w:val="auto"/>
          <w:sz w:val="30"/>
          <w:szCs w:val="30"/>
          <w:lang w:val="en-US" w:eastAsia="zh-CN"/>
        </w:rPr>
        <w:t xml:space="preserve"> </w:t>
      </w:r>
      <w:r>
        <w:rPr>
          <w:rFonts w:hint="eastAsia" w:ascii="仿宋" w:hAnsi="仿宋" w:eastAsia="仿宋" w:cs="仿宋"/>
          <w:color w:val="auto"/>
          <w:sz w:val="30"/>
          <w:szCs w:val="30"/>
        </w:rPr>
        <w:t xml:space="preserve"> %）</w:t>
      </w:r>
    </w:p>
    <w:p w14:paraId="27F57550">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相关要求：</w:t>
      </w:r>
    </w:p>
    <w:p w14:paraId="0C5B51FA">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color w:val="auto"/>
          <w:sz w:val="30"/>
          <w:szCs w:val="30"/>
          <w:lang w:val="en-US" w:eastAsia="zh-CN"/>
        </w:rPr>
      </w:pPr>
      <w:r>
        <w:rPr>
          <w:rFonts w:hint="eastAsia" w:ascii="仿宋" w:hAnsi="仿宋" w:eastAsia="仿宋" w:cs="仿宋"/>
          <w:color w:val="auto"/>
          <w:kern w:val="2"/>
          <w:sz w:val="30"/>
          <w:szCs w:val="30"/>
          <w:lang w:val="en-US" w:eastAsia="zh-CN" w:bidi="ar-SA"/>
        </w:rPr>
        <w:t>1.</w:t>
      </w:r>
      <w:r>
        <w:rPr>
          <w:rFonts w:hint="eastAsia" w:ascii="仿宋" w:hAnsi="仿宋" w:eastAsia="仿宋" w:cs="仿宋"/>
          <w:color w:val="auto"/>
          <w:sz w:val="30"/>
          <w:szCs w:val="30"/>
          <w:lang w:eastAsia="zh-CN"/>
        </w:rPr>
        <w:t>付款方式：</w:t>
      </w:r>
      <w:r>
        <w:rPr>
          <w:rFonts w:hint="eastAsia" w:ascii="仿宋" w:hAnsi="仿宋" w:eastAsia="仿宋" w:cs="仿宋"/>
          <w:color w:val="auto"/>
          <w:sz w:val="30"/>
          <w:szCs w:val="30"/>
          <w:lang w:val="en-US" w:eastAsia="zh-CN"/>
        </w:rPr>
        <w:t>本项目按“按次验收、按批结算”原则执行，供货期为一年，自合同签订之日起算。每次维保服务完成或每批次配件送达指定地点，并经采购人现场验收通过后，供货方须在3个工作日内向采购人提交经双方签字确认的对应批次送货清单、维修记录单，以及等额、合法、有效的增值税专用发票（发票信息、税率、开票项目须完全符合税务规定及采购人财务要求）。采购人自收到准确单据和合规发票且核对无误后，于次二月完成对应批次款项支付。若供货方未按时提供发票，或提供的发票存在信息错误、无法认证抵扣等不符合税务及财务要求的情形，采购人有权顺延付款期限，直至收到合规发票为止，由此产生的付款延迟不视为采购人违约，采购人无需承担任何逾期付款利息或违约责任。</w:t>
      </w:r>
    </w:p>
    <w:p w14:paraId="14C4C661">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color w:val="auto"/>
          <w:kern w:val="2"/>
          <w:sz w:val="30"/>
          <w:szCs w:val="30"/>
          <w:highlight w:val="yellow"/>
        </w:rPr>
      </w:pPr>
      <w:r>
        <w:rPr>
          <w:rFonts w:hint="eastAsia" w:ascii="仿宋" w:hAnsi="仿宋" w:eastAsia="仿宋" w:cs="仿宋"/>
          <w:color w:val="auto"/>
          <w:sz w:val="30"/>
          <w:szCs w:val="30"/>
          <w:lang w:val="en-US" w:eastAsia="zh-CN"/>
        </w:rPr>
        <w:t>供货方需提供一年质保，其履约保证金（合同价的5%）到时（全部维保服务及配件供货验收合格后）自动转为质保金，质保期自最后一批配件供货或最后一次维保服务验收合格之日起统一计算，质保金于质保期满且无未决质量争议后无息退还。质保期内，若因供货方维护保养操作不当，或提供的更换备件存在质量问题，导致雾化器出现故障或损坏的，供货方须免费完成维修或更换，维修或更换后的部件质保期自维修/更换完成并经采购人验收合格之日起重新计算一年，直至验收合格方视为完成质保义务。</w:t>
      </w:r>
    </w:p>
    <w:p w14:paraId="687EAABE">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leftChars="0" w:firstLine="600" w:firstLineChars="200"/>
        <w:jc w:val="left"/>
        <w:textAlignment w:val="auto"/>
        <w:rPr>
          <w:rFonts w:hint="eastAsia" w:ascii="仿宋" w:hAnsi="仿宋" w:eastAsia="仿宋" w:cs="仿宋"/>
          <w:color w:val="auto"/>
          <w:sz w:val="24"/>
          <w:szCs w:val="24"/>
        </w:rPr>
      </w:pPr>
      <w:r>
        <w:rPr>
          <w:rFonts w:hint="eastAsia" w:ascii="仿宋" w:hAnsi="仿宋" w:eastAsia="仿宋" w:cs="仿宋"/>
          <w:color w:val="auto"/>
          <w:kern w:val="2"/>
          <w:sz w:val="30"/>
          <w:szCs w:val="30"/>
          <w:lang w:val="en-US" w:eastAsia="zh-CN" w:bidi="ar-SA"/>
        </w:rPr>
        <w:t>2.</w:t>
      </w:r>
      <w:r>
        <w:rPr>
          <w:rFonts w:hint="eastAsia" w:ascii="仿宋" w:hAnsi="仿宋" w:eastAsia="仿宋" w:cs="仿宋"/>
          <w:color w:val="auto"/>
          <w:sz w:val="30"/>
          <w:szCs w:val="30"/>
          <w:lang w:val="en-US" w:eastAsia="zh-CN"/>
        </w:rPr>
        <w:t>以上总价应为含税全包价，包括运费、税费等一切费用，发票必须为增值税专用发票。</w:t>
      </w:r>
    </w:p>
    <w:p w14:paraId="62234837">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leftChars="0" w:firstLine="600" w:firstLineChars="200"/>
        <w:jc w:val="left"/>
        <w:textAlignment w:val="auto"/>
        <w:rPr>
          <w:rFonts w:hint="eastAsia" w:ascii="仿宋" w:hAnsi="仿宋" w:eastAsia="仿宋" w:cs="仿宋"/>
          <w:color w:val="auto"/>
          <w:sz w:val="24"/>
          <w:szCs w:val="24"/>
        </w:rPr>
      </w:pPr>
      <w:r>
        <w:rPr>
          <w:rFonts w:hint="eastAsia" w:ascii="仿宋" w:hAnsi="仿宋" w:eastAsia="仿宋" w:cs="仿宋"/>
          <w:color w:val="auto"/>
          <w:kern w:val="2"/>
          <w:sz w:val="30"/>
          <w:szCs w:val="30"/>
          <w:lang w:val="en-US" w:eastAsia="zh-CN" w:bidi="ar-SA"/>
        </w:rPr>
        <w:t>3.</w:t>
      </w:r>
      <w:r>
        <w:rPr>
          <w:rFonts w:hint="eastAsia" w:ascii="仿宋" w:hAnsi="仿宋" w:eastAsia="仿宋" w:cs="仿宋"/>
          <w:color w:val="auto"/>
          <w:sz w:val="30"/>
          <w:szCs w:val="30"/>
          <w:lang w:val="en-US" w:eastAsia="zh-CN"/>
        </w:rPr>
        <w:t>本次报价为最终投标报价依据。</w:t>
      </w:r>
    </w:p>
    <w:p w14:paraId="385701BE">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leftChars="0" w:firstLine="600" w:firstLineChars="200"/>
        <w:jc w:val="left"/>
        <w:textAlignment w:val="auto"/>
        <w:rPr>
          <w:rFonts w:hint="eastAsia" w:ascii="仿宋" w:hAnsi="仿宋" w:eastAsia="仿宋" w:cs="仿宋"/>
          <w:color w:val="auto"/>
          <w:sz w:val="24"/>
          <w:szCs w:val="24"/>
        </w:rPr>
      </w:pPr>
      <w:r>
        <w:rPr>
          <w:rFonts w:hint="eastAsia" w:ascii="仿宋" w:hAnsi="仿宋" w:eastAsia="仿宋" w:cs="仿宋"/>
          <w:color w:val="auto"/>
          <w:kern w:val="2"/>
          <w:sz w:val="30"/>
          <w:szCs w:val="30"/>
          <w:lang w:val="en-US" w:eastAsia="zh-CN" w:bidi="ar-SA"/>
        </w:rPr>
        <w:t>4.</w:t>
      </w:r>
      <w:r>
        <w:rPr>
          <w:rFonts w:hint="eastAsia" w:ascii="仿宋" w:hAnsi="仿宋" w:eastAsia="仿宋" w:cs="仿宋"/>
          <w:color w:val="auto"/>
          <w:sz w:val="30"/>
          <w:szCs w:val="30"/>
          <w:lang w:val="en-US" w:eastAsia="zh-CN"/>
        </w:rPr>
        <w:fldChar w:fldCharType="begin"/>
      </w:r>
      <w:r>
        <w:rPr>
          <w:rFonts w:hint="eastAsia" w:ascii="仿宋" w:hAnsi="仿宋" w:eastAsia="仿宋" w:cs="仿宋"/>
          <w:color w:val="auto"/>
          <w:sz w:val="30"/>
          <w:szCs w:val="30"/>
          <w:lang w:val="en-US" w:eastAsia="zh-CN"/>
        </w:rPr>
        <w:instrText xml:space="preserve"> HYPERLINK "mailto:请于2024年5月17日前将询价表盖章后的电子版发至dzw@sxszsny.com" </w:instrText>
      </w:r>
      <w:r>
        <w:rPr>
          <w:rFonts w:hint="eastAsia" w:ascii="仿宋" w:hAnsi="仿宋" w:eastAsia="仿宋" w:cs="仿宋"/>
          <w:color w:val="auto"/>
          <w:sz w:val="30"/>
          <w:szCs w:val="30"/>
          <w:lang w:val="en-US" w:eastAsia="zh-CN"/>
        </w:rPr>
        <w:fldChar w:fldCharType="separate"/>
      </w:r>
      <w:r>
        <w:rPr>
          <w:rFonts w:hint="eastAsia" w:ascii="仿宋" w:hAnsi="仿宋" w:eastAsia="仿宋" w:cs="仿宋"/>
          <w:color w:val="auto"/>
          <w:sz w:val="30"/>
          <w:szCs w:val="30"/>
          <w:lang w:val="en-US" w:eastAsia="zh-CN"/>
        </w:rPr>
        <w:t>请自接到采购人二次报价通知后30分钟内将二次报价一览表盖章后的电子版发送至邮箱dzw@sxszsny.com</w:t>
      </w:r>
      <w:r>
        <w:rPr>
          <w:rFonts w:hint="eastAsia" w:ascii="仿宋" w:hAnsi="仿宋" w:eastAsia="仿宋" w:cs="仿宋"/>
          <w:color w:val="auto"/>
          <w:sz w:val="30"/>
          <w:szCs w:val="30"/>
          <w:lang w:val="en-US" w:eastAsia="zh-CN"/>
        </w:rPr>
        <w:fldChar w:fldCharType="end"/>
      </w:r>
      <w:r>
        <w:rPr>
          <w:rFonts w:hint="eastAsia" w:ascii="仿宋" w:hAnsi="仿宋" w:eastAsia="仿宋" w:cs="仿宋"/>
          <w:color w:val="auto"/>
          <w:sz w:val="30"/>
          <w:szCs w:val="30"/>
          <w:lang w:val="en-US" w:eastAsia="zh-CN"/>
        </w:rPr>
        <w:t>。</w:t>
      </w:r>
      <w:r>
        <w:rPr>
          <w:rFonts w:hint="eastAsia" w:ascii="仿宋" w:hAnsi="仿宋" w:eastAsia="仿宋" w:cs="仿宋"/>
          <w:color w:val="auto"/>
          <w:sz w:val="30"/>
          <w:szCs w:val="30"/>
        </w:rPr>
        <w:tab/>
      </w:r>
      <w:r>
        <w:rPr>
          <w:rFonts w:hint="eastAsia" w:ascii="仿宋" w:hAnsi="仿宋" w:eastAsia="仿宋" w:cs="仿宋"/>
          <w:color w:val="auto"/>
          <w:sz w:val="30"/>
          <w:szCs w:val="30"/>
        </w:rPr>
        <w:tab/>
      </w:r>
    </w:p>
    <w:p w14:paraId="7B905EC1">
      <w:pPr>
        <w:snapToGrid w:val="0"/>
        <w:ind w:firstLine="480" w:firstLineChars="200"/>
        <w:jc w:val="right"/>
        <w:rPr>
          <w:rFonts w:hint="eastAsia" w:ascii="仿宋" w:hAnsi="仿宋" w:eastAsia="仿宋" w:cs="仿宋"/>
          <w:color w:val="auto"/>
          <w:sz w:val="24"/>
          <w:szCs w:val="24"/>
        </w:rPr>
      </w:pPr>
    </w:p>
    <w:p w14:paraId="6A63DBA1">
      <w:pPr>
        <w:snapToGrid w:val="0"/>
        <w:ind w:firstLine="480" w:firstLineChars="200"/>
        <w:jc w:val="right"/>
        <w:rPr>
          <w:rFonts w:hint="eastAsia" w:ascii="仿宋" w:hAnsi="仿宋" w:eastAsia="仿宋" w:cs="仿宋"/>
          <w:color w:val="auto"/>
          <w:sz w:val="24"/>
          <w:szCs w:val="24"/>
        </w:rPr>
      </w:pPr>
    </w:p>
    <w:p w14:paraId="572BD22C">
      <w:pPr>
        <w:snapToGrid w:val="0"/>
        <w:ind w:firstLine="480" w:firstLineChars="200"/>
        <w:jc w:val="right"/>
        <w:rPr>
          <w:rFonts w:hint="eastAsia" w:ascii="仿宋" w:hAnsi="仿宋" w:eastAsia="仿宋" w:cs="仿宋"/>
          <w:color w:val="auto"/>
          <w:sz w:val="24"/>
          <w:szCs w:val="24"/>
        </w:rPr>
      </w:pPr>
      <w:r>
        <w:rPr>
          <w:rFonts w:hint="eastAsia" w:ascii="仿宋" w:hAnsi="仿宋" w:eastAsia="仿宋" w:cs="仿宋"/>
          <w:color w:val="auto"/>
          <w:sz w:val="24"/>
          <w:szCs w:val="24"/>
        </w:rPr>
        <w:t>报价单位名称（公章）：</w:t>
      </w:r>
    </w:p>
    <w:p w14:paraId="731F7B70">
      <w:pPr>
        <w:wordWrap w:val="0"/>
        <w:snapToGrid w:val="0"/>
        <w:ind w:firstLine="480" w:firstLineChars="200"/>
        <w:jc w:val="right"/>
        <w:rPr>
          <w:rFonts w:hint="eastAsia" w:ascii="仿宋" w:hAnsi="仿宋" w:eastAsia="仿宋" w:cs="仿宋"/>
          <w:sz w:val="24"/>
          <w:szCs w:val="24"/>
        </w:rPr>
        <w:sectPr>
          <w:pgSz w:w="11906" w:h="16838"/>
          <w:pgMar w:top="1701" w:right="1417" w:bottom="1134" w:left="1417" w:header="851" w:footer="992" w:gutter="0"/>
          <w:cols w:space="0" w:num="1"/>
          <w:rtlGutter w:val="0"/>
          <w:docGrid w:linePitch="312" w:charSpace="0"/>
        </w:sectPr>
      </w:pP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 xml:space="preserve">           </w:t>
      </w:r>
      <w:r>
        <w:rPr>
          <w:rFonts w:hint="default" w:ascii="仿宋" w:hAnsi="仿宋" w:eastAsia="仿宋" w:cs="仿宋"/>
          <w:color w:val="auto"/>
          <w:sz w:val="24"/>
          <w:szCs w:val="24"/>
          <w:lang w:val="en-US"/>
        </w:rPr>
        <w:t>202</w:t>
      </w:r>
      <w:r>
        <w:rPr>
          <w:rFonts w:hint="eastAsia" w:ascii="仿宋" w:hAnsi="仿宋" w:eastAsia="仿宋" w:cs="仿宋"/>
          <w:color w:val="auto"/>
          <w:sz w:val="24"/>
          <w:szCs w:val="24"/>
          <w:lang w:val="en-US" w:eastAsia="zh-CN"/>
        </w:rPr>
        <w:t>6</w:t>
      </w:r>
      <w:r>
        <w:rPr>
          <w:rFonts w:hint="default" w:ascii="仿宋" w:hAnsi="仿宋" w:eastAsia="仿宋" w:cs="仿宋"/>
          <w:color w:val="auto"/>
          <w:sz w:val="24"/>
          <w:szCs w:val="24"/>
          <w:lang w:val="en-US"/>
        </w:rPr>
        <w:t>年</w:t>
      </w:r>
      <w:r>
        <w:rPr>
          <w:rFonts w:hint="eastAsia" w:ascii="仿宋" w:hAnsi="仿宋" w:eastAsia="仿宋" w:cs="仿宋"/>
          <w:color w:val="auto"/>
          <w:sz w:val="24"/>
          <w:szCs w:val="24"/>
        </w:rPr>
        <w:t xml:space="preserve"> 月</w:t>
      </w:r>
      <w:r>
        <w:rPr>
          <w:rFonts w:hint="eastAsia" w:ascii="仿宋" w:hAnsi="仿宋" w:eastAsia="仿宋" w:cs="仿宋"/>
          <w:color w:val="auto"/>
          <w:sz w:val="24"/>
          <w:szCs w:val="24"/>
          <w:lang w:val="en-US" w:eastAsia="zh-CN"/>
        </w:rPr>
        <w:t xml:space="preserve"> 日</w:t>
      </w:r>
    </w:p>
    <w:p w14:paraId="67D1B629">
      <w:pPr>
        <w:spacing w:line="480" w:lineRule="auto"/>
        <w:jc w:val="left"/>
        <w:outlineLvl w:val="0"/>
        <w:rPr>
          <w:rFonts w:hint="eastAsia" w:ascii="仿宋" w:hAnsi="仿宋" w:eastAsia="仿宋" w:cs="仿宋"/>
          <w:b/>
          <w:spacing w:val="-2"/>
          <w:sz w:val="30"/>
        </w:rPr>
      </w:pPr>
      <w:bookmarkStart w:id="30" w:name="_Toc108839328"/>
      <w:bookmarkStart w:id="31" w:name="_Toc103165678"/>
      <w:bookmarkStart w:id="32" w:name="_Toc31613"/>
      <w:r>
        <w:rPr>
          <w:rStyle w:val="20"/>
          <w:rFonts w:hint="eastAsia" w:ascii="仿宋" w:hAnsi="仿宋" w:eastAsia="仿宋" w:cs="仿宋"/>
          <w:sz w:val="30"/>
        </w:rPr>
        <w:t>附件</w:t>
      </w:r>
      <w:bookmarkEnd w:id="30"/>
      <w:bookmarkEnd w:id="31"/>
      <w:r>
        <w:rPr>
          <w:rStyle w:val="20"/>
          <w:rFonts w:hint="eastAsia" w:ascii="仿宋" w:hAnsi="仿宋" w:eastAsia="仿宋" w:cs="仿宋"/>
          <w:sz w:val="30"/>
          <w:lang w:val="en-US"/>
        </w:rPr>
        <w:t>四：</w:t>
      </w:r>
      <w:bookmarkEnd w:id="32"/>
    </w:p>
    <w:p w14:paraId="03F47F1F">
      <w:pPr>
        <w:snapToGrid w:val="0"/>
        <w:ind w:firstLine="1926" w:firstLineChars="600"/>
        <w:jc w:val="left"/>
        <w:rPr>
          <w:rFonts w:hint="eastAsia" w:ascii="仿宋" w:hAnsi="仿宋" w:eastAsia="仿宋" w:cs="仿宋"/>
          <w:b/>
          <w:spacing w:val="40"/>
          <w:sz w:val="24"/>
          <w:szCs w:val="24"/>
        </w:rPr>
      </w:pPr>
    </w:p>
    <w:p w14:paraId="362D6DC5">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仿宋" w:hAnsi="仿宋" w:eastAsia="仿宋" w:cs="仿宋"/>
          <w:b/>
          <w:spacing w:val="40"/>
          <w:sz w:val="28"/>
          <w:szCs w:val="28"/>
        </w:rPr>
      </w:pPr>
      <w:r>
        <w:rPr>
          <w:rFonts w:hint="eastAsia" w:ascii="仿宋" w:hAnsi="仿宋" w:eastAsia="仿宋" w:cs="仿宋"/>
          <w:b/>
          <w:spacing w:val="40"/>
          <w:sz w:val="28"/>
          <w:szCs w:val="28"/>
        </w:rPr>
        <w:t>服务质量保证承诺函</w:t>
      </w:r>
    </w:p>
    <w:p w14:paraId="1BE16A76">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 w:hAnsi="仿宋" w:eastAsia="仿宋" w:cs="仿宋"/>
          <w:sz w:val="28"/>
          <w:szCs w:val="28"/>
        </w:rPr>
      </w:pPr>
      <w:r>
        <w:rPr>
          <w:rFonts w:hint="eastAsia" w:ascii="仿宋" w:hAnsi="仿宋" w:eastAsia="仿宋" w:cs="仿宋"/>
          <w:sz w:val="28"/>
          <w:szCs w:val="28"/>
          <w:lang w:eastAsia="zh-CN"/>
        </w:rPr>
        <w:t>绍兴市再生能源发展有限公司</w:t>
      </w:r>
      <w:r>
        <w:rPr>
          <w:rFonts w:hint="eastAsia" w:ascii="仿宋" w:hAnsi="仿宋" w:eastAsia="仿宋" w:cs="仿宋"/>
          <w:sz w:val="28"/>
          <w:szCs w:val="28"/>
        </w:rPr>
        <w:t>：</w:t>
      </w:r>
    </w:p>
    <w:p w14:paraId="102BD792">
      <w:pPr>
        <w:keepNext w:val="0"/>
        <w:keepLines w:val="0"/>
        <w:pageBreakBefore w:val="0"/>
        <w:widowControl w:val="0"/>
        <w:kinsoku/>
        <w:wordWrap/>
        <w:overflowPunct/>
        <w:topLinePunct w:val="0"/>
        <w:autoSpaceDE/>
        <w:autoSpaceDN/>
        <w:bidi w:val="0"/>
        <w:adjustRightInd/>
        <w:snapToGrid w:val="0"/>
        <w:spacing w:line="360" w:lineRule="auto"/>
        <w:ind w:firstLine="840" w:firstLineChars="300"/>
        <w:textAlignment w:val="auto"/>
        <w:rPr>
          <w:rFonts w:hint="eastAsia" w:ascii="仿宋" w:hAnsi="仿宋" w:eastAsia="仿宋" w:cs="仿宋"/>
          <w:sz w:val="28"/>
          <w:szCs w:val="28"/>
        </w:rPr>
      </w:pPr>
      <w:r>
        <w:rPr>
          <w:rFonts w:hint="eastAsia" w:ascii="仿宋" w:hAnsi="仿宋" w:eastAsia="仿宋" w:cs="仿宋"/>
          <w:sz w:val="28"/>
          <w:szCs w:val="28"/>
        </w:rPr>
        <w:t>我公司</w:t>
      </w:r>
      <w:r>
        <w:rPr>
          <w:rFonts w:hint="eastAsia" w:ascii="仿宋" w:hAnsi="仿宋" w:eastAsia="仿宋" w:cs="仿宋"/>
          <w:sz w:val="28"/>
          <w:szCs w:val="28"/>
          <w:u w:val="single"/>
        </w:rPr>
        <w:t xml:space="preserve">    （报价单位名称）    </w:t>
      </w:r>
      <w:r>
        <w:rPr>
          <w:rFonts w:hint="eastAsia" w:ascii="仿宋" w:hAnsi="仿宋" w:eastAsia="仿宋" w:cs="仿宋"/>
          <w:sz w:val="28"/>
          <w:szCs w:val="28"/>
        </w:rPr>
        <w:t>自愿参加</w:t>
      </w:r>
      <w:r>
        <w:rPr>
          <w:rFonts w:hint="eastAsia" w:ascii="仿宋" w:hAnsi="仿宋" w:eastAsia="仿宋" w:cs="仿宋"/>
          <w:sz w:val="28"/>
          <w:szCs w:val="28"/>
          <w:lang w:eastAsia="zh-CN"/>
        </w:rPr>
        <w:t>绍兴市再生能源发展有限公司</w:t>
      </w:r>
      <w:r>
        <w:rPr>
          <w:rFonts w:hint="eastAsia" w:ascii="仿宋" w:hAnsi="仿宋" w:eastAsia="仿宋" w:cs="仿宋"/>
          <w:sz w:val="28"/>
          <w:szCs w:val="28"/>
          <w:u w:val="single"/>
          <w:lang w:val="en-US" w:eastAsia="zh-CN"/>
        </w:rPr>
        <w:t>雾化器年度保养项目</w:t>
      </w:r>
      <w:r>
        <w:rPr>
          <w:rFonts w:hint="eastAsia" w:ascii="仿宋" w:hAnsi="仿宋" w:eastAsia="仿宋" w:cs="仿宋"/>
          <w:sz w:val="28"/>
          <w:szCs w:val="28"/>
        </w:rPr>
        <w:t>询价采购，并</w:t>
      </w:r>
      <w:r>
        <w:rPr>
          <w:rFonts w:hint="eastAsia" w:ascii="仿宋" w:hAnsi="仿宋" w:eastAsia="仿宋" w:cs="仿宋"/>
          <w:sz w:val="28"/>
          <w:szCs w:val="28"/>
          <w:lang w:eastAsia="zh-CN"/>
        </w:rPr>
        <w:t>作如下承诺</w:t>
      </w:r>
      <w:r>
        <w:rPr>
          <w:rFonts w:hint="eastAsia" w:ascii="仿宋" w:hAnsi="仿宋" w:eastAsia="仿宋" w:cs="仿宋"/>
          <w:sz w:val="28"/>
          <w:szCs w:val="28"/>
        </w:rPr>
        <w:t>：</w:t>
      </w:r>
    </w:p>
    <w:p w14:paraId="1E47345B">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560" w:leftChars="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1.</w:t>
      </w:r>
      <w:r>
        <w:rPr>
          <w:rFonts w:hint="eastAsia" w:ascii="仿宋" w:hAnsi="仿宋" w:eastAsia="仿宋" w:cs="仿宋"/>
          <w:sz w:val="28"/>
          <w:szCs w:val="28"/>
        </w:rPr>
        <w:t>我公司所供产品均为原厂生产或正规销售渠道进货。</w:t>
      </w:r>
    </w:p>
    <w:p w14:paraId="795A59DF">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leftChars="0"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2.我公司所供产品如果存在以次充好、陈货杂货、虚假生产日期、逾期供货等情况，愿意承担一切法律责任。</w:t>
      </w:r>
    </w:p>
    <w:p w14:paraId="6C004775">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3.我公司所供产品如果存在任何外包装或内物破损、产品过期等情况，承诺24小时内提供替换产品。</w:t>
      </w:r>
    </w:p>
    <w:p w14:paraId="0CCCDE63">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4.我公司保证提供采购人要求的全部产品，若提供的产品和采购人要求的不一致，我公司保证于3日内提供生产厂家证明及市场调查证明，说明所提供货物优于采购人要求。若采购人不同意，则我公司愿意承担相关违约责任。</w:t>
      </w:r>
    </w:p>
    <w:p w14:paraId="402F9AC5">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5.我公司对提供的产品进行质量保证，若因我公司产品质量问题，造成贵公司损失的，我公司承担相应责任。</w:t>
      </w:r>
    </w:p>
    <w:p w14:paraId="22AD9E39">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 w:hAnsi="仿宋" w:eastAsia="仿宋" w:cs="仿宋"/>
          <w:sz w:val="28"/>
          <w:szCs w:val="28"/>
        </w:rPr>
      </w:pPr>
    </w:p>
    <w:p w14:paraId="7171E027">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 w:hAnsi="仿宋" w:eastAsia="仿宋" w:cs="仿宋"/>
          <w:sz w:val="28"/>
          <w:szCs w:val="28"/>
        </w:rPr>
      </w:pPr>
    </w:p>
    <w:p w14:paraId="69206E5F">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 w:hAnsi="仿宋" w:eastAsia="仿宋" w:cs="仿宋"/>
          <w:sz w:val="28"/>
          <w:szCs w:val="28"/>
        </w:rPr>
      </w:pPr>
    </w:p>
    <w:p w14:paraId="46831797">
      <w:pPr>
        <w:keepNext w:val="0"/>
        <w:keepLines w:val="0"/>
        <w:pageBreakBefore w:val="0"/>
        <w:widowControl w:val="0"/>
        <w:kinsoku/>
        <w:wordWrap/>
        <w:overflowPunct/>
        <w:topLinePunct w:val="0"/>
        <w:autoSpaceDE/>
        <w:autoSpaceDN/>
        <w:bidi w:val="0"/>
        <w:adjustRightInd/>
        <w:snapToGrid w:val="0"/>
        <w:spacing w:line="360" w:lineRule="auto"/>
        <w:ind w:firstLine="3360" w:firstLineChars="1200"/>
        <w:textAlignment w:val="auto"/>
        <w:rPr>
          <w:rFonts w:hint="eastAsia" w:ascii="仿宋" w:hAnsi="仿宋" w:eastAsia="仿宋" w:cs="仿宋"/>
          <w:sz w:val="28"/>
          <w:szCs w:val="28"/>
        </w:rPr>
      </w:pPr>
      <w:r>
        <w:rPr>
          <w:rFonts w:hint="eastAsia" w:ascii="仿宋" w:hAnsi="仿宋" w:eastAsia="仿宋" w:cs="仿宋"/>
          <w:sz w:val="28"/>
          <w:szCs w:val="28"/>
        </w:rPr>
        <w:t>报价单位名称（公章）：</w:t>
      </w:r>
    </w:p>
    <w:p w14:paraId="4701BAE1">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 w:hAnsi="仿宋" w:eastAsia="仿宋" w:cs="仿宋"/>
          <w:sz w:val="28"/>
          <w:szCs w:val="28"/>
        </w:rPr>
      </w:pP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lang w:eastAsia="zh-CN"/>
        </w:rPr>
        <w:t>二〇二六</w:t>
      </w:r>
      <w:r>
        <w:rPr>
          <w:rFonts w:hint="eastAsia" w:ascii="仿宋" w:hAnsi="仿宋" w:eastAsia="仿宋" w:cs="仿宋"/>
          <w:sz w:val="28"/>
          <w:szCs w:val="28"/>
        </w:rPr>
        <w:t>年</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月</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日</w:t>
      </w:r>
    </w:p>
    <w:p w14:paraId="56D22D2D">
      <w:pPr>
        <w:keepNext w:val="0"/>
        <w:keepLines w:val="0"/>
        <w:pageBreakBefore w:val="0"/>
        <w:widowControl w:val="0"/>
        <w:kinsoku/>
        <w:wordWrap/>
        <w:overflowPunct/>
        <w:topLinePunct w:val="0"/>
        <w:autoSpaceDE/>
        <w:autoSpaceDN/>
        <w:bidi w:val="0"/>
        <w:adjustRightInd/>
        <w:spacing w:line="360" w:lineRule="auto"/>
        <w:textAlignment w:val="auto"/>
        <w:rPr>
          <w:rFonts w:hint="eastAsia" w:ascii="仿宋" w:hAnsi="仿宋" w:eastAsia="仿宋" w:cs="仿宋"/>
          <w:sz w:val="28"/>
          <w:szCs w:val="28"/>
        </w:rPr>
      </w:pPr>
    </w:p>
    <w:p w14:paraId="3A121E3B">
      <w:pPr>
        <w:pStyle w:val="11"/>
        <w:ind w:left="0" w:leftChars="0" w:firstLine="0" w:firstLineChars="0"/>
        <w:rPr>
          <w:rFonts w:hint="eastAsia"/>
        </w:rPr>
      </w:pPr>
    </w:p>
    <w:sectPr>
      <w:pgSz w:w="11906" w:h="16838"/>
      <w:pgMar w:top="1701" w:right="1418" w:bottom="1134" w:left="1418"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80C772">
    <w:pPr>
      <w:pStyle w:val="7"/>
      <w:framePr w:wrap="around" w:vAnchor="text" w:hAnchor="margin" w:xAlign="center" w:y="1"/>
      <w:rPr>
        <w:rStyle w:val="16"/>
      </w:rPr>
    </w:pPr>
    <w:r>
      <w:fldChar w:fldCharType="begin"/>
    </w:r>
    <w:r>
      <w:rPr>
        <w:rStyle w:val="16"/>
      </w:rPr>
      <w:instrText xml:space="preserve">PAGE  </w:instrText>
    </w:r>
    <w:r>
      <w:fldChar w:fldCharType="separate"/>
    </w:r>
    <w:r>
      <w:rPr>
        <w:rStyle w:val="16"/>
      </w:rPr>
      <w:t>10</w:t>
    </w:r>
    <w:r>
      <w:fldChar w:fldCharType="end"/>
    </w:r>
  </w:p>
  <w:p w14:paraId="2E77B0A4">
    <w:pPr>
      <w:pStyle w:val="7"/>
      <w:jc w:val="right"/>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B39A8A5"/>
    <w:multiLevelType w:val="singleLevel"/>
    <w:tmpl w:val="BB39A8A5"/>
    <w:lvl w:ilvl="0" w:tentative="0">
      <w:start w:val="4"/>
      <w:numFmt w:val="chineseCounting"/>
      <w:suff w:val="space"/>
      <w:lvlText w:val="第%1部分"/>
      <w:lvlJc w:val="left"/>
      <w:pPr>
        <w:ind w:left="840"/>
      </w:pPr>
      <w:rPr>
        <w:rFonts w:hint="eastAsia"/>
      </w:rPr>
    </w:lvl>
  </w:abstractNum>
  <w:abstractNum w:abstractNumId="1">
    <w:nsid w:val="D01FB8EF"/>
    <w:multiLevelType w:val="singleLevel"/>
    <w:tmpl w:val="D01FB8EF"/>
    <w:lvl w:ilvl="0" w:tentative="0">
      <w:start w:val="1"/>
      <w:numFmt w:val="decimal"/>
      <w:suff w:val="nothing"/>
      <w:lvlText w:val="%1"/>
      <w:lvlJc w:val="left"/>
      <w:pPr>
        <w:ind w:left="635" w:leftChars="0" w:hanging="425" w:firstLineChars="0"/>
      </w:pPr>
      <w:rPr>
        <w:rFonts w:hint="default"/>
      </w:rPr>
    </w:lvl>
  </w:abstractNum>
  <w:abstractNum w:abstractNumId="2">
    <w:nsid w:val="E081007B"/>
    <w:multiLevelType w:val="singleLevel"/>
    <w:tmpl w:val="E081007B"/>
    <w:lvl w:ilvl="0" w:tentative="0">
      <w:start w:val="5"/>
      <w:numFmt w:val="decimal"/>
      <w:lvlText w:val="(%1)"/>
      <w:lvlJc w:val="left"/>
      <w:pPr>
        <w:tabs>
          <w:tab w:val="left" w:pos="312"/>
        </w:tabs>
      </w:pPr>
    </w:lvl>
  </w:abstractNum>
  <w:abstractNum w:abstractNumId="3">
    <w:nsid w:val="00000020"/>
    <w:multiLevelType w:val="multilevel"/>
    <w:tmpl w:val="00000020"/>
    <w:lvl w:ilvl="0" w:tentative="0">
      <w:start w:val="1"/>
      <w:numFmt w:val="decimal"/>
      <w:pStyle w:val="2"/>
      <w:isLgl/>
      <w:lvlText w:val="%1."/>
      <w:lvlJc w:val="left"/>
      <w:pPr>
        <w:tabs>
          <w:tab w:val="left" w:pos="360"/>
        </w:tabs>
        <w:ind w:left="0" w:firstLine="0"/>
      </w:pPr>
      <w:rPr>
        <w:rFonts w:hint="default" w:ascii="Arial" w:hAnsi="Arial"/>
        <w:b/>
        <w:i w:val="0"/>
        <w:sz w:val="32"/>
      </w:rPr>
    </w:lvl>
    <w:lvl w:ilvl="1" w:tentative="0">
      <w:start w:val="1"/>
      <w:numFmt w:val="decimal"/>
      <w:lvlText w:val="%1.%2."/>
      <w:lvlJc w:val="left"/>
      <w:pPr>
        <w:tabs>
          <w:tab w:val="left" w:pos="720"/>
        </w:tabs>
        <w:ind w:left="567" w:hanging="567"/>
      </w:pPr>
      <w:rPr>
        <w:rFonts w:hint="eastAsia"/>
      </w:rPr>
    </w:lvl>
    <w:lvl w:ilvl="2" w:tentative="0">
      <w:start w:val="1"/>
      <w:numFmt w:val="decimal"/>
      <w:lvlText w:val="%1.%2.%3."/>
      <w:lvlJc w:val="left"/>
      <w:pPr>
        <w:tabs>
          <w:tab w:val="left" w:pos="1429"/>
        </w:tabs>
        <w:ind w:left="142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4">
    <w:nsid w:val="05AF6242"/>
    <w:multiLevelType w:val="singleLevel"/>
    <w:tmpl w:val="05AF6242"/>
    <w:lvl w:ilvl="0" w:tentative="0">
      <w:start w:val="5"/>
      <w:numFmt w:val="chineseCounting"/>
      <w:suff w:val="space"/>
      <w:lvlText w:val="第%1条"/>
      <w:lvlJc w:val="left"/>
      <w:rPr>
        <w:rFonts w:hint="eastAsia"/>
      </w:rPr>
    </w:lvl>
  </w:abstractNum>
  <w:abstractNum w:abstractNumId="5">
    <w:nsid w:val="2D8F1456"/>
    <w:multiLevelType w:val="singleLevel"/>
    <w:tmpl w:val="2D8F1456"/>
    <w:lvl w:ilvl="0" w:tentative="0">
      <w:start w:val="1"/>
      <w:numFmt w:val="decimal"/>
      <w:suff w:val="nothing"/>
      <w:lvlText w:val="%1"/>
      <w:lvlJc w:val="left"/>
      <w:pPr>
        <w:ind w:left="635" w:leftChars="0" w:hanging="425" w:firstLineChars="0"/>
      </w:pPr>
      <w:rPr>
        <w:rFonts w:hint="default"/>
      </w:rPr>
    </w:lvl>
  </w:abstractNum>
  <w:abstractNum w:abstractNumId="6">
    <w:nsid w:val="4CC8527C"/>
    <w:multiLevelType w:val="singleLevel"/>
    <w:tmpl w:val="4CC8527C"/>
    <w:lvl w:ilvl="0" w:tentative="0">
      <w:start w:val="6"/>
      <w:numFmt w:val="chineseCounting"/>
      <w:suff w:val="nothing"/>
      <w:lvlText w:val="%1、"/>
      <w:lvlJc w:val="left"/>
      <w:rPr>
        <w:rFonts w:hint="eastAsia"/>
      </w:rPr>
    </w:lvl>
  </w:abstractNum>
  <w:num w:numId="1">
    <w:abstractNumId w:val="3"/>
  </w:num>
  <w:num w:numId="2">
    <w:abstractNumId w:val="2"/>
  </w:num>
  <w:num w:numId="3">
    <w:abstractNumId w:val="6"/>
  </w:num>
  <w:num w:numId="4">
    <w:abstractNumId w:val="0"/>
  </w:num>
  <w:num w:numId="5">
    <w:abstractNumId w:val="4"/>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VkNzExMmNlZTllZmYzYjIzZDNlN2M3MDhjZjk3N2IifQ=="/>
  </w:docVars>
  <w:rsids>
    <w:rsidRoot w:val="1297576D"/>
    <w:rsid w:val="000A2454"/>
    <w:rsid w:val="0029396E"/>
    <w:rsid w:val="003A657B"/>
    <w:rsid w:val="003D1171"/>
    <w:rsid w:val="004B4DC0"/>
    <w:rsid w:val="00517D5D"/>
    <w:rsid w:val="005926A3"/>
    <w:rsid w:val="008746A5"/>
    <w:rsid w:val="00B574EC"/>
    <w:rsid w:val="01D22213"/>
    <w:rsid w:val="027B64C4"/>
    <w:rsid w:val="02834D04"/>
    <w:rsid w:val="038D5656"/>
    <w:rsid w:val="04464BDF"/>
    <w:rsid w:val="04605697"/>
    <w:rsid w:val="05D22118"/>
    <w:rsid w:val="05EC05B3"/>
    <w:rsid w:val="06057AB3"/>
    <w:rsid w:val="067A3460"/>
    <w:rsid w:val="072764AD"/>
    <w:rsid w:val="076328DA"/>
    <w:rsid w:val="08186607"/>
    <w:rsid w:val="08323D9B"/>
    <w:rsid w:val="083A3947"/>
    <w:rsid w:val="08F93082"/>
    <w:rsid w:val="097479E0"/>
    <w:rsid w:val="0A0C6ADD"/>
    <w:rsid w:val="0A32752C"/>
    <w:rsid w:val="0A9D29B8"/>
    <w:rsid w:val="0B237EC8"/>
    <w:rsid w:val="0B2C6C02"/>
    <w:rsid w:val="0BC12699"/>
    <w:rsid w:val="0BCC31F9"/>
    <w:rsid w:val="0C5A16A4"/>
    <w:rsid w:val="0DC35837"/>
    <w:rsid w:val="0DE61498"/>
    <w:rsid w:val="0ED22627"/>
    <w:rsid w:val="0FB065F6"/>
    <w:rsid w:val="0FF5036F"/>
    <w:rsid w:val="10867335"/>
    <w:rsid w:val="110C39D4"/>
    <w:rsid w:val="11C0596A"/>
    <w:rsid w:val="1297576D"/>
    <w:rsid w:val="12BF4C87"/>
    <w:rsid w:val="12E70A09"/>
    <w:rsid w:val="13EF6128"/>
    <w:rsid w:val="15341747"/>
    <w:rsid w:val="163F0F8C"/>
    <w:rsid w:val="164F6705"/>
    <w:rsid w:val="16646293"/>
    <w:rsid w:val="16FE5921"/>
    <w:rsid w:val="17507F90"/>
    <w:rsid w:val="17B042A1"/>
    <w:rsid w:val="18B21538"/>
    <w:rsid w:val="18C93F2F"/>
    <w:rsid w:val="1A2B7D96"/>
    <w:rsid w:val="1B25743C"/>
    <w:rsid w:val="1BD33B78"/>
    <w:rsid w:val="1BEC2FB3"/>
    <w:rsid w:val="1C540D8D"/>
    <w:rsid w:val="1CDA4664"/>
    <w:rsid w:val="1CE262BC"/>
    <w:rsid w:val="1D6D770B"/>
    <w:rsid w:val="1DC36A6E"/>
    <w:rsid w:val="1E1A21EF"/>
    <w:rsid w:val="1E3F6A26"/>
    <w:rsid w:val="1EC02DEE"/>
    <w:rsid w:val="203B090D"/>
    <w:rsid w:val="20917F17"/>
    <w:rsid w:val="20B91875"/>
    <w:rsid w:val="21135480"/>
    <w:rsid w:val="212C3971"/>
    <w:rsid w:val="214D7086"/>
    <w:rsid w:val="21BA7E4E"/>
    <w:rsid w:val="21F8155D"/>
    <w:rsid w:val="2237459C"/>
    <w:rsid w:val="22D16AB7"/>
    <w:rsid w:val="22DF5956"/>
    <w:rsid w:val="22ED7F5E"/>
    <w:rsid w:val="231F50B3"/>
    <w:rsid w:val="24130D0C"/>
    <w:rsid w:val="24511F52"/>
    <w:rsid w:val="247A3733"/>
    <w:rsid w:val="24937D46"/>
    <w:rsid w:val="24CD5814"/>
    <w:rsid w:val="252A6318"/>
    <w:rsid w:val="259E2C64"/>
    <w:rsid w:val="260706AD"/>
    <w:rsid w:val="2685028B"/>
    <w:rsid w:val="26F76768"/>
    <w:rsid w:val="27AC61A6"/>
    <w:rsid w:val="27FE02E6"/>
    <w:rsid w:val="281F51A8"/>
    <w:rsid w:val="28C57566"/>
    <w:rsid w:val="28C820B6"/>
    <w:rsid w:val="29084622"/>
    <w:rsid w:val="291D4CB4"/>
    <w:rsid w:val="29F704EF"/>
    <w:rsid w:val="2AC220DE"/>
    <w:rsid w:val="2ADB5E21"/>
    <w:rsid w:val="2ADF08BA"/>
    <w:rsid w:val="2B603075"/>
    <w:rsid w:val="2C305EB2"/>
    <w:rsid w:val="2C547C73"/>
    <w:rsid w:val="2CD9238D"/>
    <w:rsid w:val="2CF24E09"/>
    <w:rsid w:val="2E003054"/>
    <w:rsid w:val="2E012585"/>
    <w:rsid w:val="2EB2531B"/>
    <w:rsid w:val="2F28513F"/>
    <w:rsid w:val="2F3D045F"/>
    <w:rsid w:val="2F6F3EAC"/>
    <w:rsid w:val="2F7D3F84"/>
    <w:rsid w:val="2F844FB7"/>
    <w:rsid w:val="30030652"/>
    <w:rsid w:val="30256074"/>
    <w:rsid w:val="302C4175"/>
    <w:rsid w:val="304A1F48"/>
    <w:rsid w:val="31713FF6"/>
    <w:rsid w:val="32B04D2F"/>
    <w:rsid w:val="33862CBD"/>
    <w:rsid w:val="338F6EF0"/>
    <w:rsid w:val="3393544D"/>
    <w:rsid w:val="33A35EAC"/>
    <w:rsid w:val="33B307B0"/>
    <w:rsid w:val="345077FD"/>
    <w:rsid w:val="3464504B"/>
    <w:rsid w:val="34E00D83"/>
    <w:rsid w:val="34E40873"/>
    <w:rsid w:val="36216F0D"/>
    <w:rsid w:val="36316A75"/>
    <w:rsid w:val="36C14165"/>
    <w:rsid w:val="36ED02B2"/>
    <w:rsid w:val="37DB73A7"/>
    <w:rsid w:val="37E312B6"/>
    <w:rsid w:val="388B03FA"/>
    <w:rsid w:val="389450EA"/>
    <w:rsid w:val="389D7311"/>
    <w:rsid w:val="39653A2A"/>
    <w:rsid w:val="398E418A"/>
    <w:rsid w:val="3996009B"/>
    <w:rsid w:val="3997709B"/>
    <w:rsid w:val="39A55AE7"/>
    <w:rsid w:val="39BB1265"/>
    <w:rsid w:val="3A351BE0"/>
    <w:rsid w:val="3AFB2B32"/>
    <w:rsid w:val="3B0953A4"/>
    <w:rsid w:val="3C0B0C04"/>
    <w:rsid w:val="3C302F1C"/>
    <w:rsid w:val="3C8719BD"/>
    <w:rsid w:val="3CE46170"/>
    <w:rsid w:val="3D431CCA"/>
    <w:rsid w:val="3D7933CA"/>
    <w:rsid w:val="3DA70031"/>
    <w:rsid w:val="3DAC3CC7"/>
    <w:rsid w:val="3DE801D2"/>
    <w:rsid w:val="3E16524F"/>
    <w:rsid w:val="3EA30F9B"/>
    <w:rsid w:val="3EEE03E1"/>
    <w:rsid w:val="3F2D02B4"/>
    <w:rsid w:val="3F7C50B1"/>
    <w:rsid w:val="40543C97"/>
    <w:rsid w:val="406B2371"/>
    <w:rsid w:val="407E15A7"/>
    <w:rsid w:val="408548B8"/>
    <w:rsid w:val="40AA3B81"/>
    <w:rsid w:val="411C5733"/>
    <w:rsid w:val="417112FA"/>
    <w:rsid w:val="41D30314"/>
    <w:rsid w:val="42446B53"/>
    <w:rsid w:val="42D57A4D"/>
    <w:rsid w:val="436A096E"/>
    <w:rsid w:val="440E68FF"/>
    <w:rsid w:val="44544A76"/>
    <w:rsid w:val="449544C5"/>
    <w:rsid w:val="44A55070"/>
    <w:rsid w:val="45225AF9"/>
    <w:rsid w:val="45530393"/>
    <w:rsid w:val="45750E93"/>
    <w:rsid w:val="45B93083"/>
    <w:rsid w:val="469F7AF8"/>
    <w:rsid w:val="475812CD"/>
    <w:rsid w:val="475D1115"/>
    <w:rsid w:val="478F3581"/>
    <w:rsid w:val="47B14FA6"/>
    <w:rsid w:val="47B96D86"/>
    <w:rsid w:val="47D615F1"/>
    <w:rsid w:val="47D93555"/>
    <w:rsid w:val="48034DA7"/>
    <w:rsid w:val="486F4BB5"/>
    <w:rsid w:val="48A60514"/>
    <w:rsid w:val="48DA768F"/>
    <w:rsid w:val="48E14418"/>
    <w:rsid w:val="48FB790A"/>
    <w:rsid w:val="491635D4"/>
    <w:rsid w:val="492A0748"/>
    <w:rsid w:val="49E7480F"/>
    <w:rsid w:val="4A3A7820"/>
    <w:rsid w:val="4AD02EB9"/>
    <w:rsid w:val="4AD818E7"/>
    <w:rsid w:val="4AF173EE"/>
    <w:rsid w:val="4BEA681C"/>
    <w:rsid w:val="4C2F1B9C"/>
    <w:rsid w:val="4C870D35"/>
    <w:rsid w:val="4D2832EB"/>
    <w:rsid w:val="4DB81983"/>
    <w:rsid w:val="4DF66F25"/>
    <w:rsid w:val="4E376DB9"/>
    <w:rsid w:val="4E716394"/>
    <w:rsid w:val="4ECC39F8"/>
    <w:rsid w:val="4F0A3ECF"/>
    <w:rsid w:val="4F595384"/>
    <w:rsid w:val="4F7F3CCA"/>
    <w:rsid w:val="4FF502AE"/>
    <w:rsid w:val="502844C8"/>
    <w:rsid w:val="51D845E4"/>
    <w:rsid w:val="52341DDD"/>
    <w:rsid w:val="523A017B"/>
    <w:rsid w:val="531111FC"/>
    <w:rsid w:val="532D4FC8"/>
    <w:rsid w:val="533444FB"/>
    <w:rsid w:val="536F3BBC"/>
    <w:rsid w:val="55C54FE9"/>
    <w:rsid w:val="55DB4F23"/>
    <w:rsid w:val="55E07717"/>
    <w:rsid w:val="56397366"/>
    <w:rsid w:val="58080247"/>
    <w:rsid w:val="594A0658"/>
    <w:rsid w:val="5950112B"/>
    <w:rsid w:val="597E7D7A"/>
    <w:rsid w:val="59C3293C"/>
    <w:rsid w:val="5A1C766A"/>
    <w:rsid w:val="5A363A8E"/>
    <w:rsid w:val="5CF528AB"/>
    <w:rsid w:val="5D132301"/>
    <w:rsid w:val="5EAF5616"/>
    <w:rsid w:val="5EF258CA"/>
    <w:rsid w:val="5F1E1E73"/>
    <w:rsid w:val="606D4916"/>
    <w:rsid w:val="607E64E9"/>
    <w:rsid w:val="612A3DEE"/>
    <w:rsid w:val="61993E05"/>
    <w:rsid w:val="62B67083"/>
    <w:rsid w:val="63132229"/>
    <w:rsid w:val="63C07045"/>
    <w:rsid w:val="63D01793"/>
    <w:rsid w:val="649C599A"/>
    <w:rsid w:val="651B0FEE"/>
    <w:rsid w:val="65305229"/>
    <w:rsid w:val="662D7F1B"/>
    <w:rsid w:val="666E2F33"/>
    <w:rsid w:val="66B027B6"/>
    <w:rsid w:val="671A2875"/>
    <w:rsid w:val="67966EFB"/>
    <w:rsid w:val="67B628F5"/>
    <w:rsid w:val="682119CD"/>
    <w:rsid w:val="69A94E0C"/>
    <w:rsid w:val="6A1A0E79"/>
    <w:rsid w:val="6A2F770C"/>
    <w:rsid w:val="6A5C5429"/>
    <w:rsid w:val="6B10403F"/>
    <w:rsid w:val="6B144D07"/>
    <w:rsid w:val="6B656B47"/>
    <w:rsid w:val="6B7E1643"/>
    <w:rsid w:val="6C714475"/>
    <w:rsid w:val="6CDB032D"/>
    <w:rsid w:val="6DBD736C"/>
    <w:rsid w:val="6DF45A5A"/>
    <w:rsid w:val="6E160DB8"/>
    <w:rsid w:val="6E5526FF"/>
    <w:rsid w:val="6F2B1820"/>
    <w:rsid w:val="6F2E0DB9"/>
    <w:rsid w:val="6F412F7A"/>
    <w:rsid w:val="6FD1108A"/>
    <w:rsid w:val="707E74C2"/>
    <w:rsid w:val="710D0440"/>
    <w:rsid w:val="716B6D0A"/>
    <w:rsid w:val="71C5585F"/>
    <w:rsid w:val="7207789C"/>
    <w:rsid w:val="720E79AF"/>
    <w:rsid w:val="73A1381E"/>
    <w:rsid w:val="7459468D"/>
    <w:rsid w:val="749131D7"/>
    <w:rsid w:val="755B4E27"/>
    <w:rsid w:val="756F240E"/>
    <w:rsid w:val="767955ED"/>
    <w:rsid w:val="768B4404"/>
    <w:rsid w:val="779817DA"/>
    <w:rsid w:val="77A5282B"/>
    <w:rsid w:val="77D476E8"/>
    <w:rsid w:val="77EA1879"/>
    <w:rsid w:val="782A7918"/>
    <w:rsid w:val="78AC2A23"/>
    <w:rsid w:val="79715756"/>
    <w:rsid w:val="7A500C84"/>
    <w:rsid w:val="7A7B08FF"/>
    <w:rsid w:val="7AA165B7"/>
    <w:rsid w:val="7AE21E9E"/>
    <w:rsid w:val="7B09318D"/>
    <w:rsid w:val="7B6004E6"/>
    <w:rsid w:val="7BE14791"/>
    <w:rsid w:val="7C060CDC"/>
    <w:rsid w:val="7C15025C"/>
    <w:rsid w:val="7C4C470C"/>
    <w:rsid w:val="7CD03426"/>
    <w:rsid w:val="7CD16F56"/>
    <w:rsid w:val="7D976608"/>
    <w:rsid w:val="7DFA5FDE"/>
    <w:rsid w:val="7E0B3994"/>
    <w:rsid w:val="7ED53627"/>
    <w:rsid w:val="7F1226AB"/>
    <w:rsid w:val="7F5B6E61"/>
    <w:rsid w:val="7FEF656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35"/>
    <w:autoRedefine/>
    <w:qFormat/>
    <w:uiPriority w:val="0"/>
    <w:pPr>
      <w:keepNext/>
      <w:keepLines/>
      <w:numPr>
        <w:ilvl w:val="0"/>
        <w:numId w:val="1"/>
      </w:numPr>
      <w:autoSpaceDE w:val="0"/>
      <w:autoSpaceDN w:val="0"/>
      <w:adjustRightInd w:val="0"/>
      <w:spacing w:before="340" w:after="330" w:line="360" w:lineRule="auto"/>
      <w:jc w:val="left"/>
      <w:textAlignment w:val="baseline"/>
      <w:outlineLvl w:val="0"/>
    </w:pPr>
    <w:rPr>
      <w:rFonts w:ascii="宋体" w:hAnsi="Arial" w:eastAsia="黑体"/>
      <w:b/>
      <w:color w:val="000000"/>
      <w:kern w:val="44"/>
      <w:sz w:val="36"/>
    </w:rPr>
  </w:style>
  <w:style w:type="character" w:default="1" w:styleId="15">
    <w:name w:val="Default Paragraph Font"/>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3">
    <w:name w:val="annotation text"/>
    <w:basedOn w:val="1"/>
    <w:autoRedefine/>
    <w:qFormat/>
    <w:uiPriority w:val="0"/>
    <w:pPr>
      <w:jc w:val="left"/>
    </w:pPr>
  </w:style>
  <w:style w:type="paragraph" w:styleId="4">
    <w:name w:val="Body Text"/>
    <w:basedOn w:val="1"/>
    <w:next w:val="1"/>
    <w:autoRedefine/>
    <w:qFormat/>
    <w:uiPriority w:val="1"/>
    <w:pPr>
      <w:spacing w:after="120" w:afterLines="0"/>
    </w:pPr>
  </w:style>
  <w:style w:type="paragraph" w:styleId="5">
    <w:name w:val="Body Text Indent"/>
    <w:basedOn w:val="1"/>
    <w:autoRedefine/>
    <w:qFormat/>
    <w:uiPriority w:val="0"/>
    <w:pPr>
      <w:spacing w:line="480" w:lineRule="auto"/>
      <w:ind w:firstLine="600"/>
    </w:pPr>
    <w:rPr>
      <w:sz w:val="28"/>
    </w:rPr>
  </w:style>
  <w:style w:type="paragraph" w:styleId="6">
    <w:name w:val="Balloon Text"/>
    <w:basedOn w:val="1"/>
    <w:link w:val="24"/>
    <w:autoRedefine/>
    <w:qFormat/>
    <w:uiPriority w:val="0"/>
    <w:rPr>
      <w:sz w:val="18"/>
      <w:szCs w:val="18"/>
    </w:rPr>
  </w:style>
  <w:style w:type="paragraph" w:styleId="7">
    <w:name w:val="footer"/>
    <w:basedOn w:val="1"/>
    <w:autoRedefine/>
    <w:qFormat/>
    <w:uiPriority w:val="0"/>
    <w:pPr>
      <w:tabs>
        <w:tab w:val="center" w:pos="4153"/>
        <w:tab w:val="right" w:pos="8306"/>
      </w:tabs>
      <w:snapToGrid w:val="0"/>
      <w:jc w:val="left"/>
    </w:pPr>
    <w:rPr>
      <w:sz w:val="18"/>
    </w:rPr>
  </w:style>
  <w:style w:type="paragraph" w:styleId="8">
    <w:name w:val="header"/>
    <w:basedOn w:val="1"/>
    <w:link w:val="23"/>
    <w:autoRedefine/>
    <w:qFormat/>
    <w:uiPriority w:val="0"/>
    <w:pPr>
      <w:pBdr>
        <w:bottom w:val="single" w:color="auto" w:sz="6" w:space="1"/>
      </w:pBdr>
      <w:tabs>
        <w:tab w:val="center" w:pos="4153"/>
        <w:tab w:val="right" w:pos="8306"/>
      </w:tabs>
      <w:snapToGrid w:val="0"/>
      <w:jc w:val="center"/>
    </w:pPr>
    <w:rPr>
      <w:sz w:val="18"/>
      <w:szCs w:val="18"/>
    </w:rPr>
  </w:style>
  <w:style w:type="paragraph" w:styleId="9">
    <w:name w:val="toc 1"/>
    <w:basedOn w:val="1"/>
    <w:next w:val="1"/>
    <w:autoRedefine/>
    <w:qFormat/>
    <w:uiPriority w:val="39"/>
    <w:pPr>
      <w:jc w:val="left"/>
    </w:pPr>
    <w:rPr>
      <w:b/>
      <w:caps/>
    </w:rPr>
  </w:style>
  <w:style w:type="paragraph" w:styleId="10">
    <w:name w:val="Title"/>
    <w:basedOn w:val="1"/>
    <w:autoRedefine/>
    <w:qFormat/>
    <w:uiPriority w:val="0"/>
    <w:pPr>
      <w:widowControl/>
      <w:overflowPunct w:val="0"/>
      <w:autoSpaceDE w:val="0"/>
      <w:autoSpaceDN w:val="0"/>
      <w:adjustRightInd w:val="0"/>
      <w:jc w:val="center"/>
      <w:textAlignment w:val="baseline"/>
    </w:pPr>
    <w:rPr>
      <w:b/>
      <w:kern w:val="0"/>
      <w:sz w:val="44"/>
      <w:lang w:val="en-GB"/>
    </w:rPr>
  </w:style>
  <w:style w:type="paragraph" w:styleId="11">
    <w:name w:val="Body Text First Indent"/>
    <w:basedOn w:val="4"/>
    <w:next w:val="1"/>
    <w:autoRedefine/>
    <w:qFormat/>
    <w:uiPriority w:val="99"/>
    <w:pPr>
      <w:widowControl/>
      <w:spacing w:after="120" w:afterLines="0" w:line="240" w:lineRule="auto"/>
      <w:ind w:firstLine="420" w:firstLineChars="100"/>
      <w:jc w:val="left"/>
    </w:pPr>
    <w:rPr>
      <w:rFonts w:ascii="Times New Roman" w:eastAsia="宋体"/>
      <w:kern w:val="0"/>
      <w:sz w:val="21"/>
    </w:rPr>
  </w:style>
  <w:style w:type="paragraph" w:styleId="12">
    <w:name w:val="Body Text First Indent 2"/>
    <w:basedOn w:val="5"/>
    <w:autoRedefine/>
    <w:qFormat/>
    <w:uiPriority w:val="0"/>
    <w:pPr>
      <w:ind w:firstLine="420" w:firstLineChars="200"/>
    </w:pPr>
  </w:style>
  <w:style w:type="table" w:styleId="14">
    <w:name w:val="Table Grid"/>
    <w:basedOn w:val="13"/>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page number"/>
    <w:basedOn w:val="15"/>
    <w:autoRedefine/>
    <w:qFormat/>
    <w:uiPriority w:val="0"/>
  </w:style>
  <w:style w:type="character" w:styleId="17">
    <w:name w:val="Hyperlink"/>
    <w:autoRedefine/>
    <w:qFormat/>
    <w:uiPriority w:val="99"/>
    <w:rPr>
      <w:color w:val="0000FF"/>
      <w:u w:val="single"/>
    </w:rPr>
  </w:style>
  <w:style w:type="character" w:styleId="18">
    <w:name w:val="annotation reference"/>
    <w:basedOn w:val="15"/>
    <w:autoRedefine/>
    <w:qFormat/>
    <w:uiPriority w:val="0"/>
    <w:rPr>
      <w:sz w:val="21"/>
      <w:szCs w:val="21"/>
    </w:rPr>
  </w:style>
  <w:style w:type="paragraph" w:customStyle="1" w:styleId="19">
    <w:name w:val="正文文字缩进"/>
    <w:basedOn w:val="1"/>
    <w:autoRedefine/>
    <w:qFormat/>
    <w:uiPriority w:val="0"/>
    <w:pPr>
      <w:widowControl/>
      <w:spacing w:line="351" w:lineRule="atLeast"/>
      <w:ind w:firstLine="436"/>
      <w:textAlignment w:val="baseline"/>
    </w:pPr>
    <w:rPr>
      <w:color w:val="000000"/>
      <w:kern w:val="0"/>
      <w:sz w:val="30"/>
      <w:u w:color="000000"/>
    </w:rPr>
  </w:style>
  <w:style w:type="character" w:customStyle="1" w:styleId="20">
    <w:name w:val="标题 1 Char Char"/>
    <w:autoRedefine/>
    <w:qFormat/>
    <w:uiPriority w:val="0"/>
    <w:rPr>
      <w:rFonts w:eastAsia="宋体"/>
      <w:b/>
      <w:spacing w:val="-2"/>
      <w:sz w:val="24"/>
      <w:lang w:val="en-US" w:eastAsia="zh-CN"/>
    </w:rPr>
  </w:style>
  <w:style w:type="paragraph" w:customStyle="1" w:styleId="21">
    <w:name w:val="一、标题"/>
    <w:basedOn w:val="1"/>
    <w:autoRedefine/>
    <w:qFormat/>
    <w:uiPriority w:val="0"/>
    <w:rPr>
      <w:b/>
      <w:sz w:val="28"/>
    </w:rPr>
  </w:style>
  <w:style w:type="paragraph" w:styleId="22">
    <w:name w:val="List Paragraph"/>
    <w:basedOn w:val="1"/>
    <w:autoRedefine/>
    <w:qFormat/>
    <w:uiPriority w:val="34"/>
    <w:pPr>
      <w:ind w:firstLine="420" w:firstLineChars="200"/>
    </w:pPr>
  </w:style>
  <w:style w:type="character" w:customStyle="1" w:styleId="23">
    <w:name w:val="页眉 Char"/>
    <w:basedOn w:val="15"/>
    <w:link w:val="8"/>
    <w:autoRedefine/>
    <w:qFormat/>
    <w:uiPriority w:val="0"/>
    <w:rPr>
      <w:kern w:val="2"/>
      <w:sz w:val="18"/>
      <w:szCs w:val="18"/>
    </w:rPr>
  </w:style>
  <w:style w:type="character" w:customStyle="1" w:styleId="24">
    <w:name w:val="批注框文本 Char"/>
    <w:basedOn w:val="15"/>
    <w:link w:val="6"/>
    <w:autoRedefine/>
    <w:qFormat/>
    <w:uiPriority w:val="0"/>
    <w:rPr>
      <w:kern w:val="2"/>
      <w:sz w:val="18"/>
      <w:szCs w:val="18"/>
    </w:rPr>
  </w:style>
  <w:style w:type="character" w:customStyle="1" w:styleId="25">
    <w:name w:val="font31"/>
    <w:basedOn w:val="15"/>
    <w:autoRedefine/>
    <w:qFormat/>
    <w:uiPriority w:val="0"/>
    <w:rPr>
      <w:rFonts w:hint="eastAsia" w:ascii="宋体" w:hAnsi="宋体" w:eastAsia="宋体" w:cs="宋体"/>
      <w:color w:val="000000"/>
      <w:sz w:val="22"/>
      <w:szCs w:val="22"/>
      <w:u w:val="none"/>
    </w:rPr>
  </w:style>
  <w:style w:type="character" w:customStyle="1" w:styleId="26">
    <w:name w:val="font51"/>
    <w:basedOn w:val="15"/>
    <w:autoRedefine/>
    <w:qFormat/>
    <w:uiPriority w:val="0"/>
    <w:rPr>
      <w:rFonts w:hint="default" w:ascii="Times New Roman" w:hAnsi="Times New Roman" w:cs="Times New Roman"/>
      <w:color w:val="000000"/>
      <w:sz w:val="22"/>
      <w:szCs w:val="22"/>
      <w:u w:val="none"/>
    </w:rPr>
  </w:style>
  <w:style w:type="character" w:customStyle="1" w:styleId="27">
    <w:name w:val="font41"/>
    <w:basedOn w:val="15"/>
    <w:autoRedefine/>
    <w:qFormat/>
    <w:uiPriority w:val="0"/>
    <w:rPr>
      <w:rFonts w:ascii="仿宋_GB2312" w:eastAsia="仿宋_GB2312" w:cs="仿宋_GB2312"/>
      <w:color w:val="000000"/>
      <w:sz w:val="22"/>
      <w:szCs w:val="22"/>
      <w:u w:val="none"/>
    </w:rPr>
  </w:style>
  <w:style w:type="character" w:customStyle="1" w:styleId="28">
    <w:name w:val="font21"/>
    <w:basedOn w:val="15"/>
    <w:autoRedefine/>
    <w:qFormat/>
    <w:uiPriority w:val="0"/>
    <w:rPr>
      <w:rFonts w:hint="eastAsia" w:ascii="宋体" w:hAnsi="宋体" w:eastAsia="宋体" w:cs="宋体"/>
      <w:color w:val="000000"/>
      <w:sz w:val="22"/>
      <w:szCs w:val="22"/>
      <w:u w:val="none"/>
      <w:vertAlign w:val="superscript"/>
    </w:rPr>
  </w:style>
  <w:style w:type="character" w:customStyle="1" w:styleId="29">
    <w:name w:val="font01"/>
    <w:basedOn w:val="15"/>
    <w:autoRedefine/>
    <w:qFormat/>
    <w:uiPriority w:val="0"/>
    <w:rPr>
      <w:rFonts w:hint="eastAsia" w:ascii="宋体" w:hAnsi="宋体" w:eastAsia="宋体" w:cs="宋体"/>
      <w:color w:val="000000"/>
      <w:sz w:val="22"/>
      <w:szCs w:val="22"/>
      <w:u w:val="none"/>
    </w:rPr>
  </w:style>
  <w:style w:type="character" w:customStyle="1" w:styleId="30">
    <w:name w:val="font11"/>
    <w:basedOn w:val="15"/>
    <w:autoRedefine/>
    <w:qFormat/>
    <w:uiPriority w:val="0"/>
    <w:rPr>
      <w:rFonts w:hint="eastAsia" w:ascii="宋体" w:hAnsi="宋体" w:eastAsia="宋体" w:cs="宋体"/>
      <w:color w:val="000000"/>
      <w:sz w:val="24"/>
      <w:szCs w:val="24"/>
      <w:u w:val="none"/>
    </w:rPr>
  </w:style>
  <w:style w:type="paragraph" w:customStyle="1" w:styleId="31">
    <w:name w:val="Default"/>
    <w:autoRedefine/>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character" w:customStyle="1" w:styleId="32">
    <w:name w:val="font81"/>
    <w:basedOn w:val="15"/>
    <w:autoRedefine/>
    <w:qFormat/>
    <w:uiPriority w:val="0"/>
    <w:rPr>
      <w:rFonts w:ascii="宋体" w:hAnsi="宋体" w:eastAsia="宋体" w:cs="宋体"/>
      <w:color w:val="000000"/>
      <w:sz w:val="20"/>
      <w:szCs w:val="20"/>
      <w:u w:val="none"/>
    </w:rPr>
  </w:style>
  <w:style w:type="character" w:customStyle="1" w:styleId="33">
    <w:name w:val="font71"/>
    <w:basedOn w:val="15"/>
    <w:autoRedefine/>
    <w:qFormat/>
    <w:uiPriority w:val="0"/>
    <w:rPr>
      <w:rFonts w:hint="eastAsia" w:ascii="仿宋" w:hAnsi="仿宋" w:eastAsia="仿宋" w:cs="仿宋"/>
      <w:color w:val="000000"/>
      <w:sz w:val="22"/>
      <w:szCs w:val="22"/>
      <w:u w:val="none"/>
    </w:rPr>
  </w:style>
  <w:style w:type="paragraph" w:customStyle="1" w:styleId="34">
    <w:name w:val="样式1"/>
    <w:basedOn w:val="1"/>
    <w:autoRedefine/>
    <w:qFormat/>
    <w:uiPriority w:val="0"/>
    <w:pPr>
      <w:spacing w:line="240" w:lineRule="exact"/>
    </w:pPr>
    <w:rPr>
      <w:rFonts w:ascii="宋体" w:hAnsi="宋体" w:eastAsia="宋体"/>
      <w:sz w:val="24"/>
      <w:szCs w:val="24"/>
    </w:rPr>
  </w:style>
  <w:style w:type="character" w:customStyle="1" w:styleId="35">
    <w:name w:val="标题 1 Char"/>
    <w:link w:val="2"/>
    <w:autoRedefine/>
    <w:qFormat/>
    <w:uiPriority w:val="0"/>
    <w:rPr>
      <w:rFonts w:ascii="宋体" w:hAnsi="Arial" w:eastAsia="黑体"/>
      <w:b/>
      <w:color w:val="000000"/>
      <w:kern w:val="44"/>
      <w:sz w:val="36"/>
    </w:rPr>
  </w:style>
  <w:style w:type="paragraph" w:customStyle="1" w:styleId="36">
    <w:name w:val="[Normal]"/>
    <w:qFormat/>
    <w:uiPriority w:val="0"/>
    <w:pPr>
      <w:widowControl w:val="0"/>
      <w:autoSpaceDE w:val="0"/>
      <w:autoSpaceDN w:val="0"/>
      <w:adjustRightInd w:val="0"/>
    </w:pPr>
    <w:rPr>
      <w:rFonts w:ascii="宋体" w:hAnsi="Times New Roman" w:eastAsia="宋体" w:cs="宋体"/>
      <w:sz w:val="24"/>
      <w:szCs w:val="24"/>
      <w:lang w:val="en-US" w:eastAsia="zh-CN" w:bidi="ar-SA"/>
    </w:rPr>
  </w:style>
  <w:style w:type="paragraph" w:customStyle="1" w:styleId="37">
    <w:name w:val="Table Text"/>
    <w:basedOn w:val="1"/>
    <w:semiHidden/>
    <w:qFormat/>
    <w:uiPriority w:val="0"/>
    <w:rPr>
      <w:rFonts w:ascii="宋体" w:hAnsi="宋体" w:eastAsia="宋体" w:cs="宋体"/>
      <w:sz w:val="22"/>
      <w:szCs w:val="22"/>
      <w:lang w:val="en-US" w:eastAsia="en-US"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35</Pages>
  <Words>15004</Words>
  <Characters>16241</Characters>
  <Lines>53</Lines>
  <Paragraphs>15</Paragraphs>
  <TotalTime>169</TotalTime>
  <ScaleCrop>false</ScaleCrop>
  <LinksUpToDate>false</LinksUpToDate>
  <CharactersWithSpaces>17504</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2021-02-26T02:23:00Z</dcterms:created>
  <dc:creator>Echo</dc:creator>
  <cp:lastModifiedBy>Léon</cp:lastModifiedBy>
  <cp:lastPrinted>2026-10-30T01:57:00Z</cp:lastPrinted>
  <dcterms:modified xsi:type="dcterms:W3CDTF">2026-10-30T08:14:50Z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0E52A6F17D214F178FD50389587688FF_13</vt:lpwstr>
  </property>
  <property fmtid="{D5CDD505-2E9C-101B-9397-08002B2CF9AE}" pid="4" name="KSOTemplateDocerSaveRecord">
    <vt:lpwstr>eyJoZGlkIjoiYzUwZDFhNTA3NTBkYjYwNzBmOWEzNGQxZTA1ZTZlYTEiLCJ1c2VySWQiOiI0MTkyNjk4ODkifQ==</vt:lpwstr>
  </property>
</Properties>
</file>