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22706"/>
      <w:r>
        <w:rPr>
          <w:rFonts w:hint="eastAsia" w:ascii="仿宋_GB2312" w:hAnsi="宋体" w:eastAsia="仿宋_GB2312"/>
          <w:b/>
          <w:sz w:val="52"/>
          <w:szCs w:val="52"/>
          <w:highlight w:val="none"/>
          <w:lang w:eastAsia="zh-CN"/>
        </w:rPr>
        <w:t>绍兴市再生能源发展有限公司</w:t>
      </w:r>
      <w:bookmarkEnd w:id="0"/>
    </w:p>
    <w:p w14:paraId="543ECF22">
      <w:pPr>
        <w:pStyle w:val="12"/>
        <w:rPr>
          <w:highlight w:val="none"/>
        </w:rPr>
      </w:pPr>
    </w:p>
    <w:p w14:paraId="54EFD54C">
      <w:pPr>
        <w:jc w:val="center"/>
        <w:rPr>
          <w:rFonts w:hint="default" w:ascii="仿宋_GB2312" w:hAnsi="宋体" w:eastAsia="仿宋_GB2312"/>
          <w:b/>
          <w:sz w:val="52"/>
          <w:szCs w:val="52"/>
          <w:highlight w:val="none"/>
          <w:lang w:val="en-US" w:eastAsia="zh-CN"/>
        </w:rPr>
      </w:pPr>
      <w:r>
        <w:rPr>
          <w:rFonts w:hint="default" w:ascii="仿宋_GB2312" w:hAnsi="宋体" w:eastAsia="仿宋_GB2312"/>
          <w:b/>
          <w:sz w:val="52"/>
          <w:szCs w:val="52"/>
          <w:highlight w:val="none"/>
          <w:lang w:val="en-US" w:eastAsia="zh-CN"/>
        </w:rPr>
        <w:t>2027年度硫酸采购项目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CG-LS-2610011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3"/>
      <w:bookmarkStart w:id="3" w:name="OLE_LINK52"/>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2027年度硫酸采购项目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52"/>
          <w:szCs w:val="32"/>
        </w:rPr>
        <w:t>目录</w:t>
      </w:r>
    </w:p>
    <w:p w14:paraId="64E37877">
      <w:pPr>
        <w:pStyle w:val="10"/>
        <w:tabs>
          <w:tab w:val="right" w:leader="dot" w:pos="9070"/>
        </w:tabs>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TOC \o "1-1" \h \u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 HYPERLINK \l _Toc22706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highlight w:val="none"/>
          <w:lang w:eastAsia="zh-CN"/>
        </w:rPr>
        <w:t>绍兴市再生能源发展有限公司</w:t>
      </w:r>
      <w:r>
        <w:rPr>
          <w:rFonts w:hint="default" w:ascii="Times New Roman" w:hAnsi="Times New Roman" w:eastAsia="仿宋" w:cs="Times New Roman"/>
          <w:b w:val="0"/>
          <w:bCs w:val="0"/>
          <w:sz w:val="32"/>
          <w:szCs w:val="32"/>
        </w:rPr>
        <w:tab/>
      </w:r>
      <w:r>
        <w:rPr>
          <w:rFonts w:hint="default" w:ascii="Times New Roman" w:hAnsi="Times New Roman" w:eastAsia="仿宋" w:cs="Times New Roman"/>
          <w:b w:val="0"/>
          <w:bCs w:val="0"/>
          <w:sz w:val="32"/>
          <w:szCs w:val="32"/>
        </w:rPr>
        <w:fldChar w:fldCharType="begin"/>
      </w:r>
      <w:r>
        <w:rPr>
          <w:rFonts w:hint="default" w:ascii="Times New Roman" w:hAnsi="Times New Roman" w:eastAsia="仿宋" w:cs="Times New Roman"/>
          <w:b w:val="0"/>
          <w:bCs w:val="0"/>
          <w:sz w:val="32"/>
          <w:szCs w:val="32"/>
        </w:rPr>
        <w:instrText xml:space="preserve"> PAGEREF _Toc22706 \h </w:instrText>
      </w:r>
      <w:r>
        <w:rPr>
          <w:rFonts w:hint="default" w:ascii="Times New Roman" w:hAnsi="Times New Roman" w:eastAsia="仿宋" w:cs="Times New Roman"/>
          <w:b w:val="0"/>
          <w:bCs w:val="0"/>
          <w:sz w:val="32"/>
          <w:szCs w:val="32"/>
        </w:rPr>
        <w:fldChar w:fldCharType="separate"/>
      </w:r>
      <w:r>
        <w:rPr>
          <w:rFonts w:hint="default" w:ascii="Times New Roman" w:hAnsi="Times New Roman" w:eastAsia="仿宋" w:cs="Times New Roman"/>
          <w:b w:val="0"/>
          <w:bCs w:val="0"/>
          <w:sz w:val="32"/>
          <w:szCs w:val="32"/>
        </w:rPr>
        <w:t>1</w:t>
      </w:r>
      <w:r>
        <w:rPr>
          <w:rFonts w:hint="default" w:ascii="Times New Roman" w:hAnsi="Times New Roman" w:eastAsia="仿宋" w:cs="Times New Roman"/>
          <w:b w:val="0"/>
          <w:bCs w:val="0"/>
          <w:sz w:val="32"/>
          <w:szCs w:val="32"/>
        </w:rPr>
        <w:fldChar w:fldCharType="end"/>
      </w:r>
      <w:r>
        <w:rPr>
          <w:rFonts w:hint="eastAsia" w:ascii="仿宋" w:hAnsi="仿宋" w:eastAsia="仿宋" w:cs="仿宋"/>
          <w:b w:val="0"/>
          <w:bCs w:val="0"/>
          <w:sz w:val="32"/>
          <w:szCs w:val="32"/>
        </w:rPr>
        <w:fldChar w:fldCharType="end"/>
      </w:r>
    </w:p>
    <w:p w14:paraId="37D30F41">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_Toc23327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第一部分   询价公告</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_Toc23327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08A3C28F">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_Toc10351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第三部分   询价内容</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_Toc10351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11</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3FD3E9B0">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_Toc870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 xml:space="preserve">第四部分 </w:t>
      </w:r>
      <w:r>
        <w:rPr>
          <w:rFonts w:hint="eastAsia" w:eastAsia="仿宋" w:cs="Times New Roman"/>
          <w:b w:val="0"/>
          <w:bCs w:val="0"/>
          <w:sz w:val="32"/>
          <w:szCs w:val="32"/>
          <w:lang w:val="en-US" w:eastAsia="zh-CN"/>
        </w:rPr>
        <w:t xml:space="preserve">  </w:t>
      </w:r>
      <w:r>
        <w:rPr>
          <w:rFonts w:hint="eastAsia" w:ascii="Times New Roman" w:hAnsi="Times New Roman" w:eastAsia="仿宋" w:cs="Times New Roman"/>
          <w:b w:val="0"/>
          <w:bCs w:val="0"/>
          <w:sz w:val="32"/>
          <w:szCs w:val="32"/>
          <w:lang w:val="en-US" w:eastAsia="zh-CN"/>
        </w:rPr>
        <w:t>合同主要条款（供参考）</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_Toc870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02D72370">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_Toc25895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附件：</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_Toc25895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7D33D591">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_Toc18350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w:t>
      </w:r>
      <w:r>
        <w:rPr>
          <w:rFonts w:hint="eastAsia" w:ascii="Times New Roman" w:hAnsi="Times New Roman" w:eastAsia="仿宋" w:cs="Times New Roman"/>
          <w:b w:val="0"/>
          <w:bCs w:val="0"/>
          <w:sz w:val="32"/>
          <w:szCs w:val="32"/>
          <w:lang w:eastAsia="zh-CN"/>
        </w:rPr>
        <w:t>五</w:t>
      </w:r>
      <w:r>
        <w:rPr>
          <w:rFonts w:hint="eastAsia" w:ascii="Times New Roman" w:hAnsi="Times New Roman" w:eastAsia="仿宋" w:cs="Times New Roman"/>
          <w:b w:val="0"/>
          <w:bCs w:val="0"/>
          <w:sz w:val="32"/>
          <w:szCs w:val="32"/>
        </w:rPr>
        <w:t>部分   报价文件格式</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_Toc18350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21</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38A3C9D5">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_Toc21861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附件一：</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_Toc21861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737D5844">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_Toc27470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二：</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_Toc27470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24</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1E17E224">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_Toc3991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附件三：</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_Toc3991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26</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78BAE1E">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_Toc18211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四：</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_Toc18211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CB08D88">
      <w:pPr>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878"/>
      <w:bookmarkStart w:id="5" w:name="_Toc530583921"/>
      <w:bookmarkStart w:id="6" w:name="_Toc23327"/>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2027年度硫酸采购项目进行招标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SX-CG-LS-2610011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5180" w:type="pct"/>
        <w:jc w:val="center"/>
        <w:tblLayout w:type="fixed"/>
        <w:tblCellMar>
          <w:top w:w="0" w:type="dxa"/>
          <w:left w:w="108" w:type="dxa"/>
          <w:bottom w:w="0" w:type="dxa"/>
          <w:right w:w="108" w:type="dxa"/>
        </w:tblCellMar>
      </w:tblPr>
      <w:tblGrid>
        <w:gridCol w:w="672"/>
        <w:gridCol w:w="2145"/>
        <w:gridCol w:w="2599"/>
        <w:gridCol w:w="915"/>
        <w:gridCol w:w="932"/>
        <w:gridCol w:w="1128"/>
        <w:gridCol w:w="1229"/>
      </w:tblGrid>
      <w:tr w14:paraId="470BD5F0">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7BBA47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69" w:type="dxa"/>
            <w:tcBorders>
              <w:top w:val="single" w:color="000000" w:sz="4" w:space="0"/>
              <w:left w:val="single" w:color="000000" w:sz="4" w:space="0"/>
              <w:bottom w:val="single" w:color="000000" w:sz="4" w:space="0"/>
              <w:right w:val="single" w:color="000000" w:sz="4" w:space="0"/>
            </w:tcBorders>
            <w:noWrap/>
            <w:vAlign w:val="center"/>
          </w:tcPr>
          <w:p w14:paraId="5EF64D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44194910">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1365F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预估数量</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CA793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C73B2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128" w:type="dxa"/>
            <w:tcBorders>
              <w:top w:val="single" w:color="000000" w:sz="4" w:space="0"/>
              <w:left w:val="single" w:color="000000" w:sz="4" w:space="0"/>
              <w:bottom w:val="single" w:color="000000" w:sz="4" w:space="0"/>
              <w:right w:val="single" w:color="000000" w:sz="4" w:space="0"/>
            </w:tcBorders>
            <w:noWrap/>
            <w:vAlign w:val="center"/>
          </w:tcPr>
          <w:p w14:paraId="36E182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227A612D">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1ED6B1">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20AAEF2A">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color w:val="000000"/>
                <w:kern w:val="0"/>
                <w:sz w:val="24"/>
                <w:szCs w:val="24"/>
                <w:u w:val="none"/>
                <w:lang w:val="en-US" w:eastAsia="zh-CN" w:bidi="ar"/>
              </w:rPr>
              <w:t>硫酸</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083DF88F">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000000"/>
                <w:kern w:val="0"/>
                <w:sz w:val="24"/>
                <w:szCs w:val="24"/>
                <w:u w:val="none"/>
                <w:lang w:val="en-US" w:eastAsia="zh-CN" w:bidi="ar"/>
              </w:rPr>
              <w:t>98% 浓硫酸</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386529E">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36</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323C483F">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000000"/>
                <w:kern w:val="0"/>
                <w:sz w:val="24"/>
                <w:szCs w:val="24"/>
                <w:u w:val="none"/>
                <w:lang w:val="en-US" w:eastAsia="zh-CN" w:bidi="ar"/>
              </w:rPr>
              <w:t>吨</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46826F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149B63E1">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47E30BEA">
      <w:pPr>
        <w:pStyle w:val="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0BF47B54">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kern w:val="2"/>
          <w:sz w:val="30"/>
          <w:szCs w:val="30"/>
          <w:lang w:val="en-US" w:eastAsia="zh-CN" w:bidi="ar-SA"/>
        </w:rPr>
        <w:t>3.</w:t>
      </w:r>
      <w:r>
        <w:rPr>
          <w:rFonts w:hint="eastAsia" w:ascii="仿宋" w:hAnsi="仿宋" w:eastAsia="仿宋" w:cs="仿宋"/>
          <w:sz w:val="30"/>
          <w:szCs w:val="30"/>
          <w:highlight w:val="none"/>
          <w:lang w:val="en-US" w:eastAsia="zh-CN"/>
        </w:rPr>
        <w:t>技术要求：</w:t>
      </w:r>
    </w:p>
    <w:p w14:paraId="265C528B">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kern w:val="2"/>
          <w:sz w:val="30"/>
          <w:szCs w:val="30"/>
          <w:lang w:val="en-US" w:eastAsia="zh-CN" w:bidi="ar-SA"/>
        </w:rPr>
        <w:t>①</w:t>
      </w:r>
      <w:r>
        <w:rPr>
          <w:rFonts w:hint="eastAsia" w:ascii="仿宋" w:hAnsi="仿宋" w:eastAsia="仿宋" w:cs="仿宋"/>
          <w:sz w:val="30"/>
          <w:szCs w:val="30"/>
          <w:highlight w:val="none"/>
          <w:lang w:val="en-US" w:eastAsia="zh-CN"/>
        </w:rPr>
        <w:t>符合国家及行业标准GB/T534-2024。</w:t>
      </w:r>
    </w:p>
    <w:p w14:paraId="0D872782">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②不得使用回收酸、废酸。</w:t>
      </w:r>
    </w:p>
    <w:p w14:paraId="726C6CF1">
      <w:pPr>
        <w:pStyle w:val="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人民币7.4</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lang w:val="en-US" w:eastAsia="zh-CN"/>
        </w:rPr>
        <w:t>4.本</w:t>
      </w:r>
      <w:r>
        <w:rPr>
          <w:rFonts w:hint="eastAsia" w:ascii="仿宋" w:hAnsi="仿宋" w:eastAsia="仿宋" w:cs="仿宋"/>
          <w:sz w:val="30"/>
          <w:szCs w:val="30"/>
          <w:highlight w:val="none"/>
          <w:lang w:val="en-US" w:eastAsia="zh-CN"/>
        </w:rPr>
        <w:t>项目不接受联合体报价，不接受分包。</w:t>
      </w:r>
    </w:p>
    <w:p w14:paraId="60780F04">
      <w:pPr>
        <w:pStyle w:val="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w:t>
      </w:r>
      <w:bookmarkStart w:id="7" w:name="OLE_LINK2"/>
      <w:r>
        <w:rPr>
          <w:rFonts w:hint="eastAsia" w:ascii="仿宋" w:hAnsi="仿宋" w:eastAsia="仿宋" w:cs="仿宋"/>
          <w:sz w:val="30"/>
          <w:szCs w:val="30"/>
          <w:lang w:val="en-US" w:eastAsia="zh-CN"/>
        </w:rPr>
        <w:t>报价人须</w:t>
      </w:r>
      <w:bookmarkEnd w:id="7"/>
      <w:r>
        <w:rPr>
          <w:rFonts w:hint="eastAsia" w:ascii="仿宋" w:hAnsi="仿宋" w:eastAsia="仿宋" w:cs="仿宋"/>
          <w:sz w:val="30"/>
          <w:szCs w:val="30"/>
          <w:lang w:val="en-US" w:eastAsia="zh-CN"/>
        </w:rPr>
        <w:t>具备：独立法人资格，营业执照经营范围包含硫酸及相关危化品销售资质；同时须持有有效的《危险化学品经营许可证》，且许可范围包含硫酸；还须提供有效的《非药品类易制毒化学品经营备案证明》。</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8" w:name="_Toc530583879"/>
      <w:bookmarkStart w:id="9" w:name="_Toc530583922"/>
      <w:bookmarkStart w:id="10" w:name="_Toc530583923"/>
      <w:bookmarkStart w:id="11" w:name="_Toc530583880"/>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11月6</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28DF5BA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bookmarkStart w:id="34" w:name="_GoBack"/>
      <w:bookmarkEnd w:id="34"/>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10月30</w:t>
      </w:r>
      <w:r>
        <w:rPr>
          <w:rFonts w:hint="eastAsia" w:ascii="仿宋_GB2312" w:eastAsia="仿宋_GB2312"/>
          <w:sz w:val="30"/>
          <w:szCs w:val="30"/>
        </w:rPr>
        <w:t>日</w:t>
      </w:r>
    </w:p>
    <w:p w14:paraId="10E9B901">
      <w:pPr>
        <w:pStyle w:val="2"/>
        <w:rPr>
          <w:rFonts w:hint="eastAsia" w:ascii="仿宋_GB2312" w:eastAsia="仿宋_GB2312"/>
          <w:sz w:val="30"/>
          <w:szCs w:val="30"/>
        </w:rPr>
      </w:pPr>
    </w:p>
    <w:p w14:paraId="3A86D49D">
      <w:pPr>
        <w:pStyle w:val="2"/>
        <w:rPr>
          <w:rFonts w:hint="eastAsia" w:ascii="仿宋_GB2312" w:eastAsia="仿宋_GB2312"/>
          <w:sz w:val="30"/>
          <w:szCs w:val="30"/>
        </w:rPr>
      </w:pPr>
    </w:p>
    <w:p w14:paraId="4EFDF728">
      <w:pPr>
        <w:pStyle w:val="2"/>
        <w:rPr>
          <w:rFonts w:hint="eastAsia" w:ascii="仿宋_GB2312" w:eastAsia="仿宋_GB2312"/>
          <w:sz w:val="30"/>
          <w:szCs w:val="30"/>
        </w:rPr>
      </w:pPr>
    </w:p>
    <w:p w14:paraId="41CF67AE">
      <w:pPr>
        <w:pStyle w:val="2"/>
        <w:rPr>
          <w:rFonts w:hint="eastAsia" w:ascii="仿宋_GB2312" w:eastAsia="仿宋_GB2312"/>
          <w:sz w:val="30"/>
          <w:szCs w:val="30"/>
        </w:rPr>
      </w:pPr>
    </w:p>
    <w:p w14:paraId="1B8DEF0A">
      <w:pPr>
        <w:pStyle w:val="2"/>
        <w:rPr>
          <w:rFonts w:hint="eastAsia" w:ascii="仿宋_GB2312" w:eastAsia="仿宋_GB2312"/>
          <w:sz w:val="30"/>
          <w:szCs w:val="30"/>
        </w:rPr>
      </w:pPr>
    </w:p>
    <w:p w14:paraId="2CCD9DA2">
      <w:pPr>
        <w:pStyle w:val="2"/>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8"/>
      <w:bookmarkEnd w:id="9"/>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0A4B3DF9">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12B87EAC">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4"/>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6"/>
        <w:rPr>
          <w:rFonts w:hint="eastAsia" w:ascii="仿宋" w:hAnsi="仿宋" w:eastAsia="仿宋" w:cs="仿宋"/>
          <w:snapToGrid w:val="0"/>
          <w:sz w:val="44"/>
          <w:szCs w:val="44"/>
        </w:rPr>
      </w:pPr>
    </w:p>
    <w:p w14:paraId="1643322B">
      <w:pPr>
        <w:pStyle w:val="12"/>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7DEBCF3A">
      <w:pPr>
        <w:rPr>
          <w:rFonts w:hint="eastAsia" w:ascii="仿宋" w:hAnsi="仿宋" w:eastAsia="仿宋" w:cs="仿宋"/>
          <w:snapToGrid w:val="0"/>
          <w:sz w:val="44"/>
          <w:szCs w:val="44"/>
        </w:rPr>
      </w:pPr>
    </w:p>
    <w:p w14:paraId="74901F0A">
      <w:pPr>
        <w:rPr>
          <w:rFonts w:hint="eastAsia" w:ascii="仿宋" w:hAnsi="仿宋" w:eastAsia="仿宋" w:cs="仿宋"/>
          <w:snapToGrid w:val="0"/>
          <w:sz w:val="44"/>
          <w:szCs w:val="44"/>
        </w:rPr>
      </w:pPr>
    </w:p>
    <w:p w14:paraId="442412A4">
      <w:pPr>
        <w:rPr>
          <w:rFonts w:hint="eastAsia" w:ascii="仿宋" w:hAnsi="仿宋" w:eastAsia="仿宋" w:cs="仿宋"/>
          <w:snapToGrid w:val="0"/>
          <w:sz w:val="44"/>
          <w:szCs w:val="44"/>
        </w:rPr>
      </w:pPr>
    </w:p>
    <w:p w14:paraId="3B113E72">
      <w:pPr>
        <w:pStyle w:val="4"/>
        <w:numPr>
          <w:ilvl w:val="0"/>
          <w:numId w:val="0"/>
        </w:numPr>
        <w:jc w:val="center"/>
        <w:rPr>
          <w:rFonts w:hint="eastAsia" w:ascii="仿宋" w:hAnsi="仿宋" w:eastAsia="仿宋" w:cs="仿宋"/>
          <w:b w:val="0"/>
          <w:bCs/>
          <w:snapToGrid w:val="0"/>
          <w:sz w:val="44"/>
        </w:rPr>
      </w:pPr>
      <w:bookmarkStart w:id="12" w:name="_Toc10351"/>
      <w:r>
        <w:rPr>
          <w:rFonts w:hint="eastAsia" w:ascii="仿宋" w:hAnsi="仿宋" w:eastAsia="仿宋" w:cs="仿宋"/>
          <w:snapToGrid w:val="0"/>
          <w:sz w:val="44"/>
          <w:szCs w:val="44"/>
        </w:rPr>
        <w:t>第三部分   询价内容</w:t>
      </w:r>
      <w:bookmarkEnd w:id="10"/>
      <w:bookmarkEnd w:id="11"/>
      <w:bookmarkEnd w:id="12"/>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供货期为一年，自合同签订之日起计算。根据采购人实际需要，分批次供货，按实际结算。供货方接到采购人送货通知后，3个工作日内将货物如数送至采购人指定地点。送货时须采用专用槽罐车装运，每批次产品应随车提供出厂质量证明书或合格报告。</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每批次送货完成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4"/>
        <w:numPr>
          <w:ilvl w:val="0"/>
          <w:numId w:val="0"/>
        </w:numPr>
        <w:jc w:val="center"/>
        <w:outlineLvl w:val="9"/>
        <w:rPr>
          <w:rFonts w:hint="eastAsia" w:ascii="仿宋" w:hAnsi="仿宋" w:eastAsia="仿宋" w:cs="仿宋"/>
          <w:snapToGrid w:val="0"/>
          <w:sz w:val="30"/>
          <w:szCs w:val="30"/>
          <w:highlight w:val="none"/>
        </w:rPr>
      </w:pPr>
      <w:bookmarkStart w:id="13" w:name="_Toc530583924"/>
      <w:r>
        <w:rPr>
          <w:rFonts w:hint="eastAsia" w:ascii="仿宋" w:hAnsi="仿宋" w:eastAsia="仿宋" w:cs="仿宋"/>
          <w:snapToGrid w:val="0"/>
          <w:sz w:val="30"/>
          <w:szCs w:val="30"/>
        </w:rPr>
        <w:br w:type="page"/>
      </w:r>
    </w:p>
    <w:p w14:paraId="2C38EEF5">
      <w:pPr>
        <w:pStyle w:val="4"/>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4" w:name="_Toc870"/>
      <w:r>
        <w:rPr>
          <w:rFonts w:hint="eastAsia" w:ascii="仿宋" w:hAnsi="仿宋" w:eastAsia="仿宋" w:cs="仿宋"/>
          <w:snapToGrid w:val="0"/>
          <w:sz w:val="44"/>
          <w:szCs w:val="44"/>
          <w:highlight w:val="none"/>
          <w:lang w:val="en-US" w:eastAsia="zh-CN"/>
        </w:rPr>
        <w:t>合同主要条款（供参考）</w:t>
      </w:r>
      <w:bookmarkEnd w:id="14"/>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571" w:type="dxa"/>
        <w:jc w:val="center"/>
        <w:tblLayout w:type="fixed"/>
        <w:tblCellMar>
          <w:top w:w="0" w:type="dxa"/>
          <w:left w:w="108" w:type="dxa"/>
          <w:bottom w:w="0" w:type="dxa"/>
          <w:right w:w="108" w:type="dxa"/>
        </w:tblCellMar>
      </w:tblPr>
      <w:tblGrid>
        <w:gridCol w:w="751"/>
        <w:gridCol w:w="1439"/>
        <w:gridCol w:w="1711"/>
        <w:gridCol w:w="1100"/>
        <w:gridCol w:w="1310"/>
        <w:gridCol w:w="1633"/>
        <w:gridCol w:w="1627"/>
      </w:tblGrid>
      <w:tr w14:paraId="29B27345">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0085ABDB">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78B09A60">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产品名称</w:t>
            </w:r>
          </w:p>
        </w:tc>
        <w:tc>
          <w:tcPr>
            <w:tcW w:w="1711" w:type="dxa"/>
            <w:tcBorders>
              <w:top w:val="single" w:color="auto" w:sz="4" w:space="0"/>
              <w:left w:val="nil"/>
              <w:bottom w:val="single" w:color="auto" w:sz="4" w:space="0"/>
              <w:right w:val="single" w:color="auto" w:sz="4" w:space="0"/>
            </w:tcBorders>
            <w:noWrap w:val="0"/>
            <w:vAlign w:val="center"/>
          </w:tcPr>
          <w:p w14:paraId="7E1DDE49">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型号规格</w:t>
            </w:r>
          </w:p>
        </w:tc>
        <w:tc>
          <w:tcPr>
            <w:tcW w:w="1100" w:type="dxa"/>
            <w:tcBorders>
              <w:top w:val="single" w:color="auto" w:sz="4" w:space="0"/>
              <w:left w:val="nil"/>
              <w:bottom w:val="single" w:color="auto" w:sz="4" w:space="0"/>
              <w:right w:val="single" w:color="auto" w:sz="4" w:space="0"/>
            </w:tcBorders>
            <w:noWrap w:val="0"/>
            <w:vAlign w:val="center"/>
          </w:tcPr>
          <w:p w14:paraId="0FE24892">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数量</w:t>
            </w:r>
          </w:p>
        </w:tc>
        <w:tc>
          <w:tcPr>
            <w:tcW w:w="1310" w:type="dxa"/>
            <w:tcBorders>
              <w:top w:val="single" w:color="auto" w:sz="4" w:space="0"/>
              <w:left w:val="nil"/>
              <w:bottom w:val="single" w:color="auto" w:sz="4" w:space="0"/>
              <w:right w:val="single" w:color="auto" w:sz="4" w:space="0"/>
            </w:tcBorders>
            <w:noWrap w:val="0"/>
            <w:vAlign w:val="center"/>
          </w:tcPr>
          <w:p w14:paraId="14A91725">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单位</w:t>
            </w:r>
          </w:p>
        </w:tc>
        <w:tc>
          <w:tcPr>
            <w:tcW w:w="1633" w:type="dxa"/>
            <w:tcBorders>
              <w:top w:val="single" w:color="auto" w:sz="4" w:space="0"/>
              <w:left w:val="nil"/>
              <w:bottom w:val="single" w:color="auto" w:sz="4" w:space="0"/>
              <w:right w:val="single" w:color="auto" w:sz="4" w:space="0"/>
            </w:tcBorders>
            <w:noWrap w:val="0"/>
            <w:vAlign w:val="center"/>
          </w:tcPr>
          <w:p w14:paraId="18A5117A">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单价（元）</w:t>
            </w:r>
          </w:p>
        </w:tc>
        <w:tc>
          <w:tcPr>
            <w:tcW w:w="1627" w:type="dxa"/>
            <w:tcBorders>
              <w:top w:val="single" w:color="auto" w:sz="4" w:space="0"/>
              <w:left w:val="nil"/>
              <w:bottom w:val="single" w:color="auto" w:sz="4" w:space="0"/>
              <w:right w:val="single" w:color="auto" w:sz="4" w:space="0"/>
            </w:tcBorders>
            <w:noWrap w:val="0"/>
            <w:vAlign w:val="center"/>
          </w:tcPr>
          <w:p w14:paraId="01AE2C9D">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金额（元）</w:t>
            </w:r>
          </w:p>
        </w:tc>
      </w:tr>
      <w:tr w14:paraId="12FDB466">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ED6F5F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7903C9D8">
            <w:pPr>
              <w:adjustRightInd/>
              <w:snapToGrid/>
              <w:spacing w:after="0"/>
              <w:jc w:val="center"/>
              <w:rPr>
                <w:rFonts w:hint="eastAsia" w:ascii="Times New Roman" w:hAnsi="Times New Roman" w:eastAsia="方正仿宋_GBK" w:cs="Times New Roman"/>
                <w:b/>
                <w:bCs/>
                <w:sz w:val="24"/>
                <w:szCs w:val="24"/>
                <w:highlight w:val="none"/>
              </w:rPr>
            </w:pPr>
          </w:p>
        </w:tc>
        <w:tc>
          <w:tcPr>
            <w:tcW w:w="1711" w:type="dxa"/>
            <w:tcBorders>
              <w:top w:val="nil"/>
              <w:left w:val="nil"/>
              <w:bottom w:val="single" w:color="auto" w:sz="4" w:space="0"/>
              <w:right w:val="single" w:color="auto" w:sz="4" w:space="0"/>
            </w:tcBorders>
            <w:shd w:val="clear" w:color="000000" w:fill="FFFFFF"/>
            <w:noWrap w:val="0"/>
            <w:vAlign w:val="center"/>
          </w:tcPr>
          <w:p w14:paraId="3FA647C3">
            <w:pPr>
              <w:adjustRightInd/>
              <w:snapToGrid/>
              <w:spacing w:after="0"/>
              <w:jc w:val="center"/>
              <w:rPr>
                <w:rFonts w:hint="eastAsia" w:ascii="Times New Roman" w:hAnsi="Times New Roman" w:eastAsia="方正仿宋_GBK" w:cs="Times New Roman"/>
                <w:b/>
                <w:bCs/>
                <w:sz w:val="24"/>
                <w:szCs w:val="24"/>
                <w:highlight w:val="none"/>
              </w:rPr>
            </w:pPr>
          </w:p>
        </w:tc>
        <w:tc>
          <w:tcPr>
            <w:tcW w:w="1100" w:type="dxa"/>
            <w:tcBorders>
              <w:top w:val="nil"/>
              <w:left w:val="nil"/>
              <w:bottom w:val="single" w:color="auto" w:sz="4" w:space="0"/>
              <w:right w:val="single" w:color="auto" w:sz="4" w:space="0"/>
            </w:tcBorders>
            <w:shd w:val="clear" w:color="000000" w:fill="FFFFFF"/>
            <w:noWrap w:val="0"/>
            <w:vAlign w:val="center"/>
          </w:tcPr>
          <w:p w14:paraId="6533A1DE">
            <w:pPr>
              <w:adjustRightInd/>
              <w:snapToGrid/>
              <w:spacing w:after="0"/>
              <w:jc w:val="center"/>
              <w:rPr>
                <w:rFonts w:hint="default" w:ascii="Times New Roman" w:hAnsi="Times New Roman" w:eastAsia="方正仿宋_GBK" w:cs="Times New Roman"/>
                <w:b/>
                <w:bCs/>
                <w:sz w:val="24"/>
                <w:szCs w:val="24"/>
                <w:highlight w:val="none"/>
              </w:rPr>
            </w:pPr>
          </w:p>
        </w:tc>
        <w:tc>
          <w:tcPr>
            <w:tcW w:w="1310" w:type="dxa"/>
            <w:tcBorders>
              <w:top w:val="nil"/>
              <w:left w:val="nil"/>
              <w:bottom w:val="single" w:color="auto" w:sz="4" w:space="0"/>
              <w:right w:val="single" w:color="auto" w:sz="4" w:space="0"/>
            </w:tcBorders>
            <w:shd w:val="clear" w:color="000000" w:fill="FFFFFF"/>
            <w:noWrap w:val="0"/>
            <w:vAlign w:val="center"/>
          </w:tcPr>
          <w:p w14:paraId="632BF058">
            <w:pPr>
              <w:adjustRightInd/>
              <w:snapToGrid/>
              <w:spacing w:after="0"/>
              <w:jc w:val="center"/>
              <w:rPr>
                <w:rFonts w:hint="default" w:ascii="Times New Roman" w:hAnsi="Times New Roman" w:eastAsia="方正仿宋_GBK" w:cs="Times New Roman"/>
                <w:b/>
                <w:bCs/>
                <w:sz w:val="24"/>
                <w:szCs w:val="24"/>
                <w:highlight w:val="none"/>
              </w:rPr>
            </w:pPr>
          </w:p>
        </w:tc>
        <w:tc>
          <w:tcPr>
            <w:tcW w:w="1633" w:type="dxa"/>
            <w:tcBorders>
              <w:top w:val="nil"/>
              <w:left w:val="nil"/>
              <w:bottom w:val="single" w:color="auto" w:sz="4" w:space="0"/>
              <w:right w:val="single" w:color="auto" w:sz="4" w:space="0"/>
            </w:tcBorders>
            <w:noWrap w:val="0"/>
            <w:vAlign w:val="center"/>
          </w:tcPr>
          <w:p w14:paraId="797EC2E6">
            <w:pPr>
              <w:adjustRightInd/>
              <w:snapToGrid/>
              <w:spacing w:after="0"/>
              <w:jc w:val="center"/>
              <w:rPr>
                <w:rFonts w:hint="default" w:ascii="Times New Roman" w:hAnsi="Times New Roman" w:eastAsia="方正仿宋_GBK" w:cs="Times New Roman"/>
                <w:b/>
                <w:bCs/>
                <w:sz w:val="24"/>
                <w:szCs w:val="24"/>
                <w:highlight w:val="none"/>
              </w:rPr>
            </w:pPr>
          </w:p>
        </w:tc>
        <w:tc>
          <w:tcPr>
            <w:tcW w:w="1627" w:type="dxa"/>
            <w:tcBorders>
              <w:top w:val="nil"/>
              <w:left w:val="nil"/>
              <w:bottom w:val="single" w:color="auto" w:sz="4" w:space="0"/>
              <w:right w:val="single" w:color="auto" w:sz="4" w:space="0"/>
            </w:tcBorders>
            <w:noWrap w:val="0"/>
            <w:vAlign w:val="center"/>
          </w:tcPr>
          <w:p w14:paraId="55F60B0E">
            <w:pPr>
              <w:adjustRightInd/>
              <w:snapToGrid/>
              <w:spacing w:after="0"/>
              <w:jc w:val="center"/>
              <w:rPr>
                <w:rFonts w:hint="eastAsia" w:ascii="Times New Roman" w:hAnsi="Times New Roman" w:eastAsia="方正仿宋_GBK" w:cs="Times New Roman"/>
                <w:b/>
                <w:bCs/>
                <w:sz w:val="24"/>
                <w:szCs w:val="24"/>
                <w:highlight w:val="none"/>
              </w:rPr>
            </w:pPr>
          </w:p>
        </w:tc>
      </w:tr>
      <w:tr w14:paraId="0E877BCF">
        <w:tblPrEx>
          <w:tblCellMar>
            <w:top w:w="0" w:type="dxa"/>
            <w:left w:w="108" w:type="dxa"/>
            <w:bottom w:w="0" w:type="dxa"/>
            <w:right w:w="108" w:type="dxa"/>
          </w:tblCellMar>
        </w:tblPrEx>
        <w:trPr>
          <w:trHeight w:val="836" w:hRule="atLeast"/>
          <w:jc w:val="center"/>
        </w:trPr>
        <w:tc>
          <w:tcPr>
            <w:tcW w:w="6311" w:type="dxa"/>
            <w:gridSpan w:val="5"/>
            <w:tcBorders>
              <w:top w:val="nil"/>
              <w:left w:val="single" w:color="auto" w:sz="4" w:space="0"/>
              <w:bottom w:val="single" w:color="auto" w:sz="4" w:space="0"/>
              <w:right w:val="single" w:color="auto" w:sz="4" w:space="0"/>
            </w:tcBorders>
            <w:noWrap w:val="0"/>
            <w:vAlign w:val="center"/>
          </w:tcPr>
          <w:p w14:paraId="47F666EB">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3260" w:type="dxa"/>
            <w:gridSpan w:val="2"/>
            <w:tcBorders>
              <w:top w:val="nil"/>
              <w:left w:val="single" w:color="auto" w:sz="4" w:space="0"/>
              <w:bottom w:val="single" w:color="auto" w:sz="4" w:space="0"/>
              <w:right w:val="single" w:color="auto" w:sz="4" w:space="0"/>
            </w:tcBorders>
            <w:noWrap w:val="0"/>
            <w:vAlign w:val="center"/>
          </w:tcPr>
          <w:p w14:paraId="6E443802">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2903F576">
        <w:tblPrEx>
          <w:tblCellMar>
            <w:top w:w="0" w:type="dxa"/>
            <w:left w:w="108" w:type="dxa"/>
            <w:bottom w:w="0" w:type="dxa"/>
            <w:right w:w="108" w:type="dxa"/>
          </w:tblCellMar>
        </w:tblPrEx>
        <w:trPr>
          <w:trHeight w:val="716" w:hRule="atLeast"/>
          <w:jc w:val="center"/>
        </w:trPr>
        <w:tc>
          <w:tcPr>
            <w:tcW w:w="9571" w:type="dxa"/>
            <w:gridSpan w:val="7"/>
            <w:tcBorders>
              <w:top w:val="nil"/>
              <w:left w:val="single" w:color="auto" w:sz="4" w:space="0"/>
              <w:bottom w:val="single" w:color="auto" w:sz="4" w:space="0"/>
              <w:right w:val="single" w:color="auto" w:sz="4" w:space="0"/>
            </w:tcBorders>
            <w:noWrap w:val="0"/>
            <w:vAlign w:val="center"/>
          </w:tcPr>
          <w:p w14:paraId="74D1688C">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453342D8">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供货期为一年，自合同签订之日起计算。根据甲方实际需要，分批次供货，按实际结算。乙方接到甲方送货通知后，3个工作日内将货物如数送至甲方指定地点。送货时须采用专用槽罐车装运，每批次产品应随车提供出厂质量证明书或合格报告</w:t>
      </w:r>
      <w:r>
        <w:rPr>
          <w:rFonts w:hint="eastAsia" w:ascii="方正仿宋_GBK" w:hAnsi="方正仿宋_GBK" w:eastAsia="方正仿宋_GBK" w:cs="方正仿宋_GBK"/>
          <w:sz w:val="28"/>
          <w:szCs w:val="28"/>
          <w:highlight w:val="none"/>
        </w:rPr>
        <w:t>。</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w:t>
      </w:r>
      <w:r>
        <w:rPr>
          <w:rFonts w:hint="eastAsia" w:ascii="方正仿宋_GBK" w:hAnsi="方正仿宋_GBK" w:eastAsia="方正仿宋_GBK" w:cs="方正仿宋_GBK"/>
          <w:sz w:val="28"/>
          <w:szCs w:val="28"/>
          <w:lang w:eastAsia="zh-CN"/>
        </w:rPr>
        <w:t>区钱滨线二线海塘绍兴市再生能源发展有限公司。</w:t>
      </w:r>
    </w:p>
    <w:p w14:paraId="2B2F559C">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3.供货要求：交货时，应附有相应的装货清单、合格证及相关技术资料。（如有）</w:t>
      </w:r>
    </w:p>
    <w:p w14:paraId="44C320E3">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第三条 技术要求</w:t>
      </w:r>
    </w:p>
    <w:p w14:paraId="1A54AB97">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1.符合国家及行业标准GB/T534-2024。</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2.不得使用回收酸、废酸</w:t>
      </w:r>
      <w:r>
        <w:rPr>
          <w:rFonts w:hint="eastAsia" w:ascii="方正仿宋_GBK" w:hAnsi="方正仿宋_GBK" w:eastAsia="方正仿宋_GBK" w:cs="方正仿宋_GBK"/>
          <w:sz w:val="28"/>
          <w:szCs w:val="28"/>
          <w:highlight w:val="none"/>
        </w:rPr>
        <w:t>。</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元整，本合同为</w:t>
      </w:r>
      <w:r>
        <w:rPr>
          <w:rFonts w:hint="eastAsia" w:ascii="方正仿宋_GBK" w:hAnsi="方正仿宋_GBK" w:eastAsia="方正仿宋_GBK" w:cs="方正仿宋_GBK"/>
          <w:sz w:val="28"/>
          <w:szCs w:val="28"/>
          <w:highlight w:val="none"/>
        </w:rPr>
        <w:t>固定</w:t>
      </w:r>
      <w:r>
        <w:rPr>
          <w:rFonts w:hint="eastAsia" w:ascii="方正仿宋_GBK" w:hAnsi="方正仿宋_GBK" w:eastAsia="方正仿宋_GBK" w:cs="方正仿宋_GBK"/>
          <w:sz w:val="28"/>
          <w:szCs w:val="28"/>
          <w:highlight w:val="none"/>
          <w:lang w:val="en-US" w:eastAsia="zh-CN"/>
        </w:rPr>
        <w:t>单价</w:t>
      </w:r>
      <w:r>
        <w:rPr>
          <w:rFonts w:hint="eastAsia" w:ascii="方正仿宋_GBK" w:hAnsi="方正仿宋_GBK" w:eastAsia="方正仿宋_GBK" w:cs="方正仿宋_GBK"/>
          <w:sz w:val="28"/>
          <w:szCs w:val="28"/>
          <w:highlight w:val="none"/>
        </w:rPr>
        <w:t>合</w:t>
      </w:r>
      <w:r>
        <w:rPr>
          <w:rFonts w:hint="eastAsia" w:ascii="方正仿宋_GBK" w:hAnsi="方正仿宋_GBK" w:eastAsia="方正仿宋_GBK" w:cs="方正仿宋_GBK"/>
          <w:sz w:val="28"/>
          <w:szCs w:val="28"/>
        </w:rPr>
        <w:t>同，金额包含包装费、运费、税金、保险费等， 双方不能因市场价格变化而调整合同价。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每批次送货完成且经由甲方验收合格后，乙方提供经双方确认的送货清单及等额、合法、有效的增值税专用发票，甲方自收到准确清单和发票且核对无误后，于次二月完成货款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需提供履约保证金（合同价的5%），其履约保证金于合同期满且无未决质量争议后无息退还。</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bookmarkStart w:id="15" w:name="_Toc10171"/>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bookmarkEnd w:id="15"/>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对其产品在质保期内的质量担保责任，对于必须安装运转后才能发现的隐蔽瑕疵，甲方有权在质保期内提出异议。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履约保证金（质保金）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bookmarkStart w:id="16" w:name="_Toc24889"/>
      <w:r>
        <w:rPr>
          <w:rFonts w:ascii="Times New Roman" w:hAnsi="Times New Roman" w:eastAsia="黑体"/>
          <w:kern w:val="2"/>
          <w:sz w:val="28"/>
          <w:szCs w:val="28"/>
        </w:rPr>
        <w:t>第七条 包装标准、包装物的供应与回收</w:t>
      </w:r>
      <w:bookmarkEnd w:id="16"/>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bookmarkStart w:id="17" w:name="_Toc11961"/>
      <w:r>
        <w:rPr>
          <w:rFonts w:ascii="Times New Roman" w:hAnsi="Times New Roman" w:eastAsia="黑体"/>
          <w:sz w:val="28"/>
          <w:szCs w:val="28"/>
        </w:rPr>
        <w:t>第八条 质量保证</w:t>
      </w:r>
      <w:bookmarkEnd w:id="17"/>
    </w:p>
    <w:p w14:paraId="3146C0BA">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乙</w:t>
      </w:r>
      <w:r>
        <w:rPr>
          <w:rFonts w:hint="eastAsia" w:ascii="Times New Roman" w:hAnsi="Times New Roman" w:eastAsia="方正仿宋_GBK"/>
          <w:sz w:val="28"/>
          <w:szCs w:val="28"/>
          <w:lang w:eastAsia="zh-CN"/>
        </w:rPr>
        <w:t>方</w:t>
      </w:r>
      <w:r>
        <w:rPr>
          <w:rFonts w:ascii="Times New Roman" w:hAnsi="Times New Roman" w:eastAsia="方正仿宋_GBK"/>
          <w:sz w:val="28"/>
          <w:szCs w:val="28"/>
        </w:rPr>
        <w:t>保证其供应的本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，所产生的费用由乙方承担，乙方逾期提供质保服务或提供的质保服务不合格的，甲方可自行委托第三方进行维修，所产生的费用甲方可在质保金中直接扣除，不足部分甲方可继续向乙方追偿</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bookmarkStart w:id="18" w:name="_Toc20474"/>
      <w:r>
        <w:rPr>
          <w:rFonts w:hint="eastAsia" w:ascii="Times New Roman" w:hAnsi="Times New Roman" w:eastAsia="黑体" w:cs="Times New Roman"/>
          <w:sz w:val="28"/>
          <w:szCs w:val="28"/>
          <w:lang w:val="en-US" w:eastAsia="zh-CN" w:bidi="ar-SA"/>
        </w:rPr>
        <w:t>第九条 违约责任</w:t>
      </w:r>
      <w:bookmarkEnd w:id="18"/>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lang w:val="en-US" w:eastAsia="zh-CN"/>
        </w:rPr>
        <w:t>质保金）</w:t>
      </w:r>
      <w:r>
        <w:rPr>
          <w:rFonts w:hint="eastAsia" w:ascii="Times New Roman" w:hAnsi="Times New Roman" w:eastAsia="方正仿宋_GBK"/>
          <w:sz w:val="28"/>
          <w:szCs w:val="28"/>
          <w:highlight w:val="none"/>
        </w:rPr>
        <w:t>。</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本合同项下乙方应支付的违约金、赔偿金等，甲方有权直接从应付货款或履约保证金（质保金）中扣除，不足部分有权向乙方追偿。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19" w:name="_Toc10211"/>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bookmarkEnd w:id="19"/>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w:t>
      </w:r>
      <w:r>
        <w:rPr>
          <w:rFonts w:hint="eastAsia" w:ascii="Times New Roman" w:hAnsi="Times New Roman" w:eastAsia="方正仿宋_GBK"/>
          <w:sz w:val="28"/>
          <w:szCs w:val="28"/>
        </w:rPr>
        <w:t>（质保金）</w:t>
      </w:r>
      <w:r>
        <w:rPr>
          <w:rFonts w:hint="eastAsia" w:ascii="Times New Roman" w:hAnsi="Times New Roman" w:eastAsia="方正仿宋_GBK"/>
          <w:sz w:val="28"/>
          <w:szCs w:val="28"/>
          <w:highlight w:val="none"/>
          <w:lang w:eastAsia="zh-CN"/>
        </w:rPr>
        <w:t>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w:t>
      </w:r>
      <w:r>
        <w:rPr>
          <w:rFonts w:hint="eastAsia" w:ascii="Times New Roman" w:hAnsi="Times New Roman" w:eastAsia="方正仿宋_GBK"/>
          <w:sz w:val="28"/>
          <w:szCs w:val="28"/>
        </w:rPr>
        <w:t>（含质保期未提供质保服务或提供的质保服务不合格等）</w:t>
      </w:r>
      <w:r>
        <w:rPr>
          <w:rFonts w:hint="eastAsia" w:ascii="Times New Roman" w:hAnsi="Times New Roman" w:eastAsia="方正仿宋_GBK"/>
          <w:sz w:val="28"/>
          <w:szCs w:val="28"/>
          <w:highlight w:val="none"/>
          <w:lang w:eastAsia="zh-CN"/>
        </w:rPr>
        <w:t>，经甲方催告后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bookmarkStart w:id="20" w:name="_Toc8791"/>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bookmarkEnd w:id="20"/>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1" w:name="_Toc19684"/>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bookmarkEnd w:id="21"/>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2" w:name="_Toc24117"/>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bookmarkEnd w:id="22"/>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3" w:name="_Toc6985"/>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bookmarkEnd w:id="23"/>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74A70551">
      <w:pPr>
        <w:pStyle w:val="34"/>
        <w:spacing w:after="0" w:line="579" w:lineRule="atLeast"/>
        <w:contextualSpacing/>
        <w:jc w:val="both"/>
        <w:outlineLvl w:val="0"/>
        <w:rPr>
          <w:rFonts w:hint="eastAsia" w:ascii="Times New Roman" w:hAnsi="Times New Roman" w:eastAsia="方正仿宋_GBK"/>
          <w:sz w:val="28"/>
          <w:szCs w:val="28"/>
        </w:rPr>
      </w:pPr>
      <w:r>
        <w:rPr>
          <w:rFonts w:hint="eastAsia" w:ascii="方正仿宋_GBK" w:hAnsi="方正仿宋_GBK" w:eastAsia="方正仿宋_GBK" w:cs="方正仿宋_GBK"/>
          <w:sz w:val="28"/>
          <w:szCs w:val="28"/>
        </w:rPr>
        <w:br w:type="page"/>
      </w:r>
      <w:bookmarkStart w:id="24" w:name="_Toc2257"/>
      <w:bookmarkStart w:id="25" w:name="_Toc30647"/>
      <w:bookmarkStart w:id="26" w:name="_Toc25895"/>
      <w:r>
        <w:rPr>
          <w:rFonts w:hint="eastAsia" w:ascii="Times New Roman" w:hAnsi="Times New Roman" w:eastAsia="方正仿宋_GBK" w:cs="Times New Roman"/>
          <w:b/>
          <w:bCs/>
          <w:sz w:val="28"/>
          <w:szCs w:val="28"/>
          <w:highlight w:val="none"/>
          <w:lang w:val="en-US" w:eastAsia="zh-CN"/>
        </w:rPr>
        <w:t>附件：</w:t>
      </w:r>
      <w:bookmarkEnd w:id="24"/>
      <w:bookmarkEnd w:id="25"/>
      <w:bookmarkEnd w:id="26"/>
    </w:p>
    <w:p w14:paraId="072DF412">
      <w:pPr>
        <w:spacing w:after="0" w:line="579" w:lineRule="atLeast"/>
        <w:jc w:val="center"/>
        <w:outlineLvl w:val="1"/>
        <w:rPr>
          <w:rFonts w:hint="eastAsia" w:ascii="宋体" w:hAnsi="宋体" w:cs="宋体"/>
          <w:b/>
          <w:sz w:val="24"/>
          <w:highlight w:val="none"/>
        </w:rPr>
      </w:pPr>
      <w:r>
        <w:rPr>
          <w:rFonts w:hint="eastAsia" w:ascii="Times New Roman" w:hAnsi="Times New Roman" w:eastAsia="方正小标宋_GBK"/>
          <w:b/>
          <w:sz w:val="36"/>
          <w:szCs w:val="36"/>
        </w:rPr>
        <w:t>廉政责任书</w:t>
      </w:r>
    </w:p>
    <w:p w14:paraId="7CDB0066">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2027年度硫酸采购项目</w:t>
      </w:r>
    </w:p>
    <w:p w14:paraId="33A352CA">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48486C83">
      <w:pPr>
        <w:spacing w:after="0" w:line="579" w:lineRule="atLeast"/>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乙方</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全称</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w:t>
      </w:r>
      <w:r>
        <w:rPr>
          <w:rFonts w:hint="eastAsia" w:ascii="方正仿宋_GBK" w:hAnsi="方正仿宋_GBK" w:eastAsia="方正仿宋_GBK" w:cs="方正仿宋_GBK"/>
          <w:b/>
          <w:bCs/>
          <w:sz w:val="24"/>
          <w:szCs w:val="24"/>
          <w:lang w:val="en-US" w:eastAsia="zh-CN"/>
        </w:rPr>
        <w:t xml:space="preserve">                               </w:t>
      </w:r>
      <w:r>
        <w:rPr>
          <w:rFonts w:hint="eastAsia" w:ascii="方正仿宋_GBK" w:hAnsi="方正仿宋_GBK" w:eastAsia="方正仿宋_GBK" w:cs="方正仿宋_GBK"/>
          <w:b/>
          <w:bCs/>
          <w:sz w:val="24"/>
          <w:szCs w:val="24"/>
        </w:rPr>
        <w:t xml:space="preserve">       （以下简称乙方）</w:t>
      </w:r>
    </w:p>
    <w:p w14:paraId="6D9789D5">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4"/>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0B5C69D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59E79190">
      <w:pPr>
        <w:pStyle w:val="2"/>
        <w:rPr>
          <w:rFonts w:hint="eastAsia" w:ascii="Times New Roman" w:hAnsi="Times New Roman" w:eastAsia="方正仿宋_GBK" w:cs="Times New Roman"/>
          <w:b/>
          <w:bCs/>
          <w:color w:val="auto"/>
          <w:kern w:val="0"/>
          <w:sz w:val="24"/>
          <w:highlight w:val="none"/>
        </w:rPr>
      </w:pPr>
    </w:p>
    <w:p w14:paraId="6957FF43">
      <w:pPr>
        <w:pStyle w:val="2"/>
        <w:rPr>
          <w:rFonts w:hint="eastAsia" w:ascii="Times New Roman" w:hAnsi="Times New Roman" w:eastAsia="方正仿宋_GBK" w:cs="Times New Roman"/>
          <w:b/>
          <w:bCs/>
          <w:color w:val="auto"/>
          <w:kern w:val="0"/>
          <w:sz w:val="24"/>
          <w:highlight w:val="none"/>
        </w:rPr>
      </w:pPr>
    </w:p>
    <w:p w14:paraId="7B00A02B">
      <w:pPr>
        <w:pStyle w:val="2"/>
        <w:rPr>
          <w:rFonts w:hint="eastAsia" w:ascii="Times New Roman" w:hAnsi="Times New Roman" w:eastAsia="方正仿宋_GBK" w:cs="Times New Roman"/>
          <w:b/>
          <w:bCs/>
          <w:color w:val="auto"/>
          <w:kern w:val="0"/>
          <w:sz w:val="24"/>
          <w:highlight w:val="none"/>
        </w:rPr>
      </w:pPr>
    </w:p>
    <w:p w14:paraId="2C64D323">
      <w:pPr>
        <w:pStyle w:val="2"/>
        <w:rPr>
          <w:rFonts w:hint="eastAsia" w:ascii="Times New Roman" w:hAnsi="Times New Roman" w:eastAsia="方正仿宋_GBK" w:cs="Times New Roman"/>
          <w:b/>
          <w:bCs/>
          <w:color w:val="auto"/>
          <w:kern w:val="0"/>
          <w:sz w:val="24"/>
          <w:highlight w:val="none"/>
        </w:rPr>
      </w:pPr>
    </w:p>
    <w:p w14:paraId="433E1DEA">
      <w:pPr>
        <w:pStyle w:val="2"/>
        <w:rPr>
          <w:rFonts w:hint="eastAsia" w:ascii="Times New Roman" w:hAnsi="Times New Roman" w:eastAsia="方正仿宋_GBK" w:cs="Times New Roman"/>
          <w:b/>
          <w:bCs/>
          <w:color w:val="auto"/>
          <w:kern w:val="0"/>
          <w:sz w:val="24"/>
          <w:highlight w:val="none"/>
        </w:rPr>
      </w:pPr>
    </w:p>
    <w:p w14:paraId="30EFC97E">
      <w:pPr>
        <w:pStyle w:val="2"/>
        <w:rPr>
          <w:rFonts w:hint="eastAsia" w:ascii="Times New Roman" w:hAnsi="Times New Roman" w:eastAsia="方正仿宋_GBK" w:cs="Times New Roman"/>
          <w:b/>
          <w:bCs/>
          <w:color w:val="auto"/>
          <w:kern w:val="0"/>
          <w:sz w:val="24"/>
          <w:highlight w:val="none"/>
        </w:rPr>
      </w:pPr>
    </w:p>
    <w:p w14:paraId="3B382B15">
      <w:pPr>
        <w:pStyle w:val="2"/>
        <w:rPr>
          <w:rFonts w:hint="eastAsia" w:ascii="Times New Roman" w:hAnsi="Times New Roman" w:eastAsia="方正仿宋_GBK" w:cs="Times New Roman"/>
          <w:b/>
          <w:bCs/>
          <w:color w:val="auto"/>
          <w:kern w:val="0"/>
          <w:sz w:val="24"/>
          <w:highlight w:val="none"/>
        </w:rPr>
      </w:pPr>
    </w:p>
    <w:p w14:paraId="6F5B56E0">
      <w:pPr>
        <w:pStyle w:val="2"/>
        <w:rPr>
          <w:rFonts w:hint="eastAsia" w:ascii="Times New Roman" w:hAnsi="Times New Roman" w:eastAsia="方正仿宋_GBK" w:cs="Times New Roman"/>
          <w:b/>
          <w:bCs/>
          <w:color w:val="auto"/>
          <w:kern w:val="0"/>
          <w:sz w:val="24"/>
          <w:highlight w:val="none"/>
        </w:rPr>
      </w:pPr>
    </w:p>
    <w:p w14:paraId="1ED94817">
      <w:pPr>
        <w:pStyle w:val="2"/>
        <w:rPr>
          <w:rFonts w:hint="eastAsia" w:ascii="Times New Roman" w:hAnsi="Times New Roman" w:eastAsia="方正仿宋_GBK" w:cs="Times New Roman"/>
          <w:b/>
          <w:bCs/>
          <w:color w:val="auto"/>
          <w:kern w:val="0"/>
          <w:sz w:val="24"/>
          <w:highlight w:val="none"/>
        </w:rPr>
      </w:pPr>
    </w:p>
    <w:p w14:paraId="7DE9D414">
      <w:pPr>
        <w:pStyle w:val="4"/>
        <w:keepNext/>
        <w:keepLines/>
        <w:pageBreakBefore w:val="0"/>
        <w:widowControl w:val="0"/>
        <w:numPr>
          <w:ilvl w:val="0"/>
          <w:numId w:val="0"/>
        </w:numPr>
        <w:tabs>
          <w:tab w:val="left" w:pos="0"/>
          <w:tab w:val="clear" w:pos="360"/>
        </w:tabs>
        <w:kinsoku/>
        <w:wordWrap/>
        <w:overflowPunct/>
        <w:topLinePunct w:val="0"/>
        <w:autoSpaceDE w:val="0"/>
        <w:autoSpaceDN w:val="0"/>
        <w:bidi w:val="0"/>
        <w:adjustRightInd w:val="0"/>
        <w:snapToGrid/>
        <w:jc w:val="center"/>
        <w:textAlignment w:val="baseline"/>
        <w:rPr>
          <w:rFonts w:hint="eastAsia" w:ascii="仿宋" w:hAnsi="仿宋" w:eastAsia="仿宋" w:cs="仿宋"/>
          <w:snapToGrid w:val="0"/>
          <w:sz w:val="44"/>
          <w:szCs w:val="44"/>
        </w:rPr>
      </w:pPr>
      <w:bookmarkStart w:id="27" w:name="_Toc18350"/>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3"/>
      <w:bookmarkEnd w:id="27"/>
    </w:p>
    <w:p w14:paraId="43C9EF44">
      <w:pPr>
        <w:spacing w:line="480" w:lineRule="auto"/>
        <w:jc w:val="right"/>
        <w:rPr>
          <w:rFonts w:hint="eastAsia" w:ascii="仿宋" w:hAnsi="仿宋" w:eastAsia="仿宋" w:cs="仿宋"/>
          <w:sz w:val="32"/>
        </w:rPr>
      </w:pPr>
    </w:p>
    <w:p w14:paraId="6D16F87F">
      <w:pPr>
        <w:rPr>
          <w:rFonts w:hint="eastAsia" w:ascii="仿宋" w:hAnsi="仿宋" w:eastAsia="仿宋" w:cs="仿宋"/>
          <w:sz w:val="44"/>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2027年度硫酸采购项目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SX-CG-LS-2610011</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62A8B583">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23E69E62">
      <w:pPr>
        <w:jc w:val="left"/>
        <w:outlineLvl w:val="0"/>
        <w:rPr>
          <w:rStyle w:val="20"/>
          <w:rFonts w:hint="eastAsia" w:ascii="仿宋" w:hAnsi="仿宋" w:eastAsia="仿宋" w:cs="仿宋"/>
          <w:sz w:val="30"/>
        </w:rPr>
      </w:pPr>
      <w:bookmarkStart w:id="28" w:name="_Toc21861"/>
      <w:r>
        <w:rPr>
          <w:rStyle w:val="20"/>
          <w:rFonts w:hint="eastAsia" w:ascii="仿宋" w:hAnsi="仿宋" w:eastAsia="仿宋" w:cs="仿宋"/>
          <w:sz w:val="30"/>
        </w:rPr>
        <w:t>附件一：</w:t>
      </w:r>
      <w:bookmarkEnd w:id="28"/>
    </w:p>
    <w:p w14:paraId="7B642CA0">
      <w:pPr>
        <w:jc w:val="left"/>
        <w:outlineLvl w:val="0"/>
        <w:rPr>
          <w:rStyle w:val="20"/>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u w:val="none"/>
          <w:lang w:val="en-US" w:eastAsia="zh-CN"/>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2027年度硫酸采购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经营资质</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61C13146">
            <w:pPr>
              <w:keepNext w:val="0"/>
              <w:keepLines w:val="0"/>
              <w:widowControl/>
              <w:suppressLineNumbers w:val="0"/>
              <w:jc w:val="left"/>
              <w:rPr>
                <w:rFonts w:hint="default"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须具备独立法人资格，营业执照经营范围包含硫酸及相关危化品销售资质；同时须持有有效的《危险化学品经营许可证》，且许可范围包含硫酸；还须提供有效的《非药品类易制毒化学品经营备案证明》。</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bl>
    <w:p w14:paraId="0112E4BC">
      <w:pPr>
        <w:pStyle w:val="19"/>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30"/>
          <w:szCs w:val="30"/>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6FFDA52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2115B25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2.须随表提交相应的证明材料，装订成册。</w:t>
      </w:r>
    </w:p>
    <w:p w14:paraId="06FB6B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06E6F7CC">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57C1826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both"/>
        <w:textAlignment w:val="auto"/>
        <w:rPr>
          <w:rFonts w:hint="eastAsia" w:ascii="仿宋" w:hAnsi="仿宋" w:eastAsia="仿宋" w:cs="仿宋"/>
          <w:sz w:val="30"/>
          <w:szCs w:val="30"/>
          <w:lang w:val="en-US" w:eastAsia="zh-CN"/>
        </w:rPr>
      </w:pP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68506379">
      <w:pPr>
        <w:snapToGrid w:val="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16456038">
      <w:pPr>
        <w:jc w:val="left"/>
        <w:outlineLvl w:val="0"/>
        <w:rPr>
          <w:rStyle w:val="20"/>
          <w:rFonts w:hint="eastAsia" w:ascii="仿宋" w:hAnsi="仿宋" w:eastAsia="仿宋" w:cs="仿宋"/>
          <w:sz w:val="30"/>
        </w:rPr>
      </w:pPr>
    </w:p>
    <w:p w14:paraId="22F63525">
      <w:pPr>
        <w:jc w:val="left"/>
        <w:outlineLvl w:val="0"/>
        <w:rPr>
          <w:rStyle w:val="20"/>
          <w:rFonts w:hint="eastAsia" w:ascii="仿宋" w:hAnsi="仿宋" w:eastAsia="仿宋" w:cs="仿宋"/>
          <w:sz w:val="30"/>
        </w:rPr>
      </w:pPr>
    </w:p>
    <w:p w14:paraId="76D4C335">
      <w:pPr>
        <w:jc w:val="left"/>
        <w:outlineLvl w:val="0"/>
        <w:rPr>
          <w:rStyle w:val="20"/>
          <w:rFonts w:hint="eastAsia" w:ascii="仿宋" w:hAnsi="仿宋" w:eastAsia="仿宋" w:cs="仿宋"/>
          <w:sz w:val="30"/>
        </w:rPr>
      </w:pPr>
    </w:p>
    <w:p w14:paraId="45E313C4">
      <w:pPr>
        <w:jc w:val="left"/>
        <w:outlineLvl w:val="0"/>
        <w:rPr>
          <w:rStyle w:val="20"/>
          <w:rFonts w:hint="eastAsia" w:ascii="仿宋" w:hAnsi="仿宋" w:eastAsia="仿宋" w:cs="仿宋"/>
          <w:sz w:val="30"/>
        </w:rPr>
      </w:pPr>
    </w:p>
    <w:p w14:paraId="3BB14D3A">
      <w:pPr>
        <w:jc w:val="left"/>
        <w:outlineLvl w:val="0"/>
        <w:rPr>
          <w:rStyle w:val="20"/>
          <w:rFonts w:hint="eastAsia" w:ascii="仿宋" w:hAnsi="仿宋" w:eastAsia="仿宋" w:cs="仿宋"/>
          <w:sz w:val="30"/>
        </w:rPr>
      </w:pPr>
    </w:p>
    <w:p w14:paraId="2163831C">
      <w:pPr>
        <w:jc w:val="left"/>
        <w:outlineLvl w:val="0"/>
        <w:rPr>
          <w:rStyle w:val="20"/>
          <w:rFonts w:hint="eastAsia" w:ascii="仿宋" w:hAnsi="仿宋" w:eastAsia="仿宋" w:cs="仿宋"/>
          <w:sz w:val="30"/>
        </w:rPr>
      </w:pPr>
    </w:p>
    <w:p w14:paraId="24F71397">
      <w:pPr>
        <w:jc w:val="left"/>
        <w:outlineLvl w:val="0"/>
        <w:rPr>
          <w:rStyle w:val="20"/>
          <w:rFonts w:hint="eastAsia" w:ascii="仿宋" w:hAnsi="仿宋" w:eastAsia="仿宋" w:cs="仿宋"/>
          <w:sz w:val="30"/>
        </w:rPr>
      </w:pPr>
    </w:p>
    <w:p w14:paraId="720F2A51">
      <w:pPr>
        <w:jc w:val="left"/>
        <w:outlineLvl w:val="0"/>
        <w:rPr>
          <w:rStyle w:val="20"/>
          <w:rFonts w:hint="eastAsia" w:ascii="仿宋" w:hAnsi="仿宋" w:eastAsia="仿宋" w:cs="仿宋"/>
          <w:sz w:val="30"/>
        </w:rPr>
      </w:pPr>
    </w:p>
    <w:p w14:paraId="24EFC1F4">
      <w:pPr>
        <w:jc w:val="left"/>
        <w:outlineLvl w:val="0"/>
        <w:rPr>
          <w:rStyle w:val="20"/>
          <w:rFonts w:hint="eastAsia" w:ascii="仿宋" w:hAnsi="仿宋" w:eastAsia="仿宋" w:cs="仿宋"/>
          <w:sz w:val="30"/>
        </w:rPr>
      </w:pPr>
    </w:p>
    <w:p w14:paraId="32D522C4">
      <w:pPr>
        <w:jc w:val="left"/>
        <w:outlineLvl w:val="0"/>
        <w:rPr>
          <w:rStyle w:val="20"/>
          <w:rFonts w:hint="eastAsia" w:ascii="仿宋" w:hAnsi="仿宋" w:eastAsia="仿宋" w:cs="仿宋"/>
          <w:sz w:val="30"/>
        </w:rPr>
      </w:pPr>
    </w:p>
    <w:p w14:paraId="0FE4A651">
      <w:pPr>
        <w:jc w:val="left"/>
        <w:outlineLvl w:val="0"/>
        <w:rPr>
          <w:rStyle w:val="20"/>
          <w:rFonts w:hint="eastAsia" w:ascii="仿宋" w:hAnsi="仿宋" w:eastAsia="仿宋" w:cs="仿宋"/>
          <w:sz w:val="30"/>
        </w:rPr>
      </w:pPr>
    </w:p>
    <w:p w14:paraId="1607DB4D">
      <w:pPr>
        <w:jc w:val="left"/>
        <w:outlineLvl w:val="0"/>
        <w:rPr>
          <w:rStyle w:val="20"/>
          <w:rFonts w:hint="eastAsia" w:ascii="仿宋" w:hAnsi="仿宋" w:eastAsia="仿宋" w:cs="仿宋"/>
          <w:sz w:val="30"/>
        </w:rPr>
      </w:pPr>
    </w:p>
    <w:p w14:paraId="3C50571C">
      <w:pPr>
        <w:jc w:val="left"/>
        <w:outlineLvl w:val="0"/>
        <w:rPr>
          <w:rStyle w:val="20"/>
          <w:rFonts w:hint="eastAsia" w:ascii="仿宋" w:hAnsi="仿宋" w:eastAsia="仿宋" w:cs="仿宋"/>
          <w:sz w:val="30"/>
        </w:rPr>
      </w:pPr>
    </w:p>
    <w:p w14:paraId="457E00E7">
      <w:pPr>
        <w:jc w:val="left"/>
        <w:outlineLvl w:val="0"/>
        <w:rPr>
          <w:rStyle w:val="20"/>
          <w:rFonts w:hint="eastAsia" w:ascii="仿宋" w:hAnsi="仿宋" w:eastAsia="仿宋" w:cs="仿宋"/>
          <w:sz w:val="30"/>
        </w:rPr>
      </w:pPr>
    </w:p>
    <w:p w14:paraId="7A8CB929">
      <w:pPr>
        <w:jc w:val="left"/>
        <w:outlineLvl w:val="0"/>
        <w:rPr>
          <w:rStyle w:val="20"/>
          <w:rFonts w:hint="eastAsia" w:ascii="仿宋" w:hAnsi="仿宋" w:eastAsia="仿宋" w:cs="仿宋"/>
          <w:sz w:val="30"/>
        </w:rPr>
      </w:pPr>
    </w:p>
    <w:p w14:paraId="4D729472">
      <w:pPr>
        <w:jc w:val="left"/>
        <w:outlineLvl w:val="0"/>
        <w:rPr>
          <w:rStyle w:val="20"/>
          <w:rFonts w:hint="eastAsia" w:ascii="仿宋" w:hAnsi="仿宋" w:eastAsia="仿宋" w:cs="仿宋"/>
          <w:sz w:val="30"/>
        </w:rPr>
      </w:pPr>
    </w:p>
    <w:p w14:paraId="434D7A37">
      <w:pPr>
        <w:jc w:val="left"/>
        <w:outlineLvl w:val="0"/>
        <w:rPr>
          <w:rStyle w:val="20"/>
          <w:rFonts w:hint="eastAsia" w:ascii="仿宋" w:hAnsi="仿宋" w:eastAsia="仿宋" w:cs="仿宋"/>
          <w:sz w:val="30"/>
        </w:rPr>
      </w:pPr>
    </w:p>
    <w:p w14:paraId="454907E9">
      <w:pPr>
        <w:jc w:val="left"/>
        <w:outlineLvl w:val="0"/>
        <w:rPr>
          <w:rStyle w:val="20"/>
          <w:rFonts w:hint="eastAsia" w:ascii="仿宋" w:hAnsi="仿宋" w:eastAsia="仿宋" w:cs="仿宋"/>
          <w:sz w:val="30"/>
        </w:rPr>
      </w:pPr>
    </w:p>
    <w:p w14:paraId="524E37E4">
      <w:pPr>
        <w:jc w:val="left"/>
        <w:outlineLvl w:val="0"/>
        <w:rPr>
          <w:rStyle w:val="20"/>
          <w:rFonts w:hint="eastAsia" w:ascii="仿宋" w:hAnsi="仿宋" w:eastAsia="仿宋" w:cs="仿宋"/>
          <w:sz w:val="30"/>
        </w:rPr>
      </w:pPr>
    </w:p>
    <w:p w14:paraId="628D91F2">
      <w:pPr>
        <w:jc w:val="left"/>
        <w:outlineLvl w:val="0"/>
        <w:rPr>
          <w:rStyle w:val="20"/>
          <w:rFonts w:hint="eastAsia" w:ascii="仿宋" w:hAnsi="仿宋" w:eastAsia="仿宋" w:cs="仿宋"/>
          <w:sz w:val="30"/>
        </w:rPr>
      </w:pPr>
    </w:p>
    <w:p w14:paraId="65AEFA9A">
      <w:pPr>
        <w:jc w:val="left"/>
        <w:outlineLvl w:val="0"/>
        <w:rPr>
          <w:rStyle w:val="20"/>
          <w:rFonts w:hint="eastAsia" w:ascii="仿宋" w:hAnsi="仿宋" w:eastAsia="仿宋" w:cs="仿宋"/>
          <w:sz w:val="30"/>
        </w:rPr>
      </w:pPr>
    </w:p>
    <w:p w14:paraId="7FAB4939">
      <w:pPr>
        <w:jc w:val="left"/>
        <w:outlineLvl w:val="0"/>
        <w:rPr>
          <w:rStyle w:val="20"/>
          <w:rFonts w:hint="eastAsia" w:ascii="仿宋" w:hAnsi="仿宋" w:eastAsia="仿宋" w:cs="仿宋"/>
          <w:sz w:val="30"/>
        </w:rPr>
      </w:pPr>
    </w:p>
    <w:p w14:paraId="0981CA9B">
      <w:pPr>
        <w:jc w:val="left"/>
        <w:outlineLvl w:val="0"/>
        <w:rPr>
          <w:rStyle w:val="20"/>
          <w:rFonts w:hint="eastAsia" w:ascii="仿宋" w:hAnsi="仿宋" w:eastAsia="仿宋" w:cs="仿宋"/>
          <w:sz w:val="30"/>
        </w:rPr>
      </w:pPr>
    </w:p>
    <w:p w14:paraId="1E879D37">
      <w:pPr>
        <w:jc w:val="left"/>
        <w:outlineLvl w:val="0"/>
        <w:rPr>
          <w:rStyle w:val="20"/>
          <w:rFonts w:hint="eastAsia" w:ascii="仿宋" w:hAnsi="仿宋" w:eastAsia="仿宋" w:cs="仿宋"/>
          <w:sz w:val="30"/>
        </w:rPr>
      </w:pPr>
    </w:p>
    <w:p w14:paraId="1EEE56BA">
      <w:pPr>
        <w:jc w:val="left"/>
        <w:outlineLvl w:val="0"/>
        <w:rPr>
          <w:rStyle w:val="20"/>
          <w:rFonts w:hint="eastAsia" w:ascii="仿宋" w:hAnsi="仿宋" w:eastAsia="仿宋" w:cs="仿宋"/>
          <w:sz w:val="30"/>
        </w:rPr>
      </w:pPr>
    </w:p>
    <w:p w14:paraId="6A36D447">
      <w:pPr>
        <w:jc w:val="left"/>
        <w:outlineLvl w:val="0"/>
        <w:rPr>
          <w:rStyle w:val="20"/>
          <w:rFonts w:hint="eastAsia" w:ascii="仿宋" w:hAnsi="仿宋" w:eastAsia="仿宋" w:cs="仿宋"/>
          <w:sz w:val="30"/>
        </w:rPr>
      </w:pPr>
    </w:p>
    <w:p w14:paraId="44A22705">
      <w:pPr>
        <w:jc w:val="left"/>
        <w:outlineLvl w:val="0"/>
        <w:rPr>
          <w:rStyle w:val="20"/>
          <w:rFonts w:hint="eastAsia" w:ascii="仿宋" w:hAnsi="仿宋" w:eastAsia="仿宋" w:cs="仿宋"/>
          <w:sz w:val="30"/>
        </w:rPr>
      </w:pPr>
    </w:p>
    <w:p w14:paraId="704738AE">
      <w:pPr>
        <w:jc w:val="left"/>
        <w:outlineLvl w:val="0"/>
        <w:rPr>
          <w:rStyle w:val="20"/>
          <w:rFonts w:hint="eastAsia" w:ascii="仿宋" w:hAnsi="仿宋" w:eastAsia="仿宋" w:cs="仿宋"/>
          <w:sz w:val="30"/>
        </w:rPr>
      </w:pPr>
    </w:p>
    <w:p w14:paraId="399CD194">
      <w:pPr>
        <w:jc w:val="left"/>
        <w:outlineLvl w:val="0"/>
        <w:rPr>
          <w:rStyle w:val="20"/>
          <w:rFonts w:hint="eastAsia" w:ascii="仿宋" w:hAnsi="仿宋" w:eastAsia="仿宋" w:cs="仿宋"/>
          <w:sz w:val="30"/>
        </w:rPr>
      </w:pPr>
    </w:p>
    <w:p w14:paraId="4D232D50">
      <w:pPr>
        <w:jc w:val="left"/>
        <w:outlineLvl w:val="0"/>
        <w:rPr>
          <w:rStyle w:val="20"/>
          <w:rFonts w:hint="eastAsia" w:ascii="仿宋" w:hAnsi="仿宋" w:eastAsia="仿宋" w:cs="仿宋"/>
          <w:sz w:val="30"/>
        </w:rPr>
      </w:pPr>
    </w:p>
    <w:p w14:paraId="244FD36A">
      <w:pPr>
        <w:jc w:val="left"/>
        <w:outlineLvl w:val="0"/>
        <w:rPr>
          <w:rStyle w:val="20"/>
          <w:rFonts w:hint="eastAsia" w:ascii="仿宋" w:hAnsi="仿宋" w:eastAsia="仿宋" w:cs="仿宋"/>
          <w:sz w:val="30"/>
        </w:rPr>
      </w:pPr>
    </w:p>
    <w:p w14:paraId="264E6311">
      <w:pPr>
        <w:jc w:val="left"/>
        <w:outlineLvl w:val="0"/>
        <w:rPr>
          <w:rStyle w:val="20"/>
          <w:rFonts w:hint="eastAsia" w:ascii="仿宋" w:hAnsi="仿宋" w:eastAsia="仿宋" w:cs="仿宋"/>
          <w:sz w:val="30"/>
        </w:rPr>
      </w:pPr>
    </w:p>
    <w:p w14:paraId="29071F0A">
      <w:pPr>
        <w:jc w:val="left"/>
        <w:outlineLvl w:val="0"/>
        <w:rPr>
          <w:rStyle w:val="20"/>
          <w:rFonts w:hint="eastAsia" w:ascii="仿宋" w:hAnsi="仿宋" w:eastAsia="仿宋" w:cs="仿宋"/>
          <w:sz w:val="30"/>
        </w:rPr>
      </w:pPr>
    </w:p>
    <w:p w14:paraId="7F6E76C6">
      <w:pPr>
        <w:jc w:val="left"/>
        <w:outlineLvl w:val="0"/>
        <w:rPr>
          <w:rStyle w:val="20"/>
          <w:rFonts w:hint="eastAsia" w:ascii="仿宋" w:hAnsi="仿宋" w:eastAsia="仿宋" w:cs="仿宋"/>
          <w:sz w:val="30"/>
        </w:rPr>
      </w:pPr>
    </w:p>
    <w:p w14:paraId="743E8D4B">
      <w:pPr>
        <w:jc w:val="left"/>
        <w:outlineLvl w:val="0"/>
        <w:rPr>
          <w:rStyle w:val="20"/>
          <w:rFonts w:hint="eastAsia" w:ascii="仿宋" w:hAnsi="仿宋" w:eastAsia="仿宋" w:cs="仿宋"/>
          <w:sz w:val="30"/>
        </w:rPr>
      </w:pPr>
      <w:bookmarkStart w:id="29" w:name="_Toc27470"/>
      <w:r>
        <w:rPr>
          <w:rStyle w:val="20"/>
          <w:rFonts w:hint="eastAsia" w:ascii="仿宋" w:hAnsi="仿宋" w:eastAsia="仿宋" w:cs="仿宋"/>
          <w:sz w:val="30"/>
        </w:rPr>
        <w:t>附件</w:t>
      </w:r>
      <w:r>
        <w:rPr>
          <w:rStyle w:val="20"/>
          <w:rFonts w:hint="eastAsia" w:ascii="仿宋" w:hAnsi="仿宋" w:eastAsia="仿宋" w:cs="仿宋"/>
          <w:sz w:val="30"/>
          <w:lang w:val="en-US"/>
        </w:rPr>
        <w:t>二：</w:t>
      </w:r>
      <w:bookmarkEnd w:id="29"/>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2027年度硫酸采购 </w:t>
      </w:r>
      <w:r>
        <w:rPr>
          <w:rFonts w:hint="eastAsia" w:ascii="仿宋" w:hAnsi="仿宋" w:eastAsia="仿宋" w:cs="仿宋"/>
          <w:sz w:val="30"/>
          <w:szCs w:val="30"/>
          <w:u w:val="none"/>
          <w:lang w:val="en-US" w:eastAsia="zh-CN"/>
        </w:rPr>
        <w:t>项目。</w:t>
      </w:r>
    </w:p>
    <w:tbl>
      <w:tblPr>
        <w:tblStyle w:val="13"/>
        <w:tblW w:w="5180" w:type="pct"/>
        <w:jc w:val="center"/>
        <w:tblLayout w:type="fixed"/>
        <w:tblCellMar>
          <w:top w:w="0" w:type="dxa"/>
          <w:left w:w="108" w:type="dxa"/>
          <w:bottom w:w="0" w:type="dxa"/>
          <w:right w:w="108" w:type="dxa"/>
        </w:tblCellMar>
      </w:tblPr>
      <w:tblGrid>
        <w:gridCol w:w="672"/>
        <w:gridCol w:w="2146"/>
        <w:gridCol w:w="2599"/>
        <w:gridCol w:w="915"/>
        <w:gridCol w:w="932"/>
        <w:gridCol w:w="1128"/>
        <w:gridCol w:w="1229"/>
      </w:tblGrid>
      <w:tr w14:paraId="03E44E3E">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D30A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69" w:type="dxa"/>
            <w:tcBorders>
              <w:top w:val="single" w:color="000000" w:sz="4" w:space="0"/>
              <w:left w:val="single" w:color="000000" w:sz="4" w:space="0"/>
              <w:bottom w:val="single" w:color="000000" w:sz="4" w:space="0"/>
              <w:right w:val="single" w:color="000000" w:sz="4" w:space="0"/>
            </w:tcBorders>
            <w:noWrap/>
            <w:vAlign w:val="center"/>
          </w:tcPr>
          <w:p w14:paraId="6CC5E9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6350F1D8">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444F3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预估数量</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F9A93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1C37A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128" w:type="dxa"/>
            <w:tcBorders>
              <w:top w:val="single" w:color="000000" w:sz="4" w:space="0"/>
              <w:left w:val="single" w:color="000000" w:sz="4" w:space="0"/>
              <w:bottom w:val="single" w:color="000000" w:sz="4" w:space="0"/>
              <w:right w:val="single" w:color="000000" w:sz="4" w:space="0"/>
            </w:tcBorders>
            <w:noWrap/>
            <w:vAlign w:val="center"/>
          </w:tcPr>
          <w:p w14:paraId="436DD7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263476A8">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20F41994">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1FF740C4">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color w:val="000000"/>
                <w:kern w:val="0"/>
                <w:sz w:val="24"/>
                <w:szCs w:val="24"/>
                <w:u w:val="none"/>
                <w:lang w:val="en-US" w:eastAsia="zh-CN" w:bidi="ar"/>
              </w:rPr>
              <w:t>硫酸</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07FD5921">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000000"/>
                <w:kern w:val="0"/>
                <w:sz w:val="24"/>
                <w:szCs w:val="24"/>
                <w:u w:val="none"/>
                <w:lang w:val="en-US" w:eastAsia="zh-CN" w:bidi="ar"/>
              </w:rPr>
              <w:t>98% 浓硫酸</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533B590">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36</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3A0A739A">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000000"/>
                <w:kern w:val="0"/>
                <w:sz w:val="24"/>
                <w:szCs w:val="24"/>
                <w:u w:val="none"/>
                <w:lang w:val="en-US" w:eastAsia="zh-CN" w:bidi="ar"/>
              </w:rPr>
              <w:t>吨</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681C89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04110D3A">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7E32B6D8">
      <w:pPr>
        <w:pStyle w:val="10"/>
        <w:rPr>
          <w:rFonts w:hint="eastAsia" w:ascii="仿宋" w:hAnsi="仿宋" w:eastAsia="仿宋" w:cs="仿宋"/>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rPr>
        <w:t>报价如下：（</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元</w:t>
      </w:r>
      <w:r>
        <w:rPr>
          <w:rFonts w:hint="eastAsia" w:ascii="仿宋" w:hAnsi="仿宋" w:eastAsia="仿宋" w:cs="仿宋"/>
          <w:sz w:val="30"/>
          <w:szCs w:val="30"/>
          <w:highlight w:val="none"/>
        </w:rPr>
        <w:t>，税率为</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w:t>
      </w:r>
    </w:p>
    <w:p w14:paraId="41FE2C7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每批次送货完成且经由采购人验收合格后，供货方提供经双方确认的送货清单及等额、合法、有效的增值税专用发票，采购人自收到准确清单和发票且核</w:t>
      </w:r>
      <w:r>
        <w:rPr>
          <w:rFonts w:hint="eastAsia" w:ascii="仿宋" w:hAnsi="仿宋" w:eastAsia="仿宋" w:cs="仿宋"/>
          <w:sz w:val="30"/>
          <w:szCs w:val="30"/>
          <w:lang w:val="en-US" w:eastAsia="zh-CN"/>
        </w:rPr>
        <w:t>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r>
        <w:rPr>
          <w:rFonts w:hint="eastAsia" w:ascii="仿宋" w:hAnsi="仿宋" w:eastAsia="仿宋" w:cs="仿宋"/>
          <w:sz w:val="30"/>
          <w:szCs w:val="30"/>
          <w:highlight w:val="none"/>
          <w:lang w:val="en-US" w:eastAsia="zh-CN"/>
        </w:rPr>
        <w:t>。</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币7.4</w:t>
      </w:r>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2.该采购项目履约保证金为合同价的5%。供货方于合同签订前将履约保证金打入采购人指定账户。其履约保证金于合同期满且无未决质量争议后无息退还。</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4.预成交公示结束后，供货方在收到采购人拟订合同（所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5.以上总价应为含税全包价，包括运费、税费等一切费用，发票必须为增值税专用发票。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0FE1FA15">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744F294C">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0E06A07D">
      <w:pPr>
        <w:spacing w:line="360" w:lineRule="auto"/>
        <w:jc w:val="center"/>
        <w:rPr>
          <w:rFonts w:hint="eastAsia" w:ascii="仿宋" w:hAnsi="仿宋" w:eastAsia="仿宋" w:cs="仿宋"/>
          <w:b/>
          <w:color w:val="auto"/>
          <w:sz w:val="44"/>
          <w:lang w:val="en-US" w:eastAsia="zh-CN"/>
        </w:rPr>
      </w:pPr>
    </w:p>
    <w:p w14:paraId="73EF7B39">
      <w:pPr>
        <w:spacing w:line="360" w:lineRule="auto"/>
        <w:jc w:val="center"/>
        <w:rPr>
          <w:rFonts w:hint="eastAsia" w:ascii="仿宋" w:hAnsi="仿宋" w:eastAsia="仿宋" w:cs="仿宋"/>
          <w:b/>
          <w:color w:val="auto"/>
          <w:sz w:val="44"/>
          <w:lang w:val="en-US" w:eastAsia="zh-CN"/>
        </w:rPr>
      </w:pPr>
    </w:p>
    <w:p w14:paraId="673A4905">
      <w:pPr>
        <w:spacing w:line="360" w:lineRule="auto"/>
        <w:jc w:val="center"/>
        <w:rPr>
          <w:rFonts w:hint="eastAsia" w:ascii="仿宋" w:hAnsi="仿宋" w:eastAsia="仿宋" w:cs="仿宋"/>
          <w:b/>
          <w:color w:val="auto"/>
          <w:sz w:val="44"/>
          <w:lang w:val="en-US" w:eastAsia="zh-CN"/>
        </w:rPr>
      </w:pPr>
    </w:p>
    <w:p w14:paraId="5C0514F7">
      <w:pPr>
        <w:spacing w:line="360" w:lineRule="auto"/>
        <w:jc w:val="center"/>
        <w:rPr>
          <w:rFonts w:hint="eastAsia" w:ascii="仿宋" w:hAnsi="仿宋" w:eastAsia="仿宋" w:cs="仿宋"/>
          <w:b/>
          <w:color w:val="auto"/>
          <w:sz w:val="44"/>
          <w:lang w:val="en-US" w:eastAsia="zh-CN"/>
        </w:rPr>
      </w:pPr>
    </w:p>
    <w:p w14:paraId="0DD8ABE5">
      <w:pPr>
        <w:spacing w:line="360" w:lineRule="auto"/>
        <w:jc w:val="center"/>
        <w:rPr>
          <w:rFonts w:hint="eastAsia" w:ascii="仿宋" w:hAnsi="仿宋" w:eastAsia="仿宋" w:cs="仿宋"/>
          <w:b/>
          <w:color w:val="auto"/>
          <w:sz w:val="44"/>
          <w:lang w:val="en-US" w:eastAsia="zh-CN"/>
        </w:rPr>
      </w:pPr>
    </w:p>
    <w:p w14:paraId="3C20548E">
      <w:pPr>
        <w:spacing w:line="360" w:lineRule="auto"/>
        <w:jc w:val="center"/>
        <w:rPr>
          <w:rFonts w:hint="eastAsia" w:ascii="仿宋" w:hAnsi="仿宋" w:eastAsia="仿宋" w:cs="仿宋"/>
          <w:b/>
          <w:color w:val="auto"/>
          <w:sz w:val="44"/>
          <w:lang w:val="en-US" w:eastAsia="zh-CN"/>
        </w:rPr>
      </w:pPr>
    </w:p>
    <w:p w14:paraId="039241B6">
      <w:pPr>
        <w:spacing w:line="360" w:lineRule="auto"/>
        <w:jc w:val="center"/>
        <w:rPr>
          <w:rFonts w:hint="eastAsia" w:ascii="仿宋" w:hAnsi="仿宋" w:eastAsia="仿宋" w:cs="仿宋"/>
          <w:b/>
          <w:color w:val="auto"/>
          <w:sz w:val="44"/>
          <w:lang w:val="en-US" w:eastAsia="zh-CN"/>
        </w:rPr>
      </w:pPr>
    </w:p>
    <w:p w14:paraId="52314FCF">
      <w:pPr>
        <w:pStyle w:val="2"/>
        <w:rPr>
          <w:rFonts w:hint="eastAsia" w:ascii="仿宋" w:hAnsi="仿宋" w:eastAsia="仿宋" w:cs="仿宋"/>
          <w:b/>
          <w:color w:val="auto"/>
          <w:sz w:val="44"/>
          <w:lang w:val="en-US" w:eastAsia="zh-CN"/>
        </w:rPr>
      </w:pPr>
    </w:p>
    <w:p w14:paraId="0C0ABF46">
      <w:pPr>
        <w:spacing w:line="480" w:lineRule="auto"/>
        <w:jc w:val="left"/>
        <w:outlineLvl w:val="0"/>
        <w:rPr>
          <w:rStyle w:val="20"/>
          <w:rFonts w:hint="eastAsia" w:ascii="仿宋" w:hAnsi="仿宋" w:eastAsia="仿宋" w:cs="仿宋"/>
          <w:sz w:val="30"/>
        </w:rPr>
      </w:pPr>
    </w:p>
    <w:p w14:paraId="4BA40F3E">
      <w:pPr>
        <w:spacing w:line="480" w:lineRule="auto"/>
        <w:jc w:val="left"/>
        <w:outlineLvl w:val="0"/>
        <w:rPr>
          <w:rFonts w:hint="eastAsia" w:ascii="仿宋" w:hAnsi="仿宋" w:eastAsia="仿宋" w:cs="仿宋"/>
          <w:b/>
          <w:spacing w:val="-2"/>
          <w:sz w:val="30"/>
        </w:rPr>
      </w:pPr>
      <w:bookmarkStart w:id="30" w:name="_Toc3991"/>
      <w:r>
        <w:rPr>
          <w:rStyle w:val="20"/>
          <w:rFonts w:hint="eastAsia" w:ascii="仿宋" w:hAnsi="仿宋" w:eastAsia="仿宋" w:cs="仿宋"/>
          <w:sz w:val="30"/>
        </w:rPr>
        <w:t>附件三：</w:t>
      </w:r>
      <w:bookmarkEnd w:id="30"/>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2027年度硫酸采购 </w:t>
      </w:r>
      <w:r>
        <w:rPr>
          <w:rFonts w:hint="eastAsia" w:ascii="仿宋" w:hAnsi="仿宋" w:eastAsia="仿宋" w:cs="仿宋"/>
          <w:color w:val="auto"/>
          <w:sz w:val="30"/>
          <w:szCs w:val="30"/>
          <w:u w:val="none"/>
          <w:lang w:val="en-US" w:eastAsia="zh-CN"/>
        </w:rPr>
        <w:t>项目。</w:t>
      </w:r>
    </w:p>
    <w:tbl>
      <w:tblPr>
        <w:tblStyle w:val="13"/>
        <w:tblW w:w="5180" w:type="pct"/>
        <w:jc w:val="center"/>
        <w:tblLayout w:type="fixed"/>
        <w:tblCellMar>
          <w:top w:w="0" w:type="dxa"/>
          <w:left w:w="108" w:type="dxa"/>
          <w:bottom w:w="0" w:type="dxa"/>
          <w:right w:w="108" w:type="dxa"/>
        </w:tblCellMar>
      </w:tblPr>
      <w:tblGrid>
        <w:gridCol w:w="672"/>
        <w:gridCol w:w="2146"/>
        <w:gridCol w:w="2599"/>
        <w:gridCol w:w="915"/>
        <w:gridCol w:w="932"/>
        <w:gridCol w:w="1128"/>
        <w:gridCol w:w="1229"/>
      </w:tblGrid>
      <w:tr w14:paraId="72480A96">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4FC852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69" w:type="dxa"/>
            <w:tcBorders>
              <w:top w:val="single" w:color="000000" w:sz="4" w:space="0"/>
              <w:left w:val="single" w:color="000000" w:sz="4" w:space="0"/>
              <w:bottom w:val="single" w:color="000000" w:sz="4" w:space="0"/>
              <w:right w:val="single" w:color="000000" w:sz="4" w:space="0"/>
            </w:tcBorders>
            <w:noWrap/>
            <w:vAlign w:val="center"/>
          </w:tcPr>
          <w:p w14:paraId="29AE12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364036AC">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3325C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预估数量</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61D0C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CC0FE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128" w:type="dxa"/>
            <w:tcBorders>
              <w:top w:val="single" w:color="000000" w:sz="4" w:space="0"/>
              <w:left w:val="single" w:color="000000" w:sz="4" w:space="0"/>
              <w:bottom w:val="single" w:color="000000" w:sz="4" w:space="0"/>
              <w:right w:val="single" w:color="000000" w:sz="4" w:space="0"/>
            </w:tcBorders>
            <w:noWrap/>
            <w:vAlign w:val="center"/>
          </w:tcPr>
          <w:p w14:paraId="550381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21ADA668">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D7D1FB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32F88438">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color w:val="000000"/>
                <w:kern w:val="0"/>
                <w:sz w:val="24"/>
                <w:szCs w:val="24"/>
                <w:highlight w:val="none"/>
                <w:u w:val="none"/>
                <w:lang w:val="en-US" w:eastAsia="zh-CN" w:bidi="ar"/>
              </w:rPr>
              <w:t>硫酸</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7093B611">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000000"/>
                <w:kern w:val="0"/>
                <w:sz w:val="24"/>
                <w:szCs w:val="24"/>
                <w:highlight w:val="none"/>
                <w:u w:val="none"/>
                <w:lang w:val="en-US" w:eastAsia="zh-CN" w:bidi="ar"/>
              </w:rPr>
              <w:t>98% 浓硫酸</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6930C94">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36</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475F5548">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000000"/>
                <w:kern w:val="0"/>
                <w:sz w:val="24"/>
                <w:szCs w:val="24"/>
                <w:highlight w:val="none"/>
                <w:u w:val="none"/>
                <w:lang w:val="en-US" w:eastAsia="zh-CN" w:bidi="ar"/>
              </w:rPr>
              <w:t>吨</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33E7E3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72BC36B2">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46C1E268">
      <w:pPr>
        <w:pStyle w:val="10"/>
        <w:rPr>
          <w:rFonts w:hint="eastAsia" w:ascii="仿宋" w:hAnsi="仿宋" w:eastAsia="仿宋" w:cs="仿宋"/>
          <w:color w:val="auto"/>
          <w:highlight w:val="none"/>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14C4C6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yellow"/>
        </w:rPr>
      </w:pPr>
      <w:r>
        <w:rPr>
          <w:rFonts w:hint="eastAsia" w:ascii="仿宋" w:hAnsi="仿宋" w:eastAsia="仿宋" w:cs="仿宋"/>
          <w:color w:val="auto"/>
          <w:kern w:val="2"/>
          <w:sz w:val="30"/>
          <w:szCs w:val="30"/>
          <w:highlight w:val="none"/>
          <w:lang w:val="en-US" w:eastAsia="zh-CN" w:bidi="ar-SA"/>
        </w:rPr>
        <w:t>1.</w:t>
      </w:r>
      <w:r>
        <w:rPr>
          <w:rFonts w:hint="eastAsia" w:ascii="仿宋" w:hAnsi="仿宋" w:eastAsia="仿宋" w:cs="仿宋"/>
          <w:color w:val="auto"/>
          <w:sz w:val="30"/>
          <w:szCs w:val="30"/>
          <w:highlight w:val="none"/>
          <w:lang w:eastAsia="zh-CN"/>
        </w:rPr>
        <w:t>付款方式：</w:t>
      </w:r>
      <w:r>
        <w:rPr>
          <w:rFonts w:hint="eastAsia" w:ascii="仿宋" w:hAnsi="仿宋" w:eastAsia="仿宋" w:cs="仿宋"/>
          <w:color w:val="auto"/>
          <w:sz w:val="30"/>
          <w:szCs w:val="30"/>
          <w:highlight w:val="none"/>
          <w:lang w:val="en-US" w:eastAsia="zh-CN"/>
        </w:rPr>
        <w:t>每批次送货完成且经由采购人验收合格后，供货方提供经双方确认的送货清单及等额、合法</w:t>
      </w:r>
      <w:r>
        <w:rPr>
          <w:rFonts w:hint="eastAsia" w:ascii="仿宋" w:hAnsi="仿宋" w:eastAsia="仿宋" w:cs="仿宋"/>
          <w:color w:val="auto"/>
          <w:sz w:val="30"/>
          <w:szCs w:val="30"/>
          <w:lang w:val="en-US" w:eastAsia="zh-CN"/>
        </w:rPr>
        <w:t>、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45303994">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31" w:name="_Toc108839328"/>
      <w:bookmarkStart w:id="32" w:name="_Toc103165678"/>
      <w:bookmarkStart w:id="33" w:name="_Toc18211"/>
      <w:r>
        <w:rPr>
          <w:rStyle w:val="20"/>
          <w:rFonts w:hint="eastAsia" w:ascii="仿宋" w:hAnsi="仿宋" w:eastAsia="仿宋" w:cs="仿宋"/>
          <w:sz w:val="30"/>
        </w:rPr>
        <w:t>附件</w:t>
      </w:r>
      <w:bookmarkEnd w:id="31"/>
      <w:bookmarkEnd w:id="32"/>
      <w:r>
        <w:rPr>
          <w:rStyle w:val="20"/>
          <w:rFonts w:hint="eastAsia" w:ascii="仿宋" w:hAnsi="仿宋" w:eastAsia="仿宋" w:cs="仿宋"/>
          <w:sz w:val="30"/>
          <w:lang w:val="en-US"/>
        </w:rPr>
        <w:t>四：</w:t>
      </w:r>
      <w:bookmarkEnd w:id="33"/>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2027年度硫酸采购项目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2"/>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8"/>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1171CA"/>
    <w:multiLevelType w:val="singleLevel"/>
    <w:tmpl w:val="8A1171CA"/>
    <w:lvl w:ilvl="0" w:tentative="0">
      <w:start w:val="1"/>
      <w:numFmt w:val="decimal"/>
      <w:suff w:val="nothing"/>
      <w:lvlText w:val="%1"/>
      <w:lvlJc w:val="left"/>
      <w:pPr>
        <w:ind w:left="635" w:leftChars="0" w:hanging="425" w:firstLineChars="0"/>
      </w:pPr>
      <w:rPr>
        <w:rFonts w:hint="default"/>
      </w:rPr>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00000020"/>
    <w:multiLevelType w:val="multilevel"/>
    <w:tmpl w:val="00000020"/>
    <w:lvl w:ilvl="0" w:tentative="0">
      <w:start w:val="1"/>
      <w:numFmt w:val="decimal"/>
      <w:pStyle w:val="4"/>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5">
    <w:nsid w:val="3E93065A"/>
    <w:multiLevelType w:val="singleLevel"/>
    <w:tmpl w:val="3E93065A"/>
    <w:lvl w:ilvl="0" w:tentative="0">
      <w:start w:val="1"/>
      <w:numFmt w:val="decimal"/>
      <w:suff w:val="nothing"/>
      <w:lvlText w:val="%1"/>
      <w:lvlJc w:val="left"/>
      <w:pPr>
        <w:ind w:left="635" w:leftChars="0" w:hanging="425" w:firstLineChars="0"/>
      </w:pPr>
      <w:rPr>
        <w:rFonts w:hint="default"/>
      </w:rPr>
    </w:lvl>
  </w:abstractNum>
  <w:abstractNum w:abstractNumId="6">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6"/>
  </w:num>
  <w:num w:numId="4">
    <w:abstractNumId w:val="1"/>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8746A5"/>
    <w:rsid w:val="00B574EC"/>
    <w:rsid w:val="01D22213"/>
    <w:rsid w:val="027B64C4"/>
    <w:rsid w:val="02834D04"/>
    <w:rsid w:val="038D5656"/>
    <w:rsid w:val="04464BDF"/>
    <w:rsid w:val="04605697"/>
    <w:rsid w:val="05D22118"/>
    <w:rsid w:val="05EC05B3"/>
    <w:rsid w:val="06057AB3"/>
    <w:rsid w:val="067A3460"/>
    <w:rsid w:val="072764AD"/>
    <w:rsid w:val="076328DA"/>
    <w:rsid w:val="08186607"/>
    <w:rsid w:val="08323D9B"/>
    <w:rsid w:val="083A3947"/>
    <w:rsid w:val="08D00067"/>
    <w:rsid w:val="08F93082"/>
    <w:rsid w:val="097479E0"/>
    <w:rsid w:val="0A0C6ADD"/>
    <w:rsid w:val="0A32752C"/>
    <w:rsid w:val="0A9D29B8"/>
    <w:rsid w:val="0B237EC8"/>
    <w:rsid w:val="0B2C6C02"/>
    <w:rsid w:val="0BC12699"/>
    <w:rsid w:val="0BCC31F9"/>
    <w:rsid w:val="0C5A16A4"/>
    <w:rsid w:val="0DC35837"/>
    <w:rsid w:val="0DE61498"/>
    <w:rsid w:val="0ED22627"/>
    <w:rsid w:val="0F667DD3"/>
    <w:rsid w:val="0FB065F6"/>
    <w:rsid w:val="0FF5036F"/>
    <w:rsid w:val="10867335"/>
    <w:rsid w:val="110C39D4"/>
    <w:rsid w:val="1297576D"/>
    <w:rsid w:val="12BF4C87"/>
    <w:rsid w:val="12E70A09"/>
    <w:rsid w:val="15341747"/>
    <w:rsid w:val="163F0F8C"/>
    <w:rsid w:val="164F6705"/>
    <w:rsid w:val="16646293"/>
    <w:rsid w:val="16FE5921"/>
    <w:rsid w:val="17507F90"/>
    <w:rsid w:val="17B042A1"/>
    <w:rsid w:val="18B21538"/>
    <w:rsid w:val="18C93F2F"/>
    <w:rsid w:val="1A2B7D96"/>
    <w:rsid w:val="1B25743C"/>
    <w:rsid w:val="1BD33B78"/>
    <w:rsid w:val="1BEC2FB3"/>
    <w:rsid w:val="1C540D8D"/>
    <w:rsid w:val="1CDA4664"/>
    <w:rsid w:val="1CE262BC"/>
    <w:rsid w:val="1D6D770B"/>
    <w:rsid w:val="1DC36A6E"/>
    <w:rsid w:val="1E1A21EF"/>
    <w:rsid w:val="1E3F6A26"/>
    <w:rsid w:val="1EC02DEE"/>
    <w:rsid w:val="203B090D"/>
    <w:rsid w:val="20917F17"/>
    <w:rsid w:val="20B91875"/>
    <w:rsid w:val="21135480"/>
    <w:rsid w:val="212C3971"/>
    <w:rsid w:val="214D7086"/>
    <w:rsid w:val="21BA7E4E"/>
    <w:rsid w:val="21F8155D"/>
    <w:rsid w:val="2237459C"/>
    <w:rsid w:val="22D16AB7"/>
    <w:rsid w:val="22DF5956"/>
    <w:rsid w:val="22ED7F5E"/>
    <w:rsid w:val="231F50B3"/>
    <w:rsid w:val="24130D0C"/>
    <w:rsid w:val="247A3733"/>
    <w:rsid w:val="24937D46"/>
    <w:rsid w:val="24CD5814"/>
    <w:rsid w:val="252A6318"/>
    <w:rsid w:val="259E2C64"/>
    <w:rsid w:val="260706AD"/>
    <w:rsid w:val="2685028B"/>
    <w:rsid w:val="26F76768"/>
    <w:rsid w:val="27AC61A6"/>
    <w:rsid w:val="27FE02E6"/>
    <w:rsid w:val="281F51A8"/>
    <w:rsid w:val="28C57566"/>
    <w:rsid w:val="28C820B6"/>
    <w:rsid w:val="29084622"/>
    <w:rsid w:val="291D4CB4"/>
    <w:rsid w:val="29F704EF"/>
    <w:rsid w:val="2A0E468C"/>
    <w:rsid w:val="2AC220DE"/>
    <w:rsid w:val="2ADB5E21"/>
    <w:rsid w:val="2ADF08BA"/>
    <w:rsid w:val="2B603075"/>
    <w:rsid w:val="2C305EB2"/>
    <w:rsid w:val="2C547C73"/>
    <w:rsid w:val="2CD9238D"/>
    <w:rsid w:val="2CF24E09"/>
    <w:rsid w:val="2E003054"/>
    <w:rsid w:val="2E012585"/>
    <w:rsid w:val="2E9315A5"/>
    <w:rsid w:val="2EB2531B"/>
    <w:rsid w:val="2F28513F"/>
    <w:rsid w:val="2F3D045F"/>
    <w:rsid w:val="2F6F3EAC"/>
    <w:rsid w:val="2F7D3F84"/>
    <w:rsid w:val="2F844FB7"/>
    <w:rsid w:val="30030652"/>
    <w:rsid w:val="30256074"/>
    <w:rsid w:val="302C4175"/>
    <w:rsid w:val="304A1F48"/>
    <w:rsid w:val="3078487E"/>
    <w:rsid w:val="31713FF6"/>
    <w:rsid w:val="32B04D2F"/>
    <w:rsid w:val="33862CBD"/>
    <w:rsid w:val="338F6EF0"/>
    <w:rsid w:val="3393544D"/>
    <w:rsid w:val="33A35EAC"/>
    <w:rsid w:val="345077FD"/>
    <w:rsid w:val="3464504B"/>
    <w:rsid w:val="34E00D83"/>
    <w:rsid w:val="34E40873"/>
    <w:rsid w:val="36216F0D"/>
    <w:rsid w:val="36316A75"/>
    <w:rsid w:val="36C14165"/>
    <w:rsid w:val="36ED02B2"/>
    <w:rsid w:val="37DB73A7"/>
    <w:rsid w:val="37E312B6"/>
    <w:rsid w:val="388B03FA"/>
    <w:rsid w:val="389450EA"/>
    <w:rsid w:val="389D7311"/>
    <w:rsid w:val="39653A2A"/>
    <w:rsid w:val="398E418A"/>
    <w:rsid w:val="3996009B"/>
    <w:rsid w:val="3997709B"/>
    <w:rsid w:val="39A55AE7"/>
    <w:rsid w:val="39BB1265"/>
    <w:rsid w:val="3A351BE0"/>
    <w:rsid w:val="3AFB2B32"/>
    <w:rsid w:val="3B0953A4"/>
    <w:rsid w:val="3C0B0C04"/>
    <w:rsid w:val="3C302F1C"/>
    <w:rsid w:val="3C8719BD"/>
    <w:rsid w:val="3CE46170"/>
    <w:rsid w:val="3D431CCA"/>
    <w:rsid w:val="3D7933CA"/>
    <w:rsid w:val="3DA70031"/>
    <w:rsid w:val="3DAC3CC7"/>
    <w:rsid w:val="3DE801D2"/>
    <w:rsid w:val="3E16524F"/>
    <w:rsid w:val="3EA30F9B"/>
    <w:rsid w:val="3EEE03E1"/>
    <w:rsid w:val="3F2D02B4"/>
    <w:rsid w:val="3F7C50B1"/>
    <w:rsid w:val="40543C97"/>
    <w:rsid w:val="406B2371"/>
    <w:rsid w:val="407E15A7"/>
    <w:rsid w:val="408548B8"/>
    <w:rsid w:val="40AA3B81"/>
    <w:rsid w:val="411C5733"/>
    <w:rsid w:val="417112FA"/>
    <w:rsid w:val="41D30314"/>
    <w:rsid w:val="42446B53"/>
    <w:rsid w:val="429514E5"/>
    <w:rsid w:val="42D57A4D"/>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2A0748"/>
    <w:rsid w:val="49E7480F"/>
    <w:rsid w:val="4A3A7820"/>
    <w:rsid w:val="4AD02EB9"/>
    <w:rsid w:val="4AD818E7"/>
    <w:rsid w:val="4AF173EE"/>
    <w:rsid w:val="4BEA681C"/>
    <w:rsid w:val="4C2F1B9C"/>
    <w:rsid w:val="4C870D35"/>
    <w:rsid w:val="4D2832EB"/>
    <w:rsid w:val="4DB81983"/>
    <w:rsid w:val="4DF66F25"/>
    <w:rsid w:val="4E376DB9"/>
    <w:rsid w:val="4E716394"/>
    <w:rsid w:val="4ECC39F8"/>
    <w:rsid w:val="4F0A3ECF"/>
    <w:rsid w:val="4F595384"/>
    <w:rsid w:val="4F7F3CCA"/>
    <w:rsid w:val="4FF502AE"/>
    <w:rsid w:val="502844C8"/>
    <w:rsid w:val="51D845E4"/>
    <w:rsid w:val="51DF5777"/>
    <w:rsid w:val="52341DDD"/>
    <w:rsid w:val="523A017B"/>
    <w:rsid w:val="531111FC"/>
    <w:rsid w:val="532D4FC8"/>
    <w:rsid w:val="533444FB"/>
    <w:rsid w:val="536F3BBC"/>
    <w:rsid w:val="550B5846"/>
    <w:rsid w:val="55C54FE9"/>
    <w:rsid w:val="55DB4F23"/>
    <w:rsid w:val="55E07717"/>
    <w:rsid w:val="56397366"/>
    <w:rsid w:val="58080247"/>
    <w:rsid w:val="594A0658"/>
    <w:rsid w:val="5950112B"/>
    <w:rsid w:val="597E7D7A"/>
    <w:rsid w:val="59C3293C"/>
    <w:rsid w:val="5A1C766A"/>
    <w:rsid w:val="5CF528AB"/>
    <w:rsid w:val="5D132301"/>
    <w:rsid w:val="5EAF5616"/>
    <w:rsid w:val="5EF258CA"/>
    <w:rsid w:val="5F1E1E73"/>
    <w:rsid w:val="606D4916"/>
    <w:rsid w:val="607E64E9"/>
    <w:rsid w:val="612A3DEE"/>
    <w:rsid w:val="61993E05"/>
    <w:rsid w:val="62B67083"/>
    <w:rsid w:val="63132229"/>
    <w:rsid w:val="63C07045"/>
    <w:rsid w:val="649C599A"/>
    <w:rsid w:val="651B0FEE"/>
    <w:rsid w:val="65305229"/>
    <w:rsid w:val="662D7F1B"/>
    <w:rsid w:val="666E2F33"/>
    <w:rsid w:val="66B027B6"/>
    <w:rsid w:val="671A2875"/>
    <w:rsid w:val="67966EFB"/>
    <w:rsid w:val="67B628F5"/>
    <w:rsid w:val="682119CD"/>
    <w:rsid w:val="69A94E0C"/>
    <w:rsid w:val="6A1A0E79"/>
    <w:rsid w:val="6A2F770C"/>
    <w:rsid w:val="6A5C5429"/>
    <w:rsid w:val="6B10403F"/>
    <w:rsid w:val="6B144D07"/>
    <w:rsid w:val="6B656B47"/>
    <w:rsid w:val="6B7E1643"/>
    <w:rsid w:val="6C714475"/>
    <w:rsid w:val="6CDB032D"/>
    <w:rsid w:val="6DBD736C"/>
    <w:rsid w:val="6DF45A5A"/>
    <w:rsid w:val="6E160DB8"/>
    <w:rsid w:val="6E5526FF"/>
    <w:rsid w:val="6F2B1820"/>
    <w:rsid w:val="6F2E0DB9"/>
    <w:rsid w:val="6F412F7A"/>
    <w:rsid w:val="6FD1108A"/>
    <w:rsid w:val="707E74C2"/>
    <w:rsid w:val="710D0440"/>
    <w:rsid w:val="716B6D0A"/>
    <w:rsid w:val="71C5585F"/>
    <w:rsid w:val="7207789C"/>
    <w:rsid w:val="720E79AF"/>
    <w:rsid w:val="73A1381E"/>
    <w:rsid w:val="7459468D"/>
    <w:rsid w:val="749131D7"/>
    <w:rsid w:val="755B4E27"/>
    <w:rsid w:val="756F240E"/>
    <w:rsid w:val="767955ED"/>
    <w:rsid w:val="768B4404"/>
    <w:rsid w:val="779817DA"/>
    <w:rsid w:val="77A5282B"/>
    <w:rsid w:val="77D476E8"/>
    <w:rsid w:val="77EA1879"/>
    <w:rsid w:val="782A7918"/>
    <w:rsid w:val="78AC2A23"/>
    <w:rsid w:val="79715756"/>
    <w:rsid w:val="7A500C84"/>
    <w:rsid w:val="7A7B08FF"/>
    <w:rsid w:val="7AA165B7"/>
    <w:rsid w:val="7AE21E9E"/>
    <w:rsid w:val="7B09318D"/>
    <w:rsid w:val="7B6004E6"/>
    <w:rsid w:val="7BE14791"/>
    <w:rsid w:val="7C15025C"/>
    <w:rsid w:val="7C4C470C"/>
    <w:rsid w:val="7CD03426"/>
    <w:rsid w:val="7CD16F56"/>
    <w:rsid w:val="7DFA5FDE"/>
    <w:rsid w:val="7E0B3994"/>
    <w:rsid w:val="7ED53627"/>
    <w:rsid w:val="7F1226AB"/>
    <w:rsid w:val="7F5B6E61"/>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style>
  <w:style w:type="paragraph" w:styleId="3">
    <w:name w:val="Body Text Indent"/>
    <w:basedOn w:val="1"/>
    <w:autoRedefine/>
    <w:qFormat/>
    <w:uiPriority w:val="0"/>
    <w:pPr>
      <w:spacing w:line="480" w:lineRule="auto"/>
      <w:ind w:firstLine="600"/>
    </w:pPr>
    <w:rPr>
      <w:sz w:val="28"/>
    </w:rPr>
  </w:style>
  <w:style w:type="paragraph" w:styleId="5">
    <w:name w:val="annotation text"/>
    <w:basedOn w:val="1"/>
    <w:autoRedefine/>
    <w:qFormat/>
    <w:uiPriority w:val="0"/>
    <w:pPr>
      <w:jc w:val="left"/>
    </w:pPr>
  </w:style>
  <w:style w:type="paragraph" w:styleId="6">
    <w:name w:val="Body Text"/>
    <w:basedOn w:val="1"/>
    <w:next w:val="1"/>
    <w:autoRedefine/>
    <w:qFormat/>
    <w:uiPriority w:val="1"/>
    <w:pPr>
      <w:spacing w:after="120" w:afterLines="0"/>
    </w:pPr>
  </w:style>
  <w:style w:type="paragraph" w:styleId="7">
    <w:name w:val="Balloon Text"/>
    <w:basedOn w:val="1"/>
    <w:link w:val="24"/>
    <w:autoRedefine/>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jc w:val="left"/>
    </w:pPr>
    <w:rPr>
      <w:b/>
      <w:caps/>
    </w:rPr>
  </w:style>
  <w:style w:type="paragraph" w:styleId="11">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2">
    <w:name w:val="Body Text First Indent"/>
    <w:basedOn w:val="6"/>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9"/>
    <w:autoRedefine/>
    <w:qFormat/>
    <w:uiPriority w:val="0"/>
    <w:rPr>
      <w:kern w:val="2"/>
      <w:sz w:val="18"/>
      <w:szCs w:val="18"/>
    </w:rPr>
  </w:style>
  <w:style w:type="character" w:customStyle="1" w:styleId="24">
    <w:name w:val="批注框文本 Char"/>
    <w:basedOn w:val="15"/>
    <w:link w:val="7"/>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4"/>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28</Pages>
  <Words>9970</Words>
  <Characters>10278</Characters>
  <Lines>53</Lines>
  <Paragraphs>15</Paragraphs>
  <TotalTime>1</TotalTime>
  <ScaleCrop>false</ScaleCrop>
  <LinksUpToDate>false</LinksUpToDate>
  <CharactersWithSpaces>11486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2025-04-09T02:34:00Z</cp:lastPrinted>
  <dcterms:modified xsi:type="dcterms:W3CDTF">2026-10-30T08:17:57Z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F72509BC689A44358EBF731C72C281B0_13</vt:lpwstr>
  </property>
  <property fmtid="{D5CDD505-2E9C-101B-9397-08002B2CF9AE}" pid="4" name="KSOTemplateDocerSaveRecord">
    <vt:lpwstr>eyJoZGlkIjoiNTVkNzExMmNlZTllZmYzYjIzZDNlN2M3MDhjZjk3N2IiLCJ1c2VySWQiOiI0MTkyNjk4ODkifQ==</vt:lpwstr>
  </property>
</Properties>
</file>