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EB419">
      <w:pPr>
        <w:jc w:val="center"/>
        <w:rPr>
          <w:rFonts w:hint="eastAsia" w:ascii="仿宋" w:hAnsi="仿宋" w:eastAsia="仿宋" w:cs="仿宋"/>
          <w:sz w:val="72"/>
          <w:highlight w:val="none"/>
        </w:rPr>
      </w:pPr>
    </w:p>
    <w:p w14:paraId="23668EBA">
      <w:pPr>
        <w:jc w:val="center"/>
        <w:rPr>
          <w:rFonts w:hint="eastAsia" w:ascii="仿宋" w:hAnsi="仿宋" w:eastAsia="仿宋" w:cs="仿宋"/>
          <w:sz w:val="72"/>
          <w:highlight w:val="none"/>
        </w:rPr>
      </w:pPr>
    </w:p>
    <w:p w14:paraId="34ECD07E">
      <w:pPr>
        <w:jc w:val="center"/>
        <w:outlineLvl w:val="0"/>
        <w:rPr>
          <w:rFonts w:hint="eastAsia" w:ascii="仿宋_GB2312" w:hAnsi="宋体" w:eastAsia="仿宋_GB2312"/>
          <w:b/>
          <w:sz w:val="52"/>
          <w:szCs w:val="52"/>
          <w:highlight w:val="none"/>
        </w:rPr>
      </w:pPr>
      <w:bookmarkStart w:id="0" w:name="_Toc28953"/>
      <w:r>
        <w:rPr>
          <w:rFonts w:hint="eastAsia" w:ascii="仿宋_GB2312" w:hAnsi="宋体" w:eastAsia="仿宋_GB2312"/>
          <w:b/>
          <w:sz w:val="52"/>
          <w:szCs w:val="52"/>
          <w:highlight w:val="none"/>
          <w:lang w:eastAsia="zh-CN"/>
        </w:rPr>
        <w:t>绍兴市再生能源发展有限公司</w:t>
      </w:r>
      <w:bookmarkEnd w:id="0"/>
    </w:p>
    <w:p w14:paraId="543ECF22">
      <w:pPr>
        <w:pStyle w:val="12"/>
        <w:rPr>
          <w:highlight w:val="none"/>
        </w:rPr>
      </w:pPr>
    </w:p>
    <w:p w14:paraId="54EFD54C">
      <w:pPr>
        <w:jc w:val="center"/>
        <w:rPr>
          <w:rFonts w:hint="default" w:ascii="仿宋_GB2312" w:hAnsi="宋体" w:eastAsia="仿宋_GB2312"/>
          <w:b/>
          <w:sz w:val="52"/>
          <w:szCs w:val="52"/>
          <w:highlight w:val="none"/>
          <w:lang w:val="en-US" w:eastAsia="zh-CN"/>
        </w:rPr>
      </w:pPr>
      <w:r>
        <w:rPr>
          <w:rFonts w:hint="eastAsia" w:ascii="仿宋_GB2312" w:hAnsi="宋体" w:eastAsia="仿宋_GB2312"/>
          <w:b/>
          <w:sz w:val="52"/>
          <w:szCs w:val="52"/>
          <w:highlight w:val="none"/>
          <w:lang w:val="en-US" w:eastAsia="zh-CN"/>
        </w:rPr>
        <w:t>三氯化铁等采购项目</w:t>
      </w:r>
    </w:p>
    <w:p w14:paraId="6F730390">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7C1F7162">
      <w:pPr>
        <w:jc w:val="center"/>
        <w:rPr>
          <w:rFonts w:hint="eastAsia" w:ascii="仿宋" w:hAnsi="仿宋" w:eastAsia="仿宋" w:cs="仿宋"/>
          <w:b/>
          <w:sz w:val="48"/>
          <w:szCs w:val="48"/>
          <w:highlight w:val="none"/>
        </w:rPr>
      </w:pPr>
    </w:p>
    <w:p w14:paraId="6778471B">
      <w:pPr>
        <w:spacing w:line="360" w:lineRule="auto"/>
        <w:rPr>
          <w:rFonts w:hint="eastAsia" w:ascii="仿宋" w:hAnsi="仿宋" w:eastAsia="仿宋" w:cs="仿宋"/>
          <w:sz w:val="40"/>
          <w:szCs w:val="48"/>
          <w:highlight w:val="none"/>
        </w:rPr>
      </w:pPr>
    </w:p>
    <w:p w14:paraId="45CFA879">
      <w:pPr>
        <w:spacing w:line="360" w:lineRule="auto"/>
        <w:rPr>
          <w:rFonts w:hint="eastAsia" w:ascii="仿宋" w:hAnsi="仿宋" w:eastAsia="仿宋" w:cs="仿宋"/>
          <w:sz w:val="40"/>
          <w:szCs w:val="48"/>
          <w:highlight w:val="none"/>
        </w:rPr>
      </w:pPr>
    </w:p>
    <w:p w14:paraId="4EE1A441">
      <w:pPr>
        <w:spacing w:line="360" w:lineRule="auto"/>
        <w:rPr>
          <w:rFonts w:hint="eastAsia" w:ascii="仿宋" w:hAnsi="仿宋" w:eastAsia="仿宋" w:cs="仿宋"/>
          <w:sz w:val="40"/>
          <w:szCs w:val="48"/>
          <w:highlight w:val="none"/>
        </w:rPr>
      </w:pPr>
    </w:p>
    <w:p w14:paraId="36405B2A">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w:t>
      </w:r>
      <w:bookmarkEnd w:id="1"/>
      <w:r>
        <w:rPr>
          <w:rFonts w:hint="eastAsia" w:ascii="仿宋" w:hAnsi="仿宋" w:eastAsia="仿宋" w:cs="仿宋"/>
          <w:sz w:val="32"/>
          <w:szCs w:val="32"/>
          <w:highlight w:val="none"/>
          <w:u w:val="single"/>
          <w:lang w:val="en-US" w:eastAsia="zh-CN"/>
        </w:rPr>
        <w:t xml:space="preserve">CG-SL-2608009 </w:t>
      </w:r>
    </w:p>
    <w:p w14:paraId="6D250556">
      <w:pPr>
        <w:spacing w:line="360" w:lineRule="auto"/>
        <w:ind w:firstLine="80" w:firstLineChars="25"/>
        <w:jc w:val="center"/>
        <w:rPr>
          <w:rFonts w:hint="eastAsia" w:ascii="仿宋" w:hAnsi="仿宋" w:eastAsia="仿宋" w:cs="仿宋"/>
          <w:sz w:val="32"/>
          <w:szCs w:val="32"/>
          <w:highlight w:val="none"/>
          <w:u w:val="single"/>
          <w:lang w:val="en-US" w:eastAsia="zh-CN"/>
        </w:rPr>
      </w:pPr>
      <w:bookmarkStart w:id="2" w:name="OLE_LINK53"/>
      <w:bookmarkStart w:id="3" w:name="OLE_LINK52"/>
      <w:r>
        <w:rPr>
          <w:rFonts w:hint="eastAsia" w:ascii="仿宋" w:hAnsi="仿宋" w:eastAsia="仿宋" w:cs="仿宋"/>
          <w:sz w:val="32"/>
          <w:szCs w:val="32"/>
          <w:highlight w:val="none"/>
        </w:rPr>
        <w:t>项目名称：</w:t>
      </w:r>
      <w:bookmarkEnd w:id="2"/>
      <w:bookmarkEnd w:id="3"/>
      <w:r>
        <w:rPr>
          <w:rFonts w:hint="eastAsia" w:ascii="仿宋" w:hAnsi="仿宋" w:eastAsia="仿宋" w:cs="仿宋"/>
          <w:sz w:val="32"/>
          <w:szCs w:val="32"/>
          <w:highlight w:val="none"/>
          <w:u w:val="single"/>
          <w:lang w:val="en-US" w:eastAsia="zh-CN"/>
        </w:rPr>
        <w:t xml:space="preserve"> 三氯化铁等采购项目</w:t>
      </w:r>
    </w:p>
    <w:p w14:paraId="6A82DF5E">
      <w:pPr>
        <w:spacing w:line="360" w:lineRule="auto"/>
        <w:ind w:firstLine="80" w:firstLineChars="25"/>
        <w:jc w:val="center"/>
        <w:rPr>
          <w:rFonts w:hint="eastAsia" w:ascii="仿宋" w:hAnsi="仿宋" w:eastAsia="仿宋" w:cs="仿宋"/>
          <w:sz w:val="32"/>
          <w:szCs w:val="32"/>
          <w:highlight w:val="none"/>
          <w:u w:val="single"/>
          <w:lang w:val="en-US" w:eastAsia="zh-CN"/>
        </w:rPr>
      </w:pPr>
    </w:p>
    <w:p w14:paraId="12F97776">
      <w:pPr>
        <w:rPr>
          <w:rFonts w:hint="eastAsia" w:ascii="仿宋" w:hAnsi="仿宋" w:eastAsia="仿宋" w:cs="仿宋"/>
          <w:sz w:val="84"/>
          <w:highlight w:val="none"/>
        </w:rPr>
      </w:pPr>
    </w:p>
    <w:p w14:paraId="33BAD177">
      <w:pPr>
        <w:rPr>
          <w:rFonts w:hint="eastAsia" w:ascii="仿宋" w:hAnsi="仿宋" w:eastAsia="仿宋" w:cs="仿宋"/>
          <w:sz w:val="84"/>
          <w:highlight w:val="none"/>
        </w:rPr>
      </w:pPr>
    </w:p>
    <w:p w14:paraId="1BFEA016">
      <w:pPr>
        <w:snapToGrid w:val="0"/>
        <w:spacing w:line="480" w:lineRule="auto"/>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绍兴市再生能源发展有限公司</w:t>
      </w:r>
    </w:p>
    <w:p w14:paraId="289C425F">
      <w:pPr>
        <w:spacing w:line="360" w:lineRule="auto"/>
        <w:jc w:val="center"/>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二〇二六</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九</w:t>
      </w:r>
      <w:r>
        <w:rPr>
          <w:rFonts w:hint="eastAsia" w:ascii="仿宋" w:hAnsi="仿宋" w:eastAsia="仿宋" w:cs="仿宋"/>
          <w:sz w:val="32"/>
          <w:szCs w:val="32"/>
          <w:highlight w:val="none"/>
        </w:rPr>
        <w:t>月</w:t>
      </w:r>
    </w:p>
    <w:p w14:paraId="1B2C013F">
      <w:pPr>
        <w:spacing w:line="360" w:lineRule="auto"/>
        <w:jc w:val="center"/>
        <w:rPr>
          <w:rFonts w:hint="eastAsia" w:ascii="仿宋" w:hAnsi="仿宋" w:eastAsia="仿宋" w:cs="仿宋"/>
          <w:sz w:val="32"/>
          <w:szCs w:val="32"/>
        </w:rPr>
      </w:pPr>
      <w:r>
        <w:rPr>
          <w:rFonts w:hint="eastAsia" w:ascii="仿宋" w:hAnsi="仿宋" w:eastAsia="仿宋" w:cs="仿宋"/>
          <w:sz w:val="32"/>
          <w:szCs w:val="32"/>
        </w:rPr>
        <w:br w:type="page"/>
      </w:r>
      <w:r>
        <w:rPr>
          <w:rFonts w:hint="eastAsia" w:ascii="仿宋" w:hAnsi="仿宋" w:eastAsia="仿宋" w:cs="仿宋"/>
          <w:sz w:val="52"/>
          <w:szCs w:val="32"/>
        </w:rPr>
        <w:t>目录</w:t>
      </w:r>
    </w:p>
    <w:p w14:paraId="6BF6E7DC">
      <w:pPr>
        <w:pStyle w:val="10"/>
        <w:tabs>
          <w:tab w:val="right" w:leader="dot" w:pos="9070"/>
        </w:tabs>
        <w:rPr>
          <w:rFonts w:hint="eastAsia" w:ascii="仿宋" w:hAnsi="仿宋" w:eastAsia="仿宋" w:cs="仿宋"/>
          <w:b w:val="0"/>
          <w:bCs w:val="0"/>
          <w:sz w:val="32"/>
          <w:szCs w:val="32"/>
        </w:rPr>
      </w:pP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TOC \o "1-1" \h \u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 HYPERLINK \l _Toc28953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highlight w:val="none"/>
          <w:lang w:eastAsia="zh-CN"/>
        </w:rPr>
        <w:t>绍兴市再生能源发展有限公司</w:t>
      </w:r>
      <w:r>
        <w:rPr>
          <w:rFonts w:hint="default" w:ascii="Times New Roman" w:hAnsi="Times New Roman" w:eastAsia="仿宋" w:cs="Times New Roman"/>
          <w:b w:val="0"/>
          <w:bCs w:val="0"/>
          <w:sz w:val="32"/>
          <w:szCs w:val="32"/>
        </w:rPr>
        <w:tab/>
      </w:r>
      <w:r>
        <w:rPr>
          <w:rFonts w:hint="default" w:ascii="Times New Roman" w:hAnsi="Times New Roman" w:eastAsia="仿宋" w:cs="Times New Roman"/>
          <w:b w:val="0"/>
          <w:bCs w:val="0"/>
          <w:sz w:val="32"/>
          <w:szCs w:val="32"/>
        </w:rPr>
        <w:fldChar w:fldCharType="begin"/>
      </w:r>
      <w:r>
        <w:rPr>
          <w:rFonts w:hint="default" w:ascii="Times New Roman" w:hAnsi="Times New Roman" w:eastAsia="仿宋" w:cs="Times New Roman"/>
          <w:b w:val="0"/>
          <w:bCs w:val="0"/>
          <w:sz w:val="32"/>
          <w:szCs w:val="32"/>
        </w:rPr>
        <w:instrText xml:space="preserve"> PAGEREF _Toc28953 \h </w:instrText>
      </w:r>
      <w:r>
        <w:rPr>
          <w:rFonts w:hint="default" w:ascii="Times New Roman" w:hAnsi="Times New Roman" w:eastAsia="仿宋" w:cs="Times New Roman"/>
          <w:b w:val="0"/>
          <w:bCs w:val="0"/>
          <w:sz w:val="32"/>
          <w:szCs w:val="32"/>
        </w:rPr>
        <w:fldChar w:fldCharType="separate"/>
      </w:r>
      <w:r>
        <w:rPr>
          <w:rFonts w:hint="default" w:ascii="Times New Roman" w:hAnsi="Times New Roman" w:eastAsia="仿宋" w:cs="Times New Roman"/>
          <w:b w:val="0"/>
          <w:bCs w:val="0"/>
          <w:sz w:val="32"/>
          <w:szCs w:val="32"/>
        </w:rPr>
        <w:t>1</w:t>
      </w:r>
      <w:r>
        <w:rPr>
          <w:rFonts w:hint="default" w:ascii="Times New Roman" w:hAnsi="Times New Roman" w:eastAsia="仿宋" w:cs="Times New Roman"/>
          <w:b w:val="0"/>
          <w:bCs w:val="0"/>
          <w:sz w:val="32"/>
          <w:szCs w:val="32"/>
        </w:rPr>
        <w:fldChar w:fldCharType="end"/>
      </w:r>
      <w:r>
        <w:rPr>
          <w:rFonts w:hint="eastAsia" w:ascii="仿宋" w:hAnsi="仿宋" w:eastAsia="仿宋" w:cs="仿宋"/>
          <w:b w:val="0"/>
          <w:bCs w:val="0"/>
          <w:sz w:val="32"/>
          <w:szCs w:val="32"/>
        </w:rPr>
        <w:fldChar w:fldCharType="end"/>
      </w:r>
    </w:p>
    <w:p w14:paraId="719ED2A3">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_Toc20132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第一部分   询价公告</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_Toc20132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6F5135B9">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_Toc20015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第三部分   询价内容</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_Toc20015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11</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7FCE500C">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_Toc28096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第四部分   合同主要条款（供参考）</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_Toc28096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595BB0ED">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_Toc14350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附件：</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_Toc14350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18</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4174BD5A">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_Toc26612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w:t>
      </w:r>
      <w:r>
        <w:rPr>
          <w:rFonts w:hint="eastAsia" w:ascii="Times New Roman" w:hAnsi="Times New Roman" w:eastAsia="仿宋" w:cs="Times New Roman"/>
          <w:b w:val="0"/>
          <w:bCs w:val="0"/>
          <w:sz w:val="32"/>
          <w:szCs w:val="32"/>
          <w:lang w:eastAsia="zh-CN"/>
        </w:rPr>
        <w:t>五</w:t>
      </w:r>
      <w:r>
        <w:rPr>
          <w:rFonts w:hint="eastAsia" w:ascii="Times New Roman" w:hAnsi="Times New Roman" w:eastAsia="仿宋" w:cs="Times New Roman"/>
          <w:b w:val="0"/>
          <w:bCs w:val="0"/>
          <w:sz w:val="32"/>
          <w:szCs w:val="32"/>
        </w:rPr>
        <w:t>部分   报价文件格式</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_Toc26612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21</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2FC715E">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_Toc15903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一：</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_Toc15903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22</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69F371C2">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_Toc5875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二</w:t>
      </w:r>
      <w:r>
        <w:rPr>
          <w:rFonts w:hint="eastAsia" w:ascii="Times New Roman" w:hAnsi="Times New Roman" w:eastAsia="仿宋" w:cs="Times New Roman"/>
          <w:b w:val="0"/>
          <w:bCs w:val="0"/>
          <w:sz w:val="32"/>
          <w:szCs w:val="32"/>
        </w:rPr>
        <w:t>：</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_Toc5875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24</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49CEF930">
      <w:pPr>
        <w:pStyle w:val="10"/>
        <w:tabs>
          <w:tab w:val="right" w:leader="dot" w:pos="9070"/>
        </w:tabs>
        <w:rPr>
          <w:rFonts w:hint="eastAsia" w:ascii="仿宋" w:hAnsi="仿宋" w:eastAsia="仿宋" w:cs="仿宋"/>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_Toc5034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三：</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_Toc5034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26</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CB08D88">
      <w:pPr>
        <w:rPr>
          <w:rFonts w:hint="eastAsia" w:ascii="仿宋" w:hAnsi="仿宋" w:eastAsia="仿宋" w:cs="仿宋"/>
          <w:b w:val="0"/>
          <w:bCs w:val="0"/>
          <w:sz w:val="32"/>
          <w:szCs w:val="32"/>
        </w:rPr>
      </w:pPr>
      <w:r>
        <w:rPr>
          <w:rFonts w:hint="eastAsia" w:ascii="仿宋" w:hAnsi="仿宋" w:eastAsia="仿宋" w:cs="仿宋"/>
          <w:b w:val="0"/>
          <w:bCs w:val="0"/>
          <w:sz w:val="32"/>
          <w:szCs w:val="32"/>
        </w:rPr>
        <w:fldChar w:fldCharType="end"/>
      </w:r>
    </w:p>
    <w:p w14:paraId="7D54F6DE">
      <w:pPr>
        <w:rPr>
          <w:rFonts w:hint="eastAsia" w:ascii="仿宋" w:hAnsi="仿宋" w:eastAsia="仿宋" w:cs="仿宋"/>
          <w:sz w:val="36"/>
        </w:rPr>
      </w:pPr>
    </w:p>
    <w:p w14:paraId="624240EE">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530583878"/>
      <w:bookmarkStart w:id="5" w:name="_Toc20132"/>
      <w:bookmarkStart w:id="6" w:name="_Toc530583921"/>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42A9A8C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三氯化铁等采购项目进行招标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（以下简称“报价人”）积极参与</w:t>
      </w:r>
      <w:r>
        <w:rPr>
          <w:rFonts w:hint="eastAsia" w:ascii="仿宋" w:hAnsi="仿宋" w:eastAsia="仿宋" w:cs="仿宋"/>
          <w:sz w:val="30"/>
          <w:szCs w:val="30"/>
        </w:rPr>
        <w:t>。</w:t>
      </w:r>
    </w:p>
    <w:p w14:paraId="429406BA">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3B61172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SX-CG-SL-2608009  </w:t>
      </w:r>
    </w:p>
    <w:p w14:paraId="4EB00A9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2.采购内容：</w:t>
      </w:r>
    </w:p>
    <w:tbl>
      <w:tblPr>
        <w:tblStyle w:val="13"/>
        <w:tblW w:w="3910" w:type="pct"/>
        <w:jc w:val="center"/>
        <w:tblLayout w:type="fixed"/>
        <w:tblCellMar>
          <w:top w:w="0" w:type="dxa"/>
          <w:left w:w="108" w:type="dxa"/>
          <w:bottom w:w="0" w:type="dxa"/>
          <w:right w:w="108" w:type="dxa"/>
        </w:tblCellMar>
      </w:tblPr>
      <w:tblGrid>
        <w:gridCol w:w="672"/>
        <w:gridCol w:w="2145"/>
        <w:gridCol w:w="2599"/>
        <w:gridCol w:w="915"/>
        <w:gridCol w:w="932"/>
      </w:tblGrid>
      <w:tr w14:paraId="75B7F7B2">
        <w:tblPrEx>
          <w:tblCellMar>
            <w:top w:w="0" w:type="dxa"/>
            <w:left w:w="108" w:type="dxa"/>
            <w:bottom w:w="0" w:type="dxa"/>
            <w:right w:w="108" w:type="dxa"/>
          </w:tblCellMar>
        </w:tblPrEx>
        <w:trPr>
          <w:trHeight w:val="4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5684E0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145" w:type="dxa"/>
            <w:tcBorders>
              <w:top w:val="single" w:color="000000" w:sz="4" w:space="0"/>
              <w:left w:val="single" w:color="000000" w:sz="4" w:space="0"/>
              <w:bottom w:val="single" w:color="000000" w:sz="4" w:space="0"/>
              <w:right w:val="single" w:color="000000" w:sz="4" w:space="0"/>
            </w:tcBorders>
            <w:noWrap/>
            <w:vAlign w:val="center"/>
          </w:tcPr>
          <w:p w14:paraId="722320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599" w:type="dxa"/>
            <w:tcBorders>
              <w:top w:val="single" w:color="000000" w:sz="4" w:space="0"/>
              <w:left w:val="single" w:color="000000" w:sz="4" w:space="0"/>
              <w:bottom w:val="single" w:color="000000" w:sz="4" w:space="0"/>
              <w:right w:val="single" w:color="000000" w:sz="4" w:space="0"/>
            </w:tcBorders>
            <w:noWrap/>
            <w:vAlign w:val="center"/>
          </w:tcPr>
          <w:p w14:paraId="155886A1">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915" w:type="dxa"/>
            <w:tcBorders>
              <w:top w:val="single" w:color="000000" w:sz="4" w:space="0"/>
              <w:left w:val="single" w:color="000000" w:sz="4" w:space="0"/>
              <w:bottom w:val="single" w:color="000000" w:sz="4" w:space="0"/>
              <w:right w:val="single" w:color="000000" w:sz="4" w:space="0"/>
            </w:tcBorders>
            <w:noWrap/>
            <w:vAlign w:val="center"/>
          </w:tcPr>
          <w:p w14:paraId="3C8B27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932" w:type="dxa"/>
            <w:tcBorders>
              <w:top w:val="single" w:color="000000" w:sz="4" w:space="0"/>
              <w:left w:val="single" w:color="000000" w:sz="4" w:space="0"/>
              <w:bottom w:val="single" w:color="000000" w:sz="4" w:space="0"/>
              <w:right w:val="single" w:color="000000" w:sz="4" w:space="0"/>
            </w:tcBorders>
            <w:noWrap/>
            <w:vAlign w:val="center"/>
          </w:tcPr>
          <w:p w14:paraId="559633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r>
      <w:tr w14:paraId="554B8632">
        <w:tblPrEx>
          <w:tblCellMar>
            <w:top w:w="0" w:type="dxa"/>
            <w:left w:w="108" w:type="dxa"/>
            <w:bottom w:w="0" w:type="dxa"/>
            <w:right w:w="108" w:type="dxa"/>
          </w:tblCellMar>
        </w:tblPrEx>
        <w:trPr>
          <w:trHeight w:val="5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143570C6">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noWrap w:val="0"/>
            <w:vAlign w:val="center"/>
          </w:tcPr>
          <w:p w14:paraId="581991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三氯化铁</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4E1E466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纯度≥96%  25kg/包</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EFF60F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5 </w:t>
            </w:r>
          </w:p>
        </w:tc>
        <w:tc>
          <w:tcPr>
            <w:tcW w:w="932" w:type="dxa"/>
            <w:tcBorders>
              <w:top w:val="single" w:color="000000" w:sz="4" w:space="0"/>
              <w:left w:val="single" w:color="000000" w:sz="4" w:space="0"/>
              <w:bottom w:val="single" w:color="000000" w:sz="4" w:space="0"/>
              <w:right w:val="single" w:color="000000" w:sz="4" w:space="0"/>
            </w:tcBorders>
            <w:noWrap w:val="0"/>
            <w:vAlign w:val="center"/>
          </w:tcPr>
          <w:p w14:paraId="6E2F60B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吨</w:t>
            </w:r>
          </w:p>
        </w:tc>
      </w:tr>
      <w:tr w14:paraId="0A03263E">
        <w:tblPrEx>
          <w:tblCellMar>
            <w:top w:w="0" w:type="dxa"/>
            <w:left w:w="108" w:type="dxa"/>
            <w:bottom w:w="0" w:type="dxa"/>
            <w:right w:w="108" w:type="dxa"/>
          </w:tblCellMar>
        </w:tblPrEx>
        <w:trPr>
          <w:trHeight w:val="5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510CA275">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noWrap w:val="0"/>
            <w:vAlign w:val="center"/>
          </w:tcPr>
          <w:p w14:paraId="12B1C8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无水硫酸钠</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0E0D17F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AR500g</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417AB5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 xml:space="preserve">20 </w:t>
            </w:r>
          </w:p>
        </w:tc>
        <w:tc>
          <w:tcPr>
            <w:tcW w:w="932" w:type="dxa"/>
            <w:tcBorders>
              <w:top w:val="single" w:color="000000" w:sz="4" w:space="0"/>
              <w:left w:val="single" w:color="000000" w:sz="4" w:space="0"/>
              <w:bottom w:val="single" w:color="000000" w:sz="4" w:space="0"/>
              <w:right w:val="single" w:color="000000" w:sz="4" w:space="0"/>
            </w:tcBorders>
            <w:noWrap w:val="0"/>
            <w:vAlign w:val="center"/>
          </w:tcPr>
          <w:p w14:paraId="061BAE5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瓶</w:t>
            </w:r>
          </w:p>
        </w:tc>
      </w:tr>
      <w:tr w14:paraId="778E2826">
        <w:tblPrEx>
          <w:tblCellMar>
            <w:top w:w="0" w:type="dxa"/>
            <w:left w:w="108" w:type="dxa"/>
            <w:bottom w:w="0" w:type="dxa"/>
            <w:right w:w="108" w:type="dxa"/>
          </w:tblCellMar>
        </w:tblPrEx>
        <w:trPr>
          <w:trHeight w:val="5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263D469D">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noWrap w:val="0"/>
            <w:vAlign w:val="center"/>
          </w:tcPr>
          <w:p w14:paraId="3986BAC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分析纯氨水</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7F713B7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浓度25%-28%  5L/壶</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AAB1D2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 xml:space="preserve">300 </w:t>
            </w:r>
          </w:p>
        </w:tc>
        <w:tc>
          <w:tcPr>
            <w:tcW w:w="932" w:type="dxa"/>
            <w:tcBorders>
              <w:top w:val="single" w:color="000000" w:sz="4" w:space="0"/>
              <w:left w:val="single" w:color="000000" w:sz="4" w:space="0"/>
              <w:bottom w:val="single" w:color="000000" w:sz="4" w:space="0"/>
              <w:right w:val="single" w:color="000000" w:sz="4" w:space="0"/>
            </w:tcBorders>
            <w:noWrap w:val="0"/>
            <w:vAlign w:val="center"/>
          </w:tcPr>
          <w:p w14:paraId="2FD88E2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升</w:t>
            </w:r>
          </w:p>
        </w:tc>
      </w:tr>
      <w:tr w14:paraId="138E63B8">
        <w:tblPrEx>
          <w:tblCellMar>
            <w:top w:w="0" w:type="dxa"/>
            <w:left w:w="108" w:type="dxa"/>
            <w:bottom w:w="0" w:type="dxa"/>
            <w:right w:w="108" w:type="dxa"/>
          </w:tblCellMar>
        </w:tblPrEx>
        <w:trPr>
          <w:trHeight w:val="5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43007B2D">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noWrap w:val="0"/>
            <w:vAlign w:val="center"/>
          </w:tcPr>
          <w:p w14:paraId="1BF068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1,10菲啰啉</w:t>
            </w:r>
          </w:p>
        </w:tc>
        <w:tc>
          <w:tcPr>
            <w:tcW w:w="2599" w:type="dxa"/>
            <w:tcBorders>
              <w:top w:val="single" w:color="000000" w:sz="4" w:space="0"/>
              <w:left w:val="single" w:color="000000" w:sz="4" w:space="0"/>
              <w:bottom w:val="single" w:color="000000" w:sz="4" w:space="0"/>
              <w:right w:val="single" w:color="000000" w:sz="4" w:space="0"/>
            </w:tcBorders>
            <w:noWrap w:val="0"/>
            <w:vAlign w:val="center"/>
          </w:tcPr>
          <w:p w14:paraId="31F58D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5gAR分析纯</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3E1BAF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 xml:space="preserve">5 </w:t>
            </w:r>
          </w:p>
        </w:tc>
        <w:tc>
          <w:tcPr>
            <w:tcW w:w="932" w:type="dxa"/>
            <w:tcBorders>
              <w:top w:val="single" w:color="000000" w:sz="4" w:space="0"/>
              <w:left w:val="single" w:color="000000" w:sz="4" w:space="0"/>
              <w:bottom w:val="single" w:color="000000" w:sz="4" w:space="0"/>
              <w:right w:val="single" w:color="000000" w:sz="4" w:space="0"/>
            </w:tcBorders>
            <w:noWrap w:val="0"/>
            <w:vAlign w:val="center"/>
          </w:tcPr>
          <w:p w14:paraId="60C98C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瓶</w:t>
            </w:r>
          </w:p>
        </w:tc>
      </w:tr>
    </w:tbl>
    <w:p w14:paraId="47E30BEA">
      <w:pPr>
        <w:pStyle w:val="2"/>
        <w:snapToGrid/>
        <w:spacing w:line="360" w:lineRule="auto"/>
        <w:ind w:left="0" w:leftChars="0" w:firstLine="0" w:firstLineChars="0"/>
        <w:rPr>
          <w:rFonts w:hint="default"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 </w:t>
      </w:r>
    </w:p>
    <w:p w14:paraId="50589B4B">
      <w:pPr>
        <w:pStyle w:val="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kern w:val="2"/>
          <w:sz w:val="30"/>
          <w:szCs w:val="30"/>
          <w:lang w:val="en-US" w:eastAsia="zh-CN" w:bidi="ar-SA"/>
        </w:rPr>
        <w:t>3.</w:t>
      </w:r>
      <w:r>
        <w:rPr>
          <w:rFonts w:hint="eastAsia" w:ascii="仿宋" w:hAnsi="仿宋" w:eastAsia="仿宋" w:cs="仿宋"/>
          <w:sz w:val="30"/>
          <w:szCs w:val="30"/>
          <w:highlight w:val="none"/>
          <w:lang w:val="en-US" w:eastAsia="zh-CN"/>
        </w:rPr>
        <w:t>技术要求：</w:t>
      </w:r>
    </w:p>
    <w:p w14:paraId="12D6995F">
      <w:pPr>
        <w:pStyle w:val="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①纯度≥96%，固体25kg/包。</w:t>
      </w:r>
    </w:p>
    <w:p w14:paraId="62286ACD">
      <w:pPr>
        <w:pStyle w:val="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②供货方保证所供产品交付时均处于产品标明的有效使用期限内，且剩余有效期不得少于产品总有效期的四分之三。产品质量与技术指标符合国家标准、行业规范及采购人要求（以较严格者为准），供货方交货时须同步提供每批次货物的出厂检验报告（含成分检测报告）、产品合格证等完整资料；供货周期须满足采购人实际使用需求。</w:t>
      </w:r>
    </w:p>
    <w:p w14:paraId="305BB887">
      <w:pPr>
        <w:pStyle w:val="2"/>
        <w:numPr>
          <w:ilvl w:val="0"/>
          <w:numId w:val="0"/>
        </w:numPr>
        <w:snapToGrid/>
        <w:spacing w:line="360" w:lineRule="auto"/>
        <w:ind w:firstLine="600" w:firstLineChars="200"/>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③供货方所供货物若由于采用不充分或不妥善的防护措施造成货物的任何损坏、腐蚀或变形，采购人有权拒收，供货方应承担由此造成的一切损失。</w:t>
      </w:r>
    </w:p>
    <w:p w14:paraId="726C6CF1">
      <w:pPr>
        <w:pStyle w:val="2"/>
        <w:numPr>
          <w:ilvl w:val="0"/>
          <w:numId w:val="0"/>
        </w:numPr>
        <w:snapToGrid/>
        <w:spacing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本项目采购总金额限价为</w:t>
      </w:r>
      <w:r>
        <w:rPr>
          <w:rFonts w:hint="eastAsia" w:ascii="仿宋" w:hAnsi="仿宋" w:eastAsia="仿宋" w:cs="仿宋"/>
          <w:sz w:val="30"/>
          <w:szCs w:val="30"/>
          <w:highlight w:val="none"/>
          <w:lang w:eastAsia="zh-CN"/>
        </w:rPr>
        <w:t>人民币</w:t>
      </w:r>
      <w:r>
        <w:rPr>
          <w:rFonts w:hint="eastAsia" w:ascii="仿宋" w:hAnsi="仿宋" w:eastAsia="仿宋" w:cs="仿宋"/>
          <w:sz w:val="30"/>
          <w:szCs w:val="30"/>
          <w:highlight w:val="none"/>
          <w:lang w:val="en-US" w:eastAsia="zh-CN"/>
        </w:rPr>
        <w:t>3.07万</w:t>
      </w:r>
      <w:r>
        <w:rPr>
          <w:rFonts w:hint="eastAsia" w:ascii="仿宋" w:hAnsi="仿宋" w:eastAsia="仿宋" w:cs="仿宋"/>
          <w:sz w:val="30"/>
          <w:szCs w:val="30"/>
          <w:highlight w:val="none"/>
        </w:rPr>
        <w:t>元。</w:t>
      </w:r>
    </w:p>
    <w:p w14:paraId="7BFF74C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highlight w:val="none"/>
          <w:lang w:eastAsia="zh-CN"/>
        </w:rPr>
      </w:pPr>
      <w:r>
        <w:rPr>
          <w:rFonts w:hint="eastAsia" w:ascii="仿宋_GB2312" w:eastAsia="仿宋_GB2312"/>
          <w:b/>
          <w:bCs/>
          <w:sz w:val="30"/>
          <w:szCs w:val="30"/>
          <w:highlight w:val="none"/>
          <w:lang w:eastAsia="zh-CN"/>
        </w:rPr>
        <w:t>二、报价人要求。</w:t>
      </w:r>
    </w:p>
    <w:p w14:paraId="3A28D20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1.报价人必须是在中华人民共和国境内注册，具有独立法人资格和独立承担民事责任的能力；投标人经营范围须包含相关的销售资质。</w:t>
      </w:r>
    </w:p>
    <w:p w14:paraId="2DFB282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23F826D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50BB5A97">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4.本项目不接受联合体报价。</w:t>
      </w:r>
    </w:p>
    <w:p w14:paraId="60780F04">
      <w:pPr>
        <w:pStyle w:val="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5.本项目内容不允许分包。</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7" w:name="_Toc530583922"/>
      <w:bookmarkStart w:id="8" w:name="_Toc530583879"/>
      <w:bookmarkStart w:id="9" w:name="_Toc530583880"/>
      <w:bookmarkStart w:id="10" w:name="_Toc530583923"/>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9月24</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0575-85791916</w:t>
      </w:r>
    </w:p>
    <w:p w14:paraId="3D4C18D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9</w:t>
      </w:r>
      <w:r>
        <w:rPr>
          <w:rFonts w:hint="eastAsia" w:ascii="仿宋_GB2312" w:eastAsia="仿宋_GB2312"/>
          <w:sz w:val="30"/>
          <w:szCs w:val="30"/>
        </w:rPr>
        <w:t>月</w:t>
      </w:r>
      <w:r>
        <w:rPr>
          <w:rFonts w:hint="eastAsia" w:ascii="仿宋_GB2312" w:eastAsia="仿宋_GB2312"/>
          <w:sz w:val="30"/>
          <w:szCs w:val="30"/>
          <w:lang w:val="en-US" w:eastAsia="zh-CN"/>
        </w:rPr>
        <w:t>23</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10380F46">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9月18</w:t>
      </w:r>
      <w:r>
        <w:rPr>
          <w:rFonts w:hint="eastAsia" w:ascii="仿宋_GB2312" w:eastAsia="仿宋_GB2312"/>
          <w:sz w:val="30"/>
          <w:szCs w:val="30"/>
        </w:rPr>
        <w:t>日</w:t>
      </w:r>
    </w:p>
    <w:p w14:paraId="10E9B901">
      <w:pPr>
        <w:pStyle w:val="2"/>
        <w:rPr>
          <w:rFonts w:hint="eastAsia" w:ascii="仿宋_GB2312" w:eastAsia="仿宋_GB2312"/>
          <w:sz w:val="30"/>
          <w:szCs w:val="30"/>
        </w:rPr>
      </w:pPr>
    </w:p>
    <w:p w14:paraId="3A86D49D">
      <w:pPr>
        <w:pStyle w:val="2"/>
        <w:rPr>
          <w:rFonts w:hint="eastAsia" w:ascii="仿宋_GB2312" w:eastAsia="仿宋_GB2312"/>
          <w:sz w:val="30"/>
          <w:szCs w:val="30"/>
        </w:rPr>
      </w:pPr>
    </w:p>
    <w:p w14:paraId="41CF67AE">
      <w:pPr>
        <w:pStyle w:val="2"/>
        <w:ind w:left="0" w:leftChars="0" w:firstLine="0" w:firstLineChars="0"/>
        <w:rPr>
          <w:rFonts w:hint="eastAsia" w:ascii="仿宋_GB2312" w:eastAsia="仿宋_GB2312"/>
          <w:sz w:val="30"/>
          <w:szCs w:val="30"/>
        </w:rPr>
      </w:pPr>
    </w:p>
    <w:p w14:paraId="758970A0">
      <w:pPr>
        <w:keepNext w:val="0"/>
        <w:keepLines w:val="0"/>
        <w:pageBreakBefore w:val="0"/>
        <w:widowControl w:val="0"/>
        <w:kinsoku/>
        <w:wordWrap/>
        <w:overflowPunct/>
        <w:topLinePunct w:val="0"/>
        <w:autoSpaceDE/>
        <w:autoSpaceDN/>
        <w:bidi w:val="0"/>
        <w:adjustRightInd/>
        <w:snapToGrid w:val="0"/>
        <w:spacing w:line="360" w:lineRule="auto"/>
        <w:ind w:firstLine="585"/>
        <w:jc w:val="center"/>
        <w:textAlignment w:val="auto"/>
        <w:rPr>
          <w:rFonts w:ascii="仿宋_GB2312" w:eastAsia="仿宋_GB2312"/>
          <w:snapToGrid w:val="0"/>
          <w:sz w:val="30"/>
          <w:szCs w:val="30"/>
        </w:rPr>
      </w:pPr>
      <w:r>
        <w:rPr>
          <w:rFonts w:hint="eastAsia" w:ascii="仿宋" w:hAnsi="仿宋" w:eastAsia="仿宋" w:cs="仿宋"/>
          <w:b/>
          <w:snapToGrid w:val="0"/>
          <w:color w:val="000000"/>
          <w:kern w:val="44"/>
          <w:sz w:val="44"/>
          <w:szCs w:val="44"/>
          <w:lang w:val="en-US" w:eastAsia="zh-CN" w:bidi="ar-SA"/>
        </w:rPr>
        <w:t>第二部分   采购须知</w:t>
      </w:r>
      <w:bookmarkEnd w:id="7"/>
      <w:bookmarkEnd w:id="8"/>
    </w:p>
    <w:p w14:paraId="5DF30CDF">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43837104">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20D0069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4007F91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2BE745B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53DF06A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4083C06F">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（四）“供货方”系指向经评审确定为本次询价成交商家</w:t>
      </w:r>
    </w:p>
    <w:p w14:paraId="764FA82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120E9D1B">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4212F15E">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79BDD39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538DA94">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2E17C05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46EEF3F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0A4B3DF9">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lang w:val="en-US" w:eastAsia="zh-CN"/>
        </w:rPr>
        <w:t>2</w:t>
      </w:r>
      <w:r>
        <w:rPr>
          <w:rFonts w:hint="eastAsia" w:ascii="仿宋_GB2312" w:hAnsi="宋体" w:eastAsia="仿宋_GB2312"/>
          <w:sz w:val="30"/>
          <w:szCs w:val="30"/>
        </w:rPr>
        <w:t>.报价一览表（附件</w:t>
      </w:r>
      <w:r>
        <w:rPr>
          <w:rFonts w:hint="eastAsia" w:ascii="仿宋_GB2312" w:hAnsi="宋体" w:eastAsia="仿宋_GB2312"/>
          <w:sz w:val="30"/>
          <w:szCs w:val="30"/>
          <w:lang w:val="en-US" w:eastAsia="zh-CN"/>
        </w:rPr>
        <w:t>一</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eastAsia" w:ascii="仿宋_GB2312" w:hAnsi="宋体" w:eastAsia="仿宋_GB2312"/>
          <w:sz w:val="30"/>
          <w:szCs w:val="30"/>
          <w:lang w:val="en-US" w:eastAsia="zh-CN"/>
        </w:rPr>
        <w:t>3</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三</w:t>
      </w:r>
      <w:r>
        <w:rPr>
          <w:rFonts w:hint="eastAsia" w:ascii="仿宋_GB2312" w:hAnsi="宋体" w:eastAsia="仿宋_GB2312"/>
          <w:sz w:val="30"/>
          <w:szCs w:val="30"/>
        </w:rPr>
        <w:t>）；</w:t>
      </w:r>
    </w:p>
    <w:p w14:paraId="12B87EAC">
      <w:pPr>
        <w:pageBreakBefore w:val="0"/>
        <w:kinsoku/>
        <w:wordWrap/>
        <w:topLinePunct w:val="0"/>
        <w:bidi w:val="0"/>
        <w:snapToGrid w:val="0"/>
        <w:spacing w:line="360" w:lineRule="auto"/>
        <w:ind w:firstLine="600" w:firstLineChars="200"/>
        <w:rPr>
          <w:rFonts w:hint="default" w:ascii="仿宋_GB2312" w:hAnsi="宋体" w:eastAsia="仿宋_GB2312"/>
          <w:b/>
          <w:bCs/>
          <w:color w:val="FF0000"/>
          <w:sz w:val="30"/>
          <w:szCs w:val="30"/>
          <w:lang w:eastAsia="zh-CN"/>
        </w:rPr>
      </w:pPr>
      <w:r>
        <w:rPr>
          <w:rFonts w:hint="eastAsia" w:ascii="仿宋_GB2312" w:hAnsi="宋体" w:eastAsia="仿宋_GB2312"/>
          <w:sz w:val="30"/>
          <w:szCs w:val="30"/>
          <w:lang w:val="en-US" w:eastAsia="zh-CN"/>
        </w:rPr>
        <w:t>4</w:t>
      </w:r>
      <w:r>
        <w:rPr>
          <w:rFonts w:hint="eastAsia" w:ascii="仿宋_GB2312" w:hAnsi="宋体" w:eastAsia="仿宋_GB2312"/>
          <w:sz w:val="30"/>
          <w:szCs w:val="30"/>
        </w:rPr>
        <w:t>.有效资质证明并加盖公章：通过年检的营业执照复印件。报价文件装订密封，并</w:t>
      </w:r>
      <w:r>
        <w:rPr>
          <w:rFonts w:hint="eastAsia" w:ascii="仿宋_GB2312" w:hAnsi="宋体" w:eastAsia="仿宋_GB2312"/>
          <w:b/>
          <w:bCs/>
          <w:sz w:val="30"/>
          <w:szCs w:val="30"/>
        </w:rPr>
        <w:t>在封</w:t>
      </w:r>
      <w:r>
        <w:rPr>
          <w:rFonts w:hint="eastAsia" w:ascii="仿宋_GB2312" w:hAnsi="宋体" w:eastAsia="仿宋_GB2312"/>
          <w:b/>
          <w:bCs/>
          <w:sz w:val="30"/>
          <w:szCs w:val="30"/>
          <w:lang w:eastAsia="zh-CN"/>
        </w:rPr>
        <w:t>面</w:t>
      </w:r>
      <w:r>
        <w:rPr>
          <w:rFonts w:hint="eastAsia" w:ascii="仿宋_GB2312" w:hAnsi="宋体" w:eastAsia="仿宋_GB2312"/>
          <w:b/>
          <w:bCs/>
          <w:sz w:val="30"/>
          <w:szCs w:val="30"/>
        </w:rPr>
        <w:t>上注明：采购项目名称、采购项目编号、报价单位名称、</w:t>
      </w:r>
      <w:r>
        <w:rPr>
          <w:rFonts w:hint="eastAsia" w:ascii="仿宋_GB2312" w:hAnsi="宋体" w:eastAsia="仿宋_GB2312"/>
          <w:b/>
          <w:bCs/>
          <w:sz w:val="30"/>
          <w:szCs w:val="30"/>
          <w:lang w:eastAsia="zh-CN"/>
        </w:rPr>
        <w:t>联系人、联系方式。</w:t>
      </w:r>
    </w:p>
    <w:p w14:paraId="1795959B">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44552339">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w:t>
      </w:r>
      <w:r>
        <w:rPr>
          <w:rFonts w:hint="eastAsia" w:ascii="仿宋_GB2312" w:hAnsi="宋体" w:eastAsia="仿宋_GB2312"/>
          <w:sz w:val="30"/>
          <w:szCs w:val="30"/>
          <w:lang w:eastAsia="zh-CN"/>
        </w:rPr>
        <w:t>所述</w:t>
      </w:r>
      <w:r>
        <w:rPr>
          <w:rFonts w:hint="eastAsia" w:ascii="仿宋_GB2312" w:hAnsi="宋体" w:eastAsia="仿宋_GB2312"/>
          <w:sz w:val="30"/>
          <w:szCs w:val="30"/>
        </w:rPr>
        <w:t>顺序装订。</w:t>
      </w:r>
    </w:p>
    <w:p w14:paraId="1C725121">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180F98EB">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4D53D4E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0C872476">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5F467F6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3AB0841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4F980A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58405848">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7952F743">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0EAA2AE1">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327EDD2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3D6E035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31661636">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0EE49715">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22F7029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18A6B925">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1CC95567">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E895EF2">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8BE4334">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140DA1A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18E1B25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0199C01A">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0EDC6C4">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1C36D9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16687E2F">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6A6C15B8">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4ED82A19">
      <w:pPr>
        <w:pStyle w:val="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3678CC37">
      <w:pPr>
        <w:pStyle w:val="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173ABC32">
      <w:pPr>
        <w:pageBreakBefore w:val="0"/>
        <w:kinsoku/>
        <w:wordWrap/>
        <w:topLinePunct w:val="0"/>
        <w:bidi w:val="0"/>
        <w:snapToGrid w:val="0"/>
        <w:spacing w:line="360" w:lineRule="auto"/>
        <w:ind w:left="974" w:leftChars="64" w:hanging="840" w:hangingChars="280"/>
        <w:jc w:val="left"/>
        <w:rPr>
          <w:rFonts w:ascii="仿宋_GB2312" w:eastAsia="仿宋_GB2312"/>
          <w:color w:val="FF0000"/>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3C6B639F">
      <w:pPr>
        <w:pStyle w:val="19"/>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FFD1E09">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405C3781">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0C9676D1">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4074EFDB">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5591EA2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20EFCCD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45B2CF7C">
      <w:pPr>
        <w:pStyle w:val="4"/>
        <w:numPr>
          <w:ilvl w:val="0"/>
          <w:numId w:val="0"/>
        </w:numPr>
        <w:jc w:val="center"/>
        <w:outlineLvl w:val="9"/>
        <w:rPr>
          <w:rFonts w:hint="eastAsia" w:ascii="仿宋" w:hAnsi="仿宋" w:eastAsia="仿宋" w:cs="仿宋"/>
          <w:snapToGrid w:val="0"/>
          <w:sz w:val="44"/>
          <w:szCs w:val="44"/>
        </w:rPr>
      </w:pPr>
    </w:p>
    <w:p w14:paraId="5CB04477">
      <w:pPr>
        <w:rPr>
          <w:rFonts w:hint="eastAsia" w:ascii="仿宋" w:hAnsi="仿宋" w:eastAsia="仿宋" w:cs="仿宋"/>
          <w:snapToGrid w:val="0"/>
          <w:sz w:val="44"/>
          <w:szCs w:val="44"/>
        </w:rPr>
      </w:pPr>
    </w:p>
    <w:p w14:paraId="13A683CE">
      <w:pPr>
        <w:pStyle w:val="6"/>
        <w:rPr>
          <w:rFonts w:hint="eastAsia" w:ascii="仿宋" w:hAnsi="仿宋" w:eastAsia="仿宋" w:cs="仿宋"/>
          <w:snapToGrid w:val="0"/>
          <w:sz w:val="44"/>
          <w:szCs w:val="44"/>
        </w:rPr>
      </w:pPr>
    </w:p>
    <w:p w14:paraId="1643322B">
      <w:pPr>
        <w:pStyle w:val="12"/>
        <w:rPr>
          <w:rFonts w:hint="eastAsia" w:ascii="仿宋" w:hAnsi="仿宋" w:eastAsia="仿宋" w:cs="仿宋"/>
          <w:snapToGrid w:val="0"/>
          <w:sz w:val="44"/>
          <w:szCs w:val="44"/>
        </w:rPr>
      </w:pPr>
    </w:p>
    <w:p w14:paraId="6F7B1054">
      <w:pPr>
        <w:rPr>
          <w:rFonts w:hint="eastAsia" w:ascii="仿宋" w:hAnsi="仿宋" w:eastAsia="仿宋" w:cs="仿宋"/>
          <w:snapToGrid w:val="0"/>
          <w:sz w:val="44"/>
          <w:szCs w:val="44"/>
        </w:rPr>
      </w:pPr>
    </w:p>
    <w:p w14:paraId="070A749E">
      <w:pPr>
        <w:rPr>
          <w:rFonts w:hint="eastAsia" w:ascii="仿宋" w:hAnsi="仿宋" w:eastAsia="仿宋" w:cs="仿宋"/>
          <w:snapToGrid w:val="0"/>
          <w:sz w:val="44"/>
          <w:szCs w:val="44"/>
        </w:rPr>
      </w:pPr>
    </w:p>
    <w:p w14:paraId="7DEBCF3A">
      <w:pPr>
        <w:rPr>
          <w:rFonts w:hint="eastAsia" w:ascii="仿宋" w:hAnsi="仿宋" w:eastAsia="仿宋" w:cs="仿宋"/>
          <w:snapToGrid w:val="0"/>
          <w:sz w:val="44"/>
          <w:szCs w:val="44"/>
        </w:rPr>
      </w:pPr>
    </w:p>
    <w:p w14:paraId="74901F0A">
      <w:pPr>
        <w:rPr>
          <w:rFonts w:hint="eastAsia" w:ascii="仿宋" w:hAnsi="仿宋" w:eastAsia="仿宋" w:cs="仿宋"/>
          <w:snapToGrid w:val="0"/>
          <w:sz w:val="44"/>
          <w:szCs w:val="44"/>
        </w:rPr>
      </w:pPr>
    </w:p>
    <w:p w14:paraId="711401CF">
      <w:pPr>
        <w:rPr>
          <w:rFonts w:hint="eastAsia" w:ascii="仿宋" w:hAnsi="仿宋" w:eastAsia="仿宋" w:cs="仿宋"/>
          <w:snapToGrid w:val="0"/>
          <w:sz w:val="44"/>
          <w:szCs w:val="44"/>
        </w:rPr>
      </w:pPr>
    </w:p>
    <w:p w14:paraId="6489D0A7">
      <w:pPr>
        <w:rPr>
          <w:rFonts w:hint="eastAsia" w:ascii="仿宋" w:hAnsi="仿宋" w:eastAsia="仿宋" w:cs="仿宋"/>
          <w:snapToGrid w:val="0"/>
          <w:sz w:val="44"/>
          <w:szCs w:val="44"/>
        </w:rPr>
      </w:pPr>
    </w:p>
    <w:p w14:paraId="442412A4">
      <w:pPr>
        <w:rPr>
          <w:rFonts w:hint="eastAsia" w:ascii="仿宋" w:hAnsi="仿宋" w:eastAsia="仿宋" w:cs="仿宋"/>
          <w:snapToGrid w:val="0"/>
          <w:sz w:val="44"/>
          <w:szCs w:val="44"/>
        </w:rPr>
      </w:pPr>
    </w:p>
    <w:p w14:paraId="3B113E72">
      <w:pPr>
        <w:pStyle w:val="4"/>
        <w:numPr>
          <w:ilvl w:val="0"/>
          <w:numId w:val="0"/>
        </w:numPr>
        <w:jc w:val="center"/>
        <w:rPr>
          <w:rFonts w:hint="eastAsia" w:ascii="仿宋" w:hAnsi="仿宋" w:eastAsia="仿宋" w:cs="仿宋"/>
          <w:b w:val="0"/>
          <w:bCs/>
          <w:snapToGrid w:val="0"/>
          <w:sz w:val="44"/>
        </w:rPr>
      </w:pPr>
      <w:bookmarkStart w:id="11" w:name="_Toc20015"/>
      <w:r>
        <w:rPr>
          <w:rFonts w:hint="eastAsia" w:ascii="仿宋" w:hAnsi="仿宋" w:eastAsia="仿宋" w:cs="仿宋"/>
          <w:snapToGrid w:val="0"/>
          <w:sz w:val="44"/>
          <w:szCs w:val="44"/>
        </w:rPr>
        <w:t>第三部分   询价内容</w:t>
      </w:r>
      <w:bookmarkEnd w:id="9"/>
      <w:bookmarkEnd w:id="10"/>
      <w:bookmarkEnd w:id="11"/>
    </w:p>
    <w:p w14:paraId="20F783B5">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256C070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lang w:eastAsia="zh-CN"/>
        </w:rPr>
      </w:pPr>
      <w:r>
        <w:rPr>
          <w:rFonts w:hint="eastAsia" w:ascii="仿宋" w:hAnsi="仿宋" w:eastAsia="仿宋" w:cs="仿宋"/>
          <w:color w:val="auto"/>
          <w:kern w:val="2"/>
          <w:sz w:val="30"/>
          <w:szCs w:val="30"/>
          <w:lang w:val="en-US" w:eastAsia="zh-CN"/>
        </w:rPr>
        <w:t>详见报价清单</w:t>
      </w:r>
    </w:p>
    <w:p w14:paraId="0F473F03">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w:t>
      </w:r>
      <w:r>
        <w:rPr>
          <w:rFonts w:hint="eastAsia" w:ascii="仿宋" w:hAnsi="仿宋" w:eastAsia="仿宋" w:cs="仿宋"/>
          <w:color w:val="auto"/>
          <w:kern w:val="2"/>
          <w:sz w:val="30"/>
          <w:szCs w:val="30"/>
          <w:highlight w:val="none"/>
        </w:rPr>
        <w:t>供货方式</w:t>
      </w:r>
    </w:p>
    <w:p w14:paraId="1B36B8E9">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本项目为单次供货项目，供货方须在接到采购人送货通知后，3个工作日内将全部货物送至采购人指定地点并完成卸货、就位，货物到达现场时的状态应与出厂状态一致，运输及卸货过程中产生的损毁、灭失风险由供货方承担。</w:t>
      </w:r>
    </w:p>
    <w:p w14:paraId="5542679E">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490CA6F1">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highlight w:val="none"/>
          <w:lang w:val="en-US" w:eastAsia="zh-CN"/>
        </w:rPr>
        <w:t>全部货物运送至采购人指定地点，且经由采购人验收合格后，供货方提供经双方确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一年质保，其履约保证金（合同价的5%）到时（验收合格后）自动转为质保金，质保期从验收合格之日起计算，质保金于质保期满且无未决质量争议后无息退还。</w:t>
      </w:r>
    </w:p>
    <w:p w14:paraId="6F94A17B">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2E7712E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75D194BC">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承担。</w:t>
      </w:r>
    </w:p>
    <w:p w14:paraId="42FB0458">
      <w:pPr>
        <w:pStyle w:val="4"/>
        <w:numPr>
          <w:ilvl w:val="0"/>
          <w:numId w:val="0"/>
        </w:numPr>
        <w:jc w:val="center"/>
        <w:outlineLvl w:val="9"/>
        <w:rPr>
          <w:rFonts w:hint="eastAsia" w:ascii="仿宋" w:hAnsi="仿宋" w:eastAsia="仿宋" w:cs="仿宋"/>
          <w:snapToGrid w:val="0"/>
          <w:sz w:val="30"/>
          <w:szCs w:val="30"/>
          <w:highlight w:val="none"/>
        </w:rPr>
      </w:pPr>
      <w:bookmarkStart w:id="12" w:name="_Toc530583924"/>
      <w:r>
        <w:rPr>
          <w:rFonts w:hint="eastAsia" w:ascii="仿宋" w:hAnsi="仿宋" w:eastAsia="仿宋" w:cs="仿宋"/>
          <w:snapToGrid w:val="0"/>
          <w:sz w:val="30"/>
          <w:szCs w:val="30"/>
        </w:rPr>
        <w:br w:type="page"/>
      </w:r>
    </w:p>
    <w:p w14:paraId="2C38EEF5">
      <w:pPr>
        <w:pStyle w:val="4"/>
        <w:numPr>
          <w:ilvl w:val="0"/>
          <w:numId w:val="4"/>
        </w:numPr>
        <w:ind w:left="840" w:leftChars="0" w:firstLineChars="0"/>
        <w:jc w:val="center"/>
        <w:rPr>
          <w:rFonts w:hint="eastAsia" w:ascii="仿宋" w:hAnsi="仿宋" w:eastAsia="仿宋" w:cs="仿宋"/>
          <w:snapToGrid w:val="0"/>
          <w:sz w:val="44"/>
          <w:szCs w:val="44"/>
          <w:highlight w:val="none"/>
          <w:lang w:val="en-US" w:eastAsia="zh-CN"/>
        </w:rPr>
      </w:pPr>
      <w:r>
        <w:rPr>
          <w:rFonts w:hint="eastAsia" w:ascii="仿宋" w:hAnsi="仿宋" w:eastAsia="仿宋" w:cs="仿宋"/>
          <w:snapToGrid w:val="0"/>
          <w:sz w:val="44"/>
          <w:szCs w:val="44"/>
          <w:highlight w:val="none"/>
          <w:lang w:val="en-US" w:eastAsia="zh-CN"/>
        </w:rPr>
        <w:t xml:space="preserve">   </w:t>
      </w:r>
      <w:bookmarkStart w:id="13" w:name="_Toc28096"/>
      <w:r>
        <w:rPr>
          <w:rFonts w:hint="eastAsia" w:ascii="仿宋" w:hAnsi="仿宋" w:eastAsia="仿宋" w:cs="仿宋"/>
          <w:snapToGrid w:val="0"/>
          <w:sz w:val="44"/>
          <w:szCs w:val="44"/>
          <w:highlight w:val="none"/>
          <w:lang w:val="en-US" w:eastAsia="zh-CN"/>
        </w:rPr>
        <w:t>合同主要条款（供参考）</w:t>
      </w:r>
      <w:bookmarkEnd w:id="13"/>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1A7624AC">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第一条</w:t>
      </w:r>
      <w:r>
        <w:rPr>
          <w:rFonts w:hint="eastAsia" w:ascii="黑体" w:hAnsi="黑体" w:eastAsia="黑体" w:cs="黑体"/>
          <w:sz w:val="28"/>
          <w:szCs w:val="28"/>
          <w:highlight w:val="none"/>
          <w:lang w:val="en-US" w:eastAsia="zh-CN"/>
        </w:rPr>
        <w:t xml:space="preserve">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范围及价格</w:t>
      </w:r>
    </w:p>
    <w:tbl>
      <w:tblPr>
        <w:tblStyle w:val="13"/>
        <w:tblW w:w="9571" w:type="dxa"/>
        <w:jc w:val="center"/>
        <w:tblLayout w:type="fixed"/>
        <w:tblCellMar>
          <w:top w:w="0" w:type="dxa"/>
          <w:left w:w="108" w:type="dxa"/>
          <w:bottom w:w="0" w:type="dxa"/>
          <w:right w:w="108" w:type="dxa"/>
        </w:tblCellMar>
      </w:tblPr>
      <w:tblGrid>
        <w:gridCol w:w="751"/>
        <w:gridCol w:w="1439"/>
        <w:gridCol w:w="2015"/>
        <w:gridCol w:w="1017"/>
        <w:gridCol w:w="1089"/>
        <w:gridCol w:w="1633"/>
        <w:gridCol w:w="1627"/>
      </w:tblGrid>
      <w:tr w14:paraId="29B27345">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0085ABDB">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78B09A60">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产品名称</w:t>
            </w:r>
          </w:p>
        </w:tc>
        <w:tc>
          <w:tcPr>
            <w:tcW w:w="2015" w:type="dxa"/>
            <w:tcBorders>
              <w:top w:val="single" w:color="auto" w:sz="4" w:space="0"/>
              <w:left w:val="nil"/>
              <w:bottom w:val="single" w:color="auto" w:sz="4" w:space="0"/>
              <w:right w:val="single" w:color="auto" w:sz="4" w:space="0"/>
            </w:tcBorders>
            <w:noWrap w:val="0"/>
            <w:vAlign w:val="center"/>
          </w:tcPr>
          <w:p w14:paraId="7E1DDE49">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型号规格</w:t>
            </w:r>
          </w:p>
        </w:tc>
        <w:tc>
          <w:tcPr>
            <w:tcW w:w="1017" w:type="dxa"/>
            <w:tcBorders>
              <w:top w:val="single" w:color="auto" w:sz="4" w:space="0"/>
              <w:left w:val="nil"/>
              <w:bottom w:val="single" w:color="auto" w:sz="4" w:space="0"/>
              <w:right w:val="single" w:color="auto" w:sz="4" w:space="0"/>
            </w:tcBorders>
            <w:noWrap w:val="0"/>
            <w:vAlign w:val="center"/>
          </w:tcPr>
          <w:p w14:paraId="0FE24892">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数量</w:t>
            </w:r>
          </w:p>
        </w:tc>
        <w:tc>
          <w:tcPr>
            <w:tcW w:w="1089" w:type="dxa"/>
            <w:tcBorders>
              <w:top w:val="single" w:color="auto" w:sz="4" w:space="0"/>
              <w:left w:val="nil"/>
              <w:bottom w:val="single" w:color="auto" w:sz="4" w:space="0"/>
              <w:right w:val="single" w:color="auto" w:sz="4" w:space="0"/>
            </w:tcBorders>
            <w:noWrap w:val="0"/>
            <w:vAlign w:val="center"/>
          </w:tcPr>
          <w:p w14:paraId="14A91725">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单位</w:t>
            </w:r>
          </w:p>
        </w:tc>
        <w:tc>
          <w:tcPr>
            <w:tcW w:w="1633" w:type="dxa"/>
            <w:tcBorders>
              <w:top w:val="single" w:color="auto" w:sz="4" w:space="0"/>
              <w:left w:val="nil"/>
              <w:bottom w:val="single" w:color="auto" w:sz="4" w:space="0"/>
              <w:right w:val="single" w:color="auto" w:sz="4" w:space="0"/>
            </w:tcBorders>
            <w:noWrap w:val="0"/>
            <w:vAlign w:val="center"/>
          </w:tcPr>
          <w:p w14:paraId="18A5117A">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单价（元）</w:t>
            </w:r>
          </w:p>
        </w:tc>
        <w:tc>
          <w:tcPr>
            <w:tcW w:w="1627" w:type="dxa"/>
            <w:tcBorders>
              <w:top w:val="single" w:color="auto" w:sz="4" w:space="0"/>
              <w:left w:val="nil"/>
              <w:bottom w:val="single" w:color="auto" w:sz="4" w:space="0"/>
              <w:right w:val="single" w:color="auto" w:sz="4" w:space="0"/>
            </w:tcBorders>
            <w:noWrap w:val="0"/>
            <w:vAlign w:val="center"/>
          </w:tcPr>
          <w:p w14:paraId="01AE2C9D">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金额（元）</w:t>
            </w:r>
          </w:p>
        </w:tc>
      </w:tr>
      <w:tr w14:paraId="12FDB466">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ED6F5FA">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1</w:t>
            </w:r>
          </w:p>
        </w:tc>
        <w:tc>
          <w:tcPr>
            <w:tcW w:w="1439" w:type="dxa"/>
            <w:tcBorders>
              <w:top w:val="nil"/>
              <w:left w:val="nil"/>
              <w:bottom w:val="single" w:color="auto" w:sz="4" w:space="0"/>
              <w:right w:val="single" w:color="auto" w:sz="4" w:space="0"/>
            </w:tcBorders>
            <w:shd w:val="clear" w:color="000000" w:fill="FFFFFF"/>
            <w:noWrap w:val="0"/>
            <w:vAlign w:val="center"/>
          </w:tcPr>
          <w:p w14:paraId="7903C9D8">
            <w:pPr>
              <w:adjustRightInd/>
              <w:snapToGrid/>
              <w:spacing w:after="0"/>
              <w:jc w:val="center"/>
              <w:rPr>
                <w:rFonts w:hint="eastAsia" w:ascii="Times New Roman" w:hAnsi="Times New Roman" w:eastAsia="方正仿宋_GBK" w:cs="Times New Roman"/>
                <w:b/>
                <w:bCs/>
                <w:sz w:val="24"/>
                <w:szCs w:val="24"/>
                <w:highlight w:val="none"/>
              </w:rPr>
            </w:pPr>
          </w:p>
        </w:tc>
        <w:tc>
          <w:tcPr>
            <w:tcW w:w="2015" w:type="dxa"/>
            <w:tcBorders>
              <w:top w:val="nil"/>
              <w:left w:val="nil"/>
              <w:bottom w:val="single" w:color="auto" w:sz="4" w:space="0"/>
              <w:right w:val="single" w:color="auto" w:sz="4" w:space="0"/>
            </w:tcBorders>
            <w:shd w:val="clear" w:color="000000" w:fill="FFFFFF"/>
            <w:noWrap w:val="0"/>
            <w:vAlign w:val="center"/>
          </w:tcPr>
          <w:p w14:paraId="3FA647C3">
            <w:pPr>
              <w:adjustRightInd/>
              <w:snapToGrid/>
              <w:spacing w:after="0"/>
              <w:jc w:val="center"/>
              <w:rPr>
                <w:rFonts w:hint="eastAsia" w:ascii="Times New Roman" w:hAnsi="Times New Roman" w:eastAsia="方正仿宋_GBK" w:cs="Times New Roman"/>
                <w:b/>
                <w:bCs/>
                <w:sz w:val="24"/>
                <w:szCs w:val="24"/>
                <w:highlight w:val="none"/>
              </w:rPr>
            </w:pPr>
          </w:p>
        </w:tc>
        <w:tc>
          <w:tcPr>
            <w:tcW w:w="1017" w:type="dxa"/>
            <w:tcBorders>
              <w:top w:val="nil"/>
              <w:left w:val="nil"/>
              <w:bottom w:val="single" w:color="auto" w:sz="4" w:space="0"/>
              <w:right w:val="single" w:color="auto" w:sz="4" w:space="0"/>
            </w:tcBorders>
            <w:shd w:val="clear" w:color="000000" w:fill="FFFFFF"/>
            <w:noWrap w:val="0"/>
            <w:vAlign w:val="center"/>
          </w:tcPr>
          <w:p w14:paraId="6533A1DE">
            <w:pPr>
              <w:adjustRightInd/>
              <w:snapToGrid/>
              <w:spacing w:after="0"/>
              <w:jc w:val="center"/>
              <w:rPr>
                <w:rFonts w:hint="default" w:ascii="Times New Roman" w:hAnsi="Times New Roman" w:eastAsia="方正仿宋_GBK" w:cs="Times New Roman"/>
                <w:b/>
                <w:bCs/>
                <w:sz w:val="24"/>
                <w:szCs w:val="24"/>
                <w:highlight w:val="none"/>
              </w:rPr>
            </w:pPr>
          </w:p>
        </w:tc>
        <w:tc>
          <w:tcPr>
            <w:tcW w:w="1089" w:type="dxa"/>
            <w:tcBorders>
              <w:top w:val="nil"/>
              <w:left w:val="nil"/>
              <w:bottom w:val="single" w:color="auto" w:sz="4" w:space="0"/>
              <w:right w:val="single" w:color="auto" w:sz="4" w:space="0"/>
            </w:tcBorders>
            <w:shd w:val="clear" w:color="000000" w:fill="FFFFFF"/>
            <w:noWrap w:val="0"/>
            <w:vAlign w:val="center"/>
          </w:tcPr>
          <w:p w14:paraId="632BF058">
            <w:pPr>
              <w:adjustRightInd/>
              <w:snapToGrid/>
              <w:spacing w:after="0"/>
              <w:jc w:val="center"/>
              <w:rPr>
                <w:rFonts w:hint="default" w:ascii="Times New Roman" w:hAnsi="Times New Roman" w:eastAsia="方正仿宋_GBK" w:cs="Times New Roman"/>
                <w:b/>
                <w:bCs/>
                <w:sz w:val="24"/>
                <w:szCs w:val="24"/>
                <w:highlight w:val="none"/>
              </w:rPr>
            </w:pPr>
          </w:p>
        </w:tc>
        <w:tc>
          <w:tcPr>
            <w:tcW w:w="1633" w:type="dxa"/>
            <w:tcBorders>
              <w:top w:val="nil"/>
              <w:left w:val="nil"/>
              <w:bottom w:val="single" w:color="auto" w:sz="4" w:space="0"/>
              <w:right w:val="single" w:color="auto" w:sz="4" w:space="0"/>
            </w:tcBorders>
            <w:noWrap w:val="0"/>
            <w:vAlign w:val="center"/>
          </w:tcPr>
          <w:p w14:paraId="797EC2E6">
            <w:pPr>
              <w:adjustRightInd/>
              <w:snapToGrid/>
              <w:spacing w:after="0"/>
              <w:jc w:val="center"/>
              <w:rPr>
                <w:rFonts w:hint="default" w:ascii="Times New Roman" w:hAnsi="Times New Roman" w:eastAsia="方正仿宋_GBK" w:cs="Times New Roman"/>
                <w:b/>
                <w:bCs/>
                <w:sz w:val="24"/>
                <w:szCs w:val="24"/>
                <w:highlight w:val="none"/>
              </w:rPr>
            </w:pPr>
          </w:p>
        </w:tc>
        <w:tc>
          <w:tcPr>
            <w:tcW w:w="1627" w:type="dxa"/>
            <w:tcBorders>
              <w:top w:val="nil"/>
              <w:left w:val="nil"/>
              <w:bottom w:val="single" w:color="auto" w:sz="4" w:space="0"/>
              <w:right w:val="single" w:color="auto" w:sz="4" w:space="0"/>
            </w:tcBorders>
            <w:noWrap w:val="0"/>
            <w:vAlign w:val="center"/>
          </w:tcPr>
          <w:p w14:paraId="55F60B0E">
            <w:pPr>
              <w:adjustRightInd/>
              <w:snapToGrid/>
              <w:spacing w:after="0"/>
              <w:jc w:val="center"/>
              <w:rPr>
                <w:rFonts w:hint="eastAsia" w:ascii="Times New Roman" w:hAnsi="Times New Roman" w:eastAsia="方正仿宋_GBK" w:cs="Times New Roman"/>
                <w:b/>
                <w:bCs/>
                <w:sz w:val="24"/>
                <w:szCs w:val="24"/>
                <w:highlight w:val="none"/>
              </w:rPr>
            </w:pPr>
          </w:p>
        </w:tc>
      </w:tr>
      <w:tr w14:paraId="0E877BCF">
        <w:tblPrEx>
          <w:tblCellMar>
            <w:top w:w="0" w:type="dxa"/>
            <w:left w:w="108" w:type="dxa"/>
            <w:bottom w:w="0" w:type="dxa"/>
            <w:right w:w="108" w:type="dxa"/>
          </w:tblCellMar>
        </w:tblPrEx>
        <w:trPr>
          <w:trHeight w:val="836" w:hRule="atLeast"/>
          <w:jc w:val="center"/>
        </w:trPr>
        <w:tc>
          <w:tcPr>
            <w:tcW w:w="6311" w:type="dxa"/>
            <w:gridSpan w:val="5"/>
            <w:tcBorders>
              <w:top w:val="nil"/>
              <w:left w:val="single" w:color="auto" w:sz="4" w:space="0"/>
              <w:bottom w:val="single" w:color="auto" w:sz="4" w:space="0"/>
              <w:right w:val="single" w:color="auto" w:sz="4" w:space="0"/>
            </w:tcBorders>
            <w:noWrap w:val="0"/>
            <w:vAlign w:val="center"/>
          </w:tcPr>
          <w:p w14:paraId="47F666EB">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合同总金额人民币（大写）：</w:t>
            </w:r>
          </w:p>
        </w:tc>
        <w:tc>
          <w:tcPr>
            <w:tcW w:w="3260" w:type="dxa"/>
            <w:gridSpan w:val="2"/>
            <w:tcBorders>
              <w:top w:val="nil"/>
              <w:left w:val="single" w:color="auto" w:sz="4" w:space="0"/>
              <w:bottom w:val="single" w:color="auto" w:sz="4" w:space="0"/>
              <w:right w:val="single" w:color="auto" w:sz="4" w:space="0"/>
            </w:tcBorders>
            <w:noWrap w:val="0"/>
            <w:vAlign w:val="center"/>
          </w:tcPr>
          <w:p w14:paraId="6E443802">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w:t>
            </w:r>
          </w:p>
        </w:tc>
      </w:tr>
      <w:tr w14:paraId="2903F576">
        <w:tblPrEx>
          <w:tblCellMar>
            <w:top w:w="0" w:type="dxa"/>
            <w:left w:w="108" w:type="dxa"/>
            <w:bottom w:w="0" w:type="dxa"/>
            <w:right w:w="108" w:type="dxa"/>
          </w:tblCellMar>
        </w:tblPrEx>
        <w:trPr>
          <w:trHeight w:val="716" w:hRule="atLeast"/>
          <w:jc w:val="center"/>
        </w:trPr>
        <w:tc>
          <w:tcPr>
            <w:tcW w:w="9571" w:type="dxa"/>
            <w:gridSpan w:val="7"/>
            <w:tcBorders>
              <w:top w:val="nil"/>
              <w:left w:val="single" w:color="auto" w:sz="4" w:space="0"/>
              <w:bottom w:val="single" w:color="auto" w:sz="4" w:space="0"/>
              <w:right w:val="single" w:color="auto" w:sz="4" w:space="0"/>
            </w:tcBorders>
            <w:noWrap w:val="0"/>
            <w:vAlign w:val="center"/>
          </w:tcPr>
          <w:p w14:paraId="74D1688C">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备注：以上金额含</w:t>
            </w:r>
            <w:r>
              <w:rPr>
                <w:rFonts w:hint="eastAsia" w:eastAsia="方正仿宋_GBK" w:cs="Times New Roman"/>
                <w:b/>
                <w:bCs/>
                <w:sz w:val="24"/>
                <w:szCs w:val="24"/>
                <w:highlight w:val="none"/>
                <w:lang w:val="en-US" w:eastAsia="zh-CN"/>
              </w:rPr>
              <w:t xml:space="preserve">  </w:t>
            </w:r>
            <w:r>
              <w:rPr>
                <w:rFonts w:hint="eastAsia" w:ascii="Times New Roman" w:hAnsi="Times New Roman" w:eastAsia="方正仿宋_GBK" w:cs="Times New Roman"/>
                <w:b/>
                <w:bCs/>
                <w:sz w:val="24"/>
                <w:szCs w:val="24"/>
                <w:highlight w:val="none"/>
              </w:rPr>
              <w:t>%增值税和运费</w:t>
            </w:r>
          </w:p>
        </w:tc>
      </w:tr>
    </w:tbl>
    <w:p w14:paraId="1E1C81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时间、地点</w:t>
      </w:r>
      <w:r>
        <w:rPr>
          <w:rFonts w:hint="eastAsia" w:ascii="黑体" w:hAnsi="黑体" w:eastAsia="黑体" w:cs="黑体"/>
          <w:sz w:val="28"/>
          <w:szCs w:val="28"/>
          <w:highlight w:val="none"/>
          <w:lang w:eastAsia="zh-CN"/>
        </w:rPr>
        <w:t>、要求</w:t>
      </w:r>
    </w:p>
    <w:p w14:paraId="453342D8">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eastAsia="zh-CN"/>
        </w:rPr>
        <w:t>1.供货</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本项目为单次供货项目，乙方须在接到甲方送货通知后，3个工作日内将全部货物送至甲方指定地点并完成卸货、就位，货物到达现场时的状态应与出厂状态一致，运输及卸货过程中产生的损毁、灭失风险由乙方承担</w:t>
      </w:r>
      <w:r>
        <w:rPr>
          <w:rFonts w:hint="eastAsia" w:ascii="方正仿宋_GBK" w:hAnsi="方正仿宋_GBK" w:eastAsia="方正仿宋_GBK" w:cs="方正仿宋_GBK"/>
          <w:sz w:val="28"/>
          <w:szCs w:val="28"/>
          <w:highlight w:val="none"/>
        </w:rPr>
        <w:t>。</w:t>
      </w:r>
    </w:p>
    <w:p w14:paraId="15FBED40">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highlight w:val="none"/>
          <w:lang w:eastAsia="zh-CN"/>
        </w:rPr>
        <w:t>2.供货</w:t>
      </w:r>
      <w:r>
        <w:rPr>
          <w:rFonts w:hint="eastAsia" w:ascii="方正仿宋_GBK" w:hAnsi="方正仿宋_GBK" w:eastAsia="方正仿宋_GBK" w:cs="方正仿宋_GBK"/>
          <w:sz w:val="28"/>
          <w:szCs w:val="28"/>
          <w:highlight w:val="none"/>
        </w:rPr>
        <w:t>地点：</w:t>
      </w:r>
      <w:r>
        <w:rPr>
          <w:rFonts w:hint="eastAsia" w:ascii="方正仿宋_GBK" w:hAnsi="方正仿宋_GBK" w:eastAsia="方正仿宋_GBK" w:cs="方正仿宋_GBK"/>
          <w:sz w:val="28"/>
          <w:szCs w:val="28"/>
          <w:highlight w:val="none"/>
          <w:lang w:eastAsia="zh-CN"/>
        </w:rPr>
        <w:t>浙江省绍兴市柯桥区钱滨线二线海塘绍兴市再生</w:t>
      </w:r>
      <w:r>
        <w:rPr>
          <w:rFonts w:hint="eastAsia" w:ascii="方正仿宋_GBK" w:hAnsi="方正仿宋_GBK" w:eastAsia="方正仿宋_GBK" w:cs="方正仿宋_GBK"/>
          <w:sz w:val="28"/>
          <w:szCs w:val="28"/>
          <w:lang w:eastAsia="zh-CN"/>
        </w:rPr>
        <w:t>能源发展有限公司。</w:t>
      </w:r>
    </w:p>
    <w:p w14:paraId="2B2F559C">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3.供货要求：交货时，应附有相应的装货清单、合格证及相关技术资料。（如有）</w:t>
      </w:r>
    </w:p>
    <w:p w14:paraId="44C320E3">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第三条 技术要求</w:t>
      </w:r>
    </w:p>
    <w:p w14:paraId="6B4BE894">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1.纯度≥96%，固体25kg/包。</w:t>
      </w:r>
    </w:p>
    <w:p w14:paraId="5E120ED6">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乙方保证所供产品交付时均处于产品标明的有效使用期限内，且剩余有效期不得少于产品总有效期的四分之三。产品质量与技术指标符合国家标准、行业规范及甲方要求（以较严格者为准），乙方交货时须同步提供每批次货物的出厂检验报告（含成分检测报告）、产品合格证等完整资料；供货周期须满足甲方实际使用需求。</w:t>
      </w:r>
    </w:p>
    <w:p w14:paraId="0A7EBEEA">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3.乙方所供货物若由于采用不充分或不妥善的防护措施造成货物的任何损坏、腐蚀或变形，甲方有权拒收，乙方应承担由此造成的一切损失</w:t>
      </w:r>
      <w:r>
        <w:rPr>
          <w:rFonts w:hint="eastAsia" w:ascii="方正仿宋_GBK" w:hAnsi="方正仿宋_GBK" w:eastAsia="方正仿宋_GBK" w:cs="方正仿宋_GBK"/>
          <w:sz w:val="28"/>
          <w:szCs w:val="28"/>
          <w:highlight w:val="none"/>
        </w:rPr>
        <w:t>。</w:t>
      </w:r>
    </w:p>
    <w:p w14:paraId="0BC699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rPr>
      </w:pPr>
      <w:r>
        <w:rPr>
          <w:rFonts w:hint="eastAsia" w:ascii="黑体" w:hAnsi="黑体" w:eastAsia="黑体" w:cs="黑体"/>
          <w:sz w:val="28"/>
          <w:szCs w:val="28"/>
        </w:rPr>
        <w:t xml:space="preserve">第四条 合同价格   </w:t>
      </w:r>
    </w:p>
    <w:p w14:paraId="736911F9">
      <w:pPr>
        <w:pStyle w:val="34"/>
        <w:keepNext w:val="0"/>
        <w:keepLines w:val="0"/>
        <w:pageBreakBefore w:val="0"/>
        <w:widowControl/>
        <w:kinsoku/>
        <w:wordWrap/>
        <w:overflowPunct/>
        <w:topLinePunct w:val="0"/>
        <w:autoSpaceDE/>
        <w:autoSpaceDN/>
        <w:bidi w:val="0"/>
        <w:adjustRightInd w:val="0"/>
        <w:snapToGrid w:val="0"/>
        <w:spacing w:after="0" w:line="579" w:lineRule="exact"/>
        <w:ind w:left="279" w:leftChars="133" w:firstLine="280" w:firstLineChars="1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highlight w:val="none"/>
        </w:rPr>
        <w:t>合同总金额人民币（大写）</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元整，本合同为固定</w:t>
      </w:r>
      <w:r>
        <w:rPr>
          <w:rFonts w:hint="eastAsia" w:ascii="方正仿宋_GBK" w:hAnsi="方正仿宋_GBK" w:eastAsia="方正仿宋_GBK" w:cs="方正仿宋_GBK"/>
          <w:sz w:val="28"/>
          <w:szCs w:val="28"/>
          <w:highlight w:val="none"/>
          <w:lang w:eastAsia="zh-CN"/>
        </w:rPr>
        <w:t>总价</w:t>
      </w:r>
      <w:r>
        <w:rPr>
          <w:rFonts w:hint="eastAsia" w:ascii="方正仿宋_GBK" w:hAnsi="方正仿宋_GBK" w:eastAsia="方正仿宋_GBK" w:cs="方正仿宋_GBK"/>
          <w:sz w:val="28"/>
          <w:szCs w:val="28"/>
          <w:highlight w:val="none"/>
        </w:rPr>
        <w:t>合同，</w:t>
      </w:r>
      <w:r>
        <w:rPr>
          <w:rFonts w:hint="eastAsia" w:ascii="方正仿宋_GBK" w:hAnsi="方正仿宋_GBK" w:eastAsia="方正仿宋_GBK" w:cs="方正仿宋_GBK"/>
          <w:sz w:val="28"/>
          <w:szCs w:val="28"/>
        </w:rPr>
        <w:t>金额包含包装费、运费、税金、保险费</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装卸费</w:t>
      </w:r>
      <w:r>
        <w:rPr>
          <w:rFonts w:hint="eastAsia" w:ascii="方正仿宋_GBK" w:hAnsi="方正仿宋_GBK" w:eastAsia="方正仿宋_GBK" w:cs="方正仿宋_GBK"/>
          <w:sz w:val="28"/>
          <w:szCs w:val="28"/>
        </w:rPr>
        <w:t>等，双方不能因市场价格变化而调整合同价。</w:t>
      </w:r>
    </w:p>
    <w:p w14:paraId="1BB9B344">
      <w:pPr>
        <w:pStyle w:val="34"/>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lang w:val="en-US" w:eastAsia="zh-CN" w:bidi="ar-SA"/>
        </w:rPr>
      </w:pPr>
      <w:r>
        <w:rPr>
          <w:rFonts w:ascii="Times New Roman" w:hAnsi="Times New Roman" w:eastAsia="黑体"/>
          <w:kern w:val="2"/>
          <w:sz w:val="28"/>
          <w:szCs w:val="28"/>
        </w:rPr>
        <w:t>付款方式及保证金</w:t>
      </w:r>
    </w:p>
    <w:p w14:paraId="3B51C19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全部货物运送至甲方指定地点，且经由甲方验收合格后，乙方提供经双方确认的送货清单及等额、合法、有效的增值税专用发票，甲方自收到准确清单和发票且核对无误后，于次二月完成货款支付，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乙方需提供一年质保，其履约保证金（合同价的5%）到时（验收合格后）自动转为质保金，质保期从验收合格之日起计算，质保金于质保期满且无未决质量争议后无息退还。</w:t>
      </w:r>
    </w:p>
    <w:p w14:paraId="0ABEAB09">
      <w:pPr>
        <w:pStyle w:val="34"/>
        <w:numPr>
          <w:ilvl w:val="0"/>
          <w:numId w:val="0"/>
        </w:numPr>
        <w:spacing w:beforeAutospacing="0" w:line="579" w:lineRule="exact"/>
        <w:ind w:left="560" w:hanging="560" w:hangingChars="200"/>
        <w:contextualSpacing/>
        <w:jc w:val="both"/>
        <w:outlineLvl w:val="0"/>
        <w:rPr>
          <w:rFonts w:ascii="Times New Roman" w:hAnsi="Times New Roman" w:eastAsia="黑体"/>
          <w:kern w:val="2"/>
          <w:sz w:val="28"/>
          <w:szCs w:val="28"/>
        </w:rPr>
      </w:pPr>
      <w:bookmarkStart w:id="14" w:name="_Toc16486"/>
      <w:r>
        <w:rPr>
          <w:rFonts w:hint="eastAsia" w:ascii="Times New Roman" w:hAnsi="Times New Roman" w:eastAsia="黑体" w:cs="Times New Roman"/>
          <w:kern w:val="2"/>
          <w:sz w:val="28"/>
          <w:szCs w:val="28"/>
          <w:lang w:val="en-US" w:eastAsia="zh-CN" w:bidi="ar-SA"/>
        </w:rPr>
        <w:t xml:space="preserve">第六条 </w:t>
      </w:r>
      <w:r>
        <w:rPr>
          <w:rFonts w:ascii="Times New Roman" w:hAnsi="Times New Roman" w:eastAsia="黑体"/>
          <w:kern w:val="2"/>
          <w:sz w:val="28"/>
          <w:szCs w:val="28"/>
        </w:rPr>
        <w:t>验收标准</w:t>
      </w:r>
      <w:bookmarkEnd w:id="14"/>
    </w:p>
    <w:p w14:paraId="2A247297">
      <w:pPr>
        <w:pStyle w:val="34"/>
        <w:keepNext w:val="0"/>
        <w:keepLines w:val="0"/>
        <w:pageBreakBefore w:val="0"/>
        <w:widowControl/>
        <w:kinsoku/>
        <w:wordWrap/>
        <w:overflowPunct/>
        <w:topLinePunct w:val="0"/>
        <w:autoSpaceDE/>
        <w:autoSpaceDN/>
        <w:bidi w:val="0"/>
        <w:adjustRightInd w:val="0"/>
        <w:snapToGrid w:val="0"/>
        <w:spacing w:line="579" w:lineRule="exact"/>
        <w:ind w:left="0" w:leftChars="0" w:firstLine="560" w:firstLineChars="2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乙方应提供相应的送货单，甲方</w:t>
      </w:r>
      <w:r>
        <w:rPr>
          <w:rFonts w:hint="eastAsia" w:ascii="方正仿宋_GBK" w:hAnsi="方正仿宋_GBK" w:eastAsia="方正仿宋_GBK" w:cs="方正仿宋_GBK"/>
          <w:sz w:val="28"/>
          <w:szCs w:val="28"/>
        </w:rPr>
        <w:t>按</w:t>
      </w:r>
      <w:r>
        <w:rPr>
          <w:rFonts w:hint="eastAsia" w:ascii="方正仿宋_GBK" w:hAnsi="方正仿宋_GBK" w:eastAsia="方正仿宋_GBK" w:cs="方正仿宋_GBK"/>
          <w:sz w:val="28"/>
          <w:szCs w:val="28"/>
          <w:lang w:eastAsia="zh-CN"/>
        </w:rPr>
        <w:t>相关</w:t>
      </w:r>
      <w:r>
        <w:rPr>
          <w:rFonts w:hint="eastAsia" w:ascii="方正仿宋_GBK" w:hAnsi="方正仿宋_GBK" w:eastAsia="方正仿宋_GBK" w:cs="方正仿宋_GBK"/>
          <w:sz w:val="28"/>
          <w:szCs w:val="28"/>
        </w:rPr>
        <w:t>技术协议</w:t>
      </w:r>
      <w:r>
        <w:rPr>
          <w:rFonts w:hint="eastAsia" w:ascii="方正仿宋_GBK" w:hAnsi="方正仿宋_GBK" w:eastAsia="方正仿宋_GBK" w:cs="方正仿宋_GBK"/>
          <w:sz w:val="28"/>
          <w:szCs w:val="28"/>
          <w:lang w:eastAsia="zh-CN"/>
        </w:rPr>
        <w:t>、行业规范或</w:t>
      </w:r>
      <w:r>
        <w:rPr>
          <w:rFonts w:hint="eastAsia" w:ascii="方正仿宋_GBK" w:hAnsi="方正仿宋_GBK" w:eastAsia="方正仿宋_GBK" w:cs="方正仿宋_GBK"/>
          <w:sz w:val="28"/>
          <w:szCs w:val="28"/>
        </w:rPr>
        <w:t>国家标准</w:t>
      </w:r>
      <w:r>
        <w:rPr>
          <w:rFonts w:hint="eastAsia" w:ascii="方正仿宋_GBK" w:hAnsi="方正仿宋_GBK" w:eastAsia="方正仿宋_GBK" w:cs="方正仿宋_GBK"/>
          <w:sz w:val="28"/>
          <w:szCs w:val="28"/>
          <w:lang w:eastAsia="zh-CN"/>
        </w:rPr>
        <w:t>进行</w:t>
      </w:r>
      <w:r>
        <w:rPr>
          <w:rFonts w:hint="eastAsia" w:ascii="方正仿宋_GBK" w:hAnsi="方正仿宋_GBK" w:eastAsia="方正仿宋_GBK" w:cs="方正仿宋_GBK"/>
          <w:sz w:val="28"/>
          <w:szCs w:val="28"/>
        </w:rPr>
        <w:t>验收，</w:t>
      </w:r>
      <w:r>
        <w:rPr>
          <w:rFonts w:hint="eastAsia" w:ascii="方正仿宋_GBK" w:hAnsi="方正仿宋_GBK" w:eastAsia="方正仿宋_GBK" w:cs="方正仿宋_GBK"/>
          <w:sz w:val="28"/>
          <w:szCs w:val="28"/>
          <w:lang w:eastAsia="zh-CN"/>
        </w:rPr>
        <w:t>验收标准以严格者（</w:t>
      </w:r>
      <w:r>
        <w:rPr>
          <w:rFonts w:hint="eastAsia" w:ascii="方正仿宋_GBK" w:hAnsi="方正仿宋_GBK" w:eastAsia="方正仿宋_GBK" w:cs="方正仿宋_GBK"/>
          <w:sz w:val="28"/>
          <w:szCs w:val="28"/>
          <w:lang w:val="en-US" w:eastAsia="zh-CN"/>
        </w:rPr>
        <w:t>高者）</w:t>
      </w:r>
      <w:r>
        <w:rPr>
          <w:rFonts w:hint="eastAsia" w:ascii="方正仿宋_GBK" w:hAnsi="方正仿宋_GBK" w:eastAsia="方正仿宋_GBK" w:cs="方正仿宋_GBK"/>
          <w:sz w:val="28"/>
          <w:szCs w:val="28"/>
          <w:lang w:eastAsia="zh-CN"/>
        </w:rPr>
        <w:t>为基准，规格、质量等应符合相关质量标准。</w:t>
      </w:r>
      <w:r>
        <w:rPr>
          <w:rFonts w:hint="eastAsia" w:ascii="方正仿宋_GBK" w:hAnsi="方正仿宋_GBK" w:eastAsia="方正仿宋_GBK" w:cs="方正仿宋_GBK"/>
          <w:sz w:val="28"/>
          <w:szCs w:val="28"/>
        </w:rPr>
        <w:t>甲方对货物的品种、规格、型号、数量、外观、随附文件（合格证、说明书等）进行清点核对。此验收合格只能视为初步验收，并不能</w:t>
      </w:r>
      <w:r>
        <w:rPr>
          <w:rFonts w:hint="eastAsia" w:ascii="方正仿宋_GBK" w:hAnsi="方正仿宋_GBK" w:eastAsia="方正仿宋_GBK" w:cs="方正仿宋_GBK"/>
          <w:sz w:val="28"/>
          <w:szCs w:val="28"/>
          <w:lang w:val="en-US" w:eastAsia="zh-CN"/>
        </w:rPr>
        <w:t>免除</w:t>
      </w:r>
      <w:r>
        <w:rPr>
          <w:rFonts w:hint="eastAsia" w:ascii="方正仿宋_GBK" w:hAnsi="方正仿宋_GBK" w:eastAsia="方正仿宋_GBK" w:cs="方正仿宋_GBK"/>
          <w:sz w:val="28"/>
          <w:szCs w:val="28"/>
          <w:lang w:eastAsia="zh-CN"/>
        </w:rPr>
        <w:t>乙方</w:t>
      </w:r>
      <w:r>
        <w:rPr>
          <w:rFonts w:hint="eastAsia" w:ascii="方正仿宋_GBK" w:hAnsi="方正仿宋_GBK" w:eastAsia="方正仿宋_GBK" w:cs="方正仿宋_GBK"/>
          <w:sz w:val="28"/>
          <w:szCs w:val="28"/>
        </w:rPr>
        <w:t>对其产品在质保期内的质量担保责任，对于必须安装运转后才能发现的隐蔽瑕疵，甲方有权在质保期内提出异议。</w:t>
      </w:r>
    </w:p>
    <w:p w14:paraId="0B9F682E">
      <w:pPr>
        <w:pStyle w:val="34"/>
        <w:spacing w:line="579" w:lineRule="exact"/>
        <w:ind w:firstLine="560" w:firstLineChars="200"/>
        <w:contextualSpacing/>
        <w:jc w:val="both"/>
        <w:rPr>
          <w:rFonts w:ascii="Times New Roman" w:hAnsi="Times New Roman"/>
        </w:rPr>
      </w:pPr>
      <w:r>
        <w:rPr>
          <w:rFonts w:hint="default" w:ascii="Times New Roman" w:hAnsi="Times New Roman" w:eastAsia="方正仿宋_GBK" w:cs="Times New Roman"/>
          <w:sz w:val="28"/>
          <w:szCs w:val="28"/>
          <w:lang w:eastAsia="zh-CN"/>
        </w:rPr>
        <w:t>凡甲</w:t>
      </w:r>
      <w:r>
        <w:rPr>
          <w:rFonts w:hint="eastAsia" w:ascii="Times New Roman" w:hAnsi="Times New Roman" w:eastAsia="方正仿宋_GBK" w:cs="Times New Roman"/>
          <w:sz w:val="28"/>
          <w:szCs w:val="28"/>
          <w:lang w:eastAsia="zh-CN"/>
        </w:rPr>
        <w:t>方在</w:t>
      </w:r>
      <w:r>
        <w:rPr>
          <w:rFonts w:hint="default" w:ascii="Times New Roman" w:hAnsi="Times New Roman" w:eastAsia="方正仿宋_GBK" w:cs="Times New Roman"/>
          <w:sz w:val="28"/>
          <w:szCs w:val="28"/>
          <w:lang w:eastAsia="zh-CN"/>
        </w:rPr>
        <w:t>验收过程中发现</w:t>
      </w:r>
      <w:r>
        <w:rPr>
          <w:rFonts w:hint="eastAsia" w:ascii="Times New Roman" w:hAnsi="Times New Roman" w:eastAsia="方正仿宋_GBK"/>
          <w:sz w:val="28"/>
          <w:szCs w:val="28"/>
        </w:rPr>
        <w:t>乙方提供的货物不符合合同约定的</w:t>
      </w:r>
      <w:r>
        <w:rPr>
          <w:rFonts w:ascii="Times New Roman" w:hAnsi="Times New Roman" w:eastAsia="方正仿宋_GBK"/>
          <w:sz w:val="28"/>
          <w:szCs w:val="28"/>
        </w:rPr>
        <w:t>，</w:t>
      </w:r>
      <w:r>
        <w:rPr>
          <w:rFonts w:hint="eastAsia" w:ascii="Times New Roman" w:hAnsi="Times New Roman" w:eastAsia="方正仿宋_GBK"/>
          <w:sz w:val="28"/>
          <w:szCs w:val="28"/>
        </w:rPr>
        <w:t>甲方可选择退货或要求乙方整改，甲方选择退货的，合同总金额按甲方实际验收合格的货物数量结算；甲方选择由乙方整改的</w:t>
      </w:r>
      <w:r>
        <w:rPr>
          <w:rFonts w:hint="default" w:ascii="Times New Roman" w:hAnsi="Times New Roman" w:eastAsia="方正仿宋_GBK" w:cs="Times New Roman"/>
          <w:sz w:val="28"/>
          <w:szCs w:val="28"/>
          <w:lang w:eastAsia="zh-CN"/>
        </w:rPr>
        <w:t>，乙方必须无偿</w:t>
      </w:r>
      <w:r>
        <w:rPr>
          <w:rFonts w:hint="eastAsia" w:ascii="Times New Roman" w:hAnsi="Times New Roman" w:eastAsia="方正仿宋_GBK" w:cs="Times New Roman"/>
          <w:sz w:val="28"/>
          <w:szCs w:val="28"/>
          <w:lang w:val="en-US" w:eastAsia="zh-CN"/>
        </w:rPr>
        <w:t>进行</w:t>
      </w:r>
      <w:r>
        <w:rPr>
          <w:rFonts w:hint="default" w:ascii="Times New Roman" w:hAnsi="Times New Roman" w:eastAsia="方正仿宋_GBK" w:cs="Times New Roman"/>
          <w:sz w:val="28"/>
          <w:szCs w:val="28"/>
          <w:lang w:eastAsia="zh-CN"/>
        </w:rPr>
        <w:t>整改直至符合</w:t>
      </w:r>
      <w:r>
        <w:rPr>
          <w:rFonts w:hint="eastAsia" w:ascii="Times New Roman" w:hAnsi="Times New Roman" w:eastAsia="方正仿宋_GBK" w:cs="Times New Roman"/>
          <w:sz w:val="28"/>
          <w:szCs w:val="28"/>
          <w:lang w:val="en-US" w:eastAsia="zh-CN"/>
        </w:rPr>
        <w:t>甲方</w:t>
      </w:r>
      <w:r>
        <w:rPr>
          <w:rFonts w:hint="default" w:ascii="Times New Roman" w:hAnsi="Times New Roman" w:eastAsia="方正仿宋_GBK" w:cs="Times New Roman"/>
          <w:sz w:val="28"/>
          <w:szCs w:val="28"/>
          <w:lang w:eastAsia="zh-CN"/>
        </w:rPr>
        <w:t>要求，</w:t>
      </w:r>
      <w:r>
        <w:rPr>
          <w:rFonts w:hint="eastAsia" w:ascii="Times New Roman" w:hAnsi="Times New Roman" w:eastAsia="方正仿宋_GBK" w:cs="Times New Roman"/>
          <w:sz w:val="28"/>
          <w:szCs w:val="28"/>
          <w:lang w:val="en-US" w:eastAsia="zh-CN"/>
        </w:rPr>
        <w:t>并</w:t>
      </w:r>
      <w:r>
        <w:rPr>
          <w:rFonts w:hint="default" w:ascii="Times New Roman" w:hAnsi="Times New Roman" w:eastAsia="方正仿宋_GBK" w:cs="Times New Roman"/>
          <w:sz w:val="28"/>
          <w:szCs w:val="28"/>
          <w:lang w:eastAsia="zh-CN"/>
        </w:rPr>
        <w:t>承担整改过程中所发生的一切费用和甲方的所有经济损失，整改</w:t>
      </w:r>
      <w:r>
        <w:rPr>
          <w:rFonts w:hint="eastAsia" w:ascii="Times New Roman" w:hAnsi="Times New Roman" w:eastAsia="方正仿宋_GBK" w:cs="Times New Roman"/>
          <w:sz w:val="28"/>
          <w:szCs w:val="28"/>
          <w:lang w:val="en-US" w:eastAsia="zh-CN"/>
        </w:rPr>
        <w:t>2次</w:t>
      </w:r>
      <w:r>
        <w:rPr>
          <w:rFonts w:hint="default" w:ascii="Times New Roman" w:hAnsi="Times New Roman" w:eastAsia="方正仿宋_GBK" w:cs="Times New Roman"/>
          <w:sz w:val="28"/>
          <w:szCs w:val="28"/>
          <w:lang w:eastAsia="zh-CN"/>
        </w:rPr>
        <w:t>后</w:t>
      </w:r>
      <w:r>
        <w:rPr>
          <w:rFonts w:hint="eastAsia" w:ascii="Times New Roman" w:hAnsi="Times New Roman" w:eastAsia="方正仿宋_GBK" w:cs="Times New Roman"/>
          <w:sz w:val="28"/>
          <w:szCs w:val="28"/>
          <w:lang w:val="en-US" w:eastAsia="zh-CN"/>
        </w:rPr>
        <w:t>仍</w:t>
      </w:r>
      <w:r>
        <w:rPr>
          <w:rFonts w:hint="default" w:ascii="Times New Roman" w:hAnsi="Times New Roman" w:eastAsia="方正仿宋_GBK" w:cs="Times New Roman"/>
          <w:sz w:val="28"/>
          <w:szCs w:val="28"/>
          <w:lang w:eastAsia="zh-CN"/>
        </w:rPr>
        <w:t>无法达到要求的，甲方有权解除合同</w:t>
      </w:r>
      <w:r>
        <w:rPr>
          <w:rFonts w:hint="eastAsia" w:ascii="Times New Roman" w:hAnsi="Times New Roman" w:eastAsia="方正仿宋_GBK" w:cs="Times New Roman"/>
          <w:sz w:val="28"/>
          <w:szCs w:val="28"/>
          <w:lang w:val="en-US" w:eastAsia="zh-CN"/>
        </w:rPr>
        <w:t>并扣除</w:t>
      </w:r>
      <w:r>
        <w:rPr>
          <w:rFonts w:hint="eastAsia" w:ascii="Times New Roman" w:hAnsi="Times New Roman" w:eastAsia="方正仿宋_GBK"/>
          <w:sz w:val="28"/>
          <w:szCs w:val="28"/>
        </w:rPr>
        <w:t>履约保证金（质保金）</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sz w:val="28"/>
          <w:szCs w:val="28"/>
        </w:rPr>
        <w:t>因整改而超过合同约定供货时间的，乙方应按本合同第九条承担逾期供货违约责任。</w:t>
      </w:r>
      <w:r>
        <w:rPr>
          <w:rFonts w:ascii="Times New Roman" w:hAnsi="Times New Roman"/>
        </w:rPr>
        <w:t xml:space="preserve">                                                                         </w:t>
      </w:r>
    </w:p>
    <w:p w14:paraId="76C90302">
      <w:pPr>
        <w:pStyle w:val="34"/>
        <w:spacing w:line="579" w:lineRule="exact"/>
        <w:contextualSpacing/>
        <w:jc w:val="both"/>
        <w:outlineLvl w:val="0"/>
        <w:rPr>
          <w:rFonts w:ascii="Times New Roman" w:hAnsi="Times New Roman"/>
        </w:rPr>
      </w:pPr>
      <w:bookmarkStart w:id="15" w:name="_Toc20632"/>
      <w:r>
        <w:rPr>
          <w:rFonts w:ascii="Times New Roman" w:hAnsi="Times New Roman" w:eastAsia="黑体"/>
          <w:kern w:val="2"/>
          <w:sz w:val="28"/>
          <w:szCs w:val="28"/>
        </w:rPr>
        <w:t>第七条 包装标准、包装物的供应与回收</w:t>
      </w:r>
      <w:bookmarkEnd w:id="15"/>
    </w:p>
    <w:p w14:paraId="406A90DE">
      <w:pPr>
        <w:pStyle w:val="34"/>
        <w:spacing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所交付的货品必须包装完整，并采取防潮、防湿、防震、防锈、防腐蚀等措施，以保证在长途运输中经受多次搬运和装卸后，货物完好无损，安全到达目的地。由于采用不充分或不妥善的防护措施造成货物的任何损坏、腐蚀或变形，</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应承担由此造成的一切损失。</w:t>
      </w:r>
    </w:p>
    <w:p w14:paraId="1712F6D8">
      <w:pPr>
        <w:pStyle w:val="34"/>
        <w:spacing w:line="579" w:lineRule="exact"/>
        <w:contextualSpacing/>
        <w:jc w:val="both"/>
        <w:outlineLvl w:val="0"/>
        <w:rPr>
          <w:rFonts w:ascii="Times New Roman" w:hAnsi="Times New Roman" w:eastAsia="黑体"/>
          <w:sz w:val="28"/>
          <w:szCs w:val="28"/>
        </w:rPr>
      </w:pPr>
      <w:bookmarkStart w:id="16" w:name="_Toc29446"/>
      <w:r>
        <w:rPr>
          <w:rFonts w:ascii="Times New Roman" w:hAnsi="Times New Roman" w:eastAsia="黑体"/>
          <w:sz w:val="28"/>
          <w:szCs w:val="28"/>
        </w:rPr>
        <w:t>第八条 质量保证</w:t>
      </w:r>
      <w:bookmarkEnd w:id="16"/>
    </w:p>
    <w:p w14:paraId="3146C0BA">
      <w:pPr>
        <w:pStyle w:val="34"/>
        <w:spacing w:after="0" w:line="579" w:lineRule="exact"/>
        <w:ind w:firstLine="560" w:firstLineChars="200"/>
        <w:contextualSpacing/>
        <w:jc w:val="both"/>
        <w:rPr>
          <w:rFonts w:ascii="Times New Roman" w:hAnsi="Times New Roman"/>
        </w:rPr>
      </w:pPr>
      <w:r>
        <w:rPr>
          <w:rFonts w:ascii="Times New Roman" w:hAnsi="Times New Roman" w:eastAsia="方正仿宋_GBK"/>
          <w:sz w:val="28"/>
          <w:szCs w:val="28"/>
          <w:highlight w:val="none"/>
        </w:rPr>
        <w:t>质保</w:t>
      </w:r>
      <w:r>
        <w:rPr>
          <w:rFonts w:hint="eastAsia" w:ascii="Times New Roman" w:hAnsi="Times New Roman" w:eastAsia="方正仿宋_GBK"/>
          <w:sz w:val="28"/>
          <w:szCs w:val="28"/>
          <w:highlight w:val="none"/>
          <w:lang w:eastAsia="zh-CN"/>
        </w:rPr>
        <w:t>期一年，</w:t>
      </w:r>
      <w:r>
        <w:rPr>
          <w:rFonts w:hint="eastAsia" w:ascii="Times New Roman" w:hAnsi="Times New Roman" w:eastAsia="方正仿宋_GBK"/>
          <w:sz w:val="28"/>
          <w:szCs w:val="28"/>
          <w:highlight w:val="none"/>
          <w:lang w:val="en-US" w:eastAsia="zh-CN"/>
        </w:rPr>
        <w:t>自甲方入库验收合格之日起计算</w:t>
      </w:r>
      <w:r>
        <w:rPr>
          <w:rFonts w:ascii="Times New Roman" w:hAnsi="Times New Roman" w:eastAsia="方正仿宋_GBK"/>
          <w:sz w:val="28"/>
          <w:szCs w:val="28"/>
          <w:highlight w:val="none"/>
        </w:rPr>
        <w:t>。</w:t>
      </w:r>
      <w:r>
        <w:rPr>
          <w:rFonts w:hint="eastAsia" w:ascii="Times New Roman" w:hAnsi="Times New Roman" w:eastAsia="方正仿宋_GBK"/>
          <w:sz w:val="28"/>
          <w:szCs w:val="28"/>
          <w:highlight w:val="none"/>
          <w:lang w:eastAsia="zh-CN"/>
        </w:rPr>
        <w:t>乙方</w:t>
      </w:r>
      <w:r>
        <w:rPr>
          <w:rFonts w:ascii="Times New Roman" w:hAnsi="Times New Roman" w:eastAsia="方正仿宋_GBK"/>
          <w:sz w:val="28"/>
          <w:szCs w:val="28"/>
          <w:highlight w:val="none"/>
        </w:rPr>
        <w:t>保证其</w:t>
      </w:r>
      <w:r>
        <w:rPr>
          <w:rFonts w:ascii="Times New Roman" w:hAnsi="Times New Roman" w:eastAsia="方正仿宋_GBK"/>
          <w:sz w:val="28"/>
          <w:szCs w:val="28"/>
        </w:rPr>
        <w:t>供应的本合同标的是全新的，技术水平先进、成熟、质量优良、安全可靠、经济运行和易于维护。本合同下质量标准为国家标准及相关行业标准（不同标准之间如有冲突，比较严格者为准）。在正常使用过程中，如有产品质量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需依据国家法律法规进行维修或更换</w:t>
      </w:r>
      <w:r>
        <w:rPr>
          <w:rFonts w:hint="eastAsia" w:ascii="Times New Roman" w:hAnsi="Times New Roman" w:eastAsia="方正仿宋_GBK"/>
          <w:sz w:val="28"/>
          <w:szCs w:val="28"/>
        </w:rPr>
        <w:t>，所产生的费用由乙方承担，乙方逾期提供质保服务或提供的质保服务不合格的，甲方可自行委托第三方进行维修，所产生的费用甲方可在质保金中直接扣除，不足部分甲方可继续向乙方追偿</w:t>
      </w:r>
      <w:r>
        <w:rPr>
          <w:rFonts w:ascii="Times New Roman" w:hAnsi="Times New Roman" w:eastAsia="方正仿宋_GBK"/>
          <w:sz w:val="28"/>
          <w:szCs w:val="28"/>
        </w:rPr>
        <w:t xml:space="preserve">。 </w:t>
      </w:r>
      <w:r>
        <w:rPr>
          <w:rFonts w:ascii="Times New Roman" w:hAnsi="Times New Roman"/>
        </w:rPr>
        <w:t xml:space="preserve">                                                                                                                                                                                                                                                                                                                               </w:t>
      </w:r>
    </w:p>
    <w:p w14:paraId="1A0C3757">
      <w:pPr>
        <w:pStyle w:val="34"/>
        <w:numPr>
          <w:ilvl w:val="0"/>
          <w:numId w:val="0"/>
        </w:numPr>
        <w:spacing w:after="0" w:line="579" w:lineRule="exact"/>
        <w:contextualSpacing/>
        <w:jc w:val="both"/>
        <w:outlineLvl w:val="0"/>
        <w:rPr>
          <w:rFonts w:ascii="Times New Roman" w:hAnsi="Times New Roman" w:eastAsia="黑体"/>
          <w:sz w:val="28"/>
          <w:szCs w:val="28"/>
        </w:rPr>
      </w:pPr>
      <w:bookmarkStart w:id="17" w:name="_Toc4191"/>
      <w:r>
        <w:rPr>
          <w:rFonts w:hint="eastAsia" w:ascii="Times New Roman" w:hAnsi="Times New Roman" w:eastAsia="黑体" w:cs="Times New Roman"/>
          <w:sz w:val="28"/>
          <w:szCs w:val="28"/>
          <w:lang w:val="en-US" w:eastAsia="zh-CN" w:bidi="ar-SA"/>
        </w:rPr>
        <w:t>第九条 违约责任</w:t>
      </w:r>
      <w:bookmarkEnd w:id="17"/>
    </w:p>
    <w:p w14:paraId="21D698AB">
      <w:pPr>
        <w:pStyle w:val="34"/>
        <w:spacing w:after="0" w:line="579" w:lineRule="exact"/>
        <w:ind w:firstLine="560" w:firstLineChars="200"/>
        <w:contextualSpacing/>
        <w:jc w:val="both"/>
        <w:rPr>
          <w:rFonts w:hint="eastAsia" w:ascii="Times New Roman" w:hAnsi="Times New Roman" w:eastAsia="方正仿宋_GBK"/>
          <w:sz w:val="28"/>
          <w:szCs w:val="28"/>
          <w:highlight w:val="none"/>
        </w:rPr>
      </w:pPr>
      <w:r>
        <w:rPr>
          <w:rFonts w:hint="eastAsia" w:ascii="Times New Roman" w:hAnsi="Times New Roman" w:eastAsia="方正仿宋_GBK"/>
          <w:sz w:val="28"/>
          <w:szCs w:val="28"/>
          <w:highlight w:val="none"/>
          <w:lang w:val="en-US" w:eastAsia="zh-CN"/>
        </w:rPr>
        <w:t>乙方</w:t>
      </w:r>
      <w:r>
        <w:rPr>
          <w:rFonts w:hint="eastAsia" w:ascii="Times New Roman" w:hAnsi="Times New Roman" w:eastAsia="方正仿宋_GBK"/>
          <w:sz w:val="28"/>
          <w:szCs w:val="28"/>
          <w:highlight w:val="none"/>
        </w:rPr>
        <w:t>未能按约定的</w:t>
      </w:r>
      <w:r>
        <w:rPr>
          <w:rFonts w:hint="eastAsia" w:ascii="Times New Roman" w:hAnsi="Times New Roman" w:eastAsia="方正仿宋_GBK"/>
          <w:sz w:val="28"/>
          <w:szCs w:val="28"/>
          <w:highlight w:val="none"/>
          <w:lang w:val="en-US" w:eastAsia="zh-CN"/>
        </w:rPr>
        <w:t>时间交货</w:t>
      </w:r>
      <w:r>
        <w:rPr>
          <w:rFonts w:hint="eastAsia" w:ascii="Times New Roman" w:hAnsi="Times New Roman" w:eastAsia="方正仿宋_GBK"/>
          <w:sz w:val="28"/>
          <w:szCs w:val="28"/>
          <w:highlight w:val="none"/>
        </w:rPr>
        <w:t>，每逾期一天，应向甲方支付合同总金额</w:t>
      </w:r>
      <w:r>
        <w:rPr>
          <w:rFonts w:hint="eastAsia" w:ascii="Times New Roman" w:hAnsi="Times New Roman" w:eastAsia="方正仿宋_GBK"/>
          <w:sz w:val="28"/>
          <w:szCs w:val="28"/>
          <w:highlight w:val="none"/>
          <w:lang w:val="en-US" w:eastAsia="zh-CN"/>
        </w:rPr>
        <w:t>千</w:t>
      </w:r>
      <w:r>
        <w:rPr>
          <w:rFonts w:hint="eastAsia" w:ascii="Times New Roman" w:hAnsi="Times New Roman" w:eastAsia="方正仿宋_GBK"/>
          <w:sz w:val="28"/>
          <w:szCs w:val="28"/>
          <w:highlight w:val="none"/>
        </w:rPr>
        <w:t>分之五的违约金，逾期10天（含）及以上，则</w:t>
      </w:r>
      <w:r>
        <w:rPr>
          <w:rFonts w:hint="eastAsia" w:ascii="Times New Roman" w:hAnsi="Times New Roman" w:eastAsia="方正仿宋_GBK"/>
          <w:sz w:val="28"/>
          <w:szCs w:val="28"/>
          <w:highlight w:val="none"/>
          <w:lang w:val="en-US" w:eastAsia="zh-CN"/>
        </w:rPr>
        <w:t>甲方</w:t>
      </w:r>
      <w:r>
        <w:rPr>
          <w:rFonts w:hint="eastAsia" w:ascii="Times New Roman" w:hAnsi="Times New Roman" w:eastAsia="方正仿宋_GBK"/>
          <w:sz w:val="28"/>
          <w:szCs w:val="28"/>
          <w:highlight w:val="none"/>
        </w:rPr>
        <w:t>有权单方</w:t>
      </w:r>
      <w:r>
        <w:rPr>
          <w:rFonts w:hint="eastAsia" w:ascii="Times New Roman" w:hAnsi="Times New Roman" w:eastAsia="方正仿宋_GBK"/>
          <w:sz w:val="28"/>
          <w:szCs w:val="28"/>
          <w:highlight w:val="none"/>
          <w:lang w:val="en-US" w:eastAsia="zh-CN"/>
        </w:rPr>
        <w:t>解除合同</w:t>
      </w:r>
      <w:r>
        <w:rPr>
          <w:rFonts w:hint="eastAsia" w:ascii="Times New Roman" w:hAnsi="Times New Roman" w:eastAsia="方正仿宋_GBK"/>
          <w:sz w:val="28"/>
          <w:szCs w:val="28"/>
          <w:highlight w:val="none"/>
        </w:rPr>
        <w:t>并不再退还履约保证金</w:t>
      </w:r>
      <w:r>
        <w:rPr>
          <w:rFonts w:hint="eastAsia" w:ascii="Times New Roman" w:hAnsi="Times New Roman" w:eastAsia="方正仿宋_GBK"/>
          <w:sz w:val="28"/>
          <w:szCs w:val="28"/>
          <w:lang w:eastAsia="zh-CN"/>
        </w:rPr>
        <w:t>（</w:t>
      </w:r>
      <w:r>
        <w:rPr>
          <w:rFonts w:hint="eastAsia" w:ascii="Times New Roman" w:hAnsi="Times New Roman" w:eastAsia="方正仿宋_GBK"/>
          <w:sz w:val="28"/>
          <w:szCs w:val="28"/>
          <w:lang w:val="en-US" w:eastAsia="zh-CN"/>
        </w:rPr>
        <w:t>质保金）</w:t>
      </w:r>
      <w:r>
        <w:rPr>
          <w:rFonts w:hint="eastAsia" w:ascii="Times New Roman" w:hAnsi="Times New Roman" w:eastAsia="方正仿宋_GBK"/>
          <w:sz w:val="28"/>
          <w:szCs w:val="28"/>
          <w:highlight w:val="none"/>
        </w:rPr>
        <w:t>。</w:t>
      </w:r>
      <w:r>
        <w:rPr>
          <w:rFonts w:hint="eastAsia" w:ascii="Times New Roman" w:hAnsi="Times New Roman" w:eastAsia="方正仿宋_GBK"/>
          <w:sz w:val="28"/>
          <w:szCs w:val="28"/>
          <w:highlight w:val="none"/>
          <w:lang w:val="en-US" w:eastAsia="zh-CN"/>
        </w:rPr>
        <w:t>按本合同第六条及本款约定，甲方选择解除合同并没收履约保证金时，逾期供货违约金不再收取。</w:t>
      </w:r>
    </w:p>
    <w:p w14:paraId="29D3D8C5">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w:t>
      </w:r>
      <w:r>
        <w:rPr>
          <w:rFonts w:hint="eastAsia" w:ascii="Times New Roman" w:hAnsi="Times New Roman" w:eastAsia="方正仿宋_GBK"/>
          <w:sz w:val="28"/>
          <w:szCs w:val="28"/>
        </w:rPr>
        <w:t>因乙方货物存在产品质量问题，致使甲方在使用过程中产生人身伤害、财产损失的，一切经济与法律责任均由乙方承担，甲方先行赔付的，有权向乙方追偿。</w:t>
      </w:r>
    </w:p>
    <w:p w14:paraId="0CF55334">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本合同项下乙方应支付的违约金、赔偿金等，甲方有权直接从应付货款或履约保证金（质保金）中扣除，不足部分有权向乙方追偿。</w:t>
      </w:r>
    </w:p>
    <w:p w14:paraId="22F46103">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违约方因违约行为造成守约方损失的，违约方应赔偿守约方的直接经济损失，包括但不限于鉴定费、律师费、诉讼费、保全费、差旅费、赔偿金等。</w:t>
      </w:r>
      <w:r>
        <w:rPr>
          <w:rFonts w:ascii="Times New Roman" w:hAnsi="Times New Roman" w:eastAsia="方正仿宋_GBK"/>
          <w:sz w:val="28"/>
          <w:szCs w:val="28"/>
        </w:rPr>
        <w:t xml:space="preserve">   </w:t>
      </w:r>
      <w:r>
        <w:rPr>
          <w:rFonts w:ascii="Times New Roman" w:hAnsi="Times New Roman"/>
        </w:rPr>
        <w:t xml:space="preserve">                           </w:t>
      </w:r>
    </w:p>
    <w:p w14:paraId="2F7DCDC3">
      <w:pPr>
        <w:pStyle w:val="34"/>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bookmarkStart w:id="18" w:name="_Toc29012"/>
      <w:r>
        <w:rPr>
          <w:rFonts w:hint="eastAsia" w:ascii="Times New Roman" w:hAnsi="Times New Roman" w:eastAsia="黑体" w:cs="Times New Roman"/>
          <w:sz w:val="28"/>
          <w:szCs w:val="28"/>
          <w:lang w:val="en-US" w:eastAsia="zh-CN" w:bidi="ar-SA"/>
        </w:rPr>
        <w:t>第十条</w:t>
      </w:r>
      <w:r>
        <w:rPr>
          <w:rFonts w:hint="eastAsia" w:ascii="Times New Roman" w:hAnsi="Times New Roman" w:eastAsia="方正仿宋_GBK" w:cs="Times New Roman"/>
          <w:sz w:val="28"/>
          <w:szCs w:val="28"/>
          <w:lang w:val="en-US" w:eastAsia="zh-CN" w:bidi="ar-SA"/>
        </w:rPr>
        <w:t xml:space="preserve"> </w:t>
      </w:r>
      <w:r>
        <w:rPr>
          <w:rFonts w:ascii="Times New Roman" w:hAnsi="Times New Roman" w:eastAsia="黑体"/>
          <w:sz w:val="28"/>
          <w:szCs w:val="28"/>
        </w:rPr>
        <w:t>本合同解除的条件</w:t>
      </w:r>
      <w:bookmarkEnd w:id="18"/>
    </w:p>
    <w:p w14:paraId="423012C6">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w:t>
      </w:r>
      <w:r>
        <w:rPr>
          <w:rFonts w:hint="eastAsia" w:ascii="Times New Roman" w:hAnsi="Times New Roman" w:eastAsia="方正仿宋_GBK"/>
          <w:sz w:val="28"/>
          <w:szCs w:val="28"/>
        </w:rPr>
        <w:t>协商一致</w:t>
      </w:r>
      <w:r>
        <w:rPr>
          <w:rFonts w:hint="eastAsia" w:ascii="Times New Roman" w:hAnsi="Times New Roman" w:eastAsia="方正仿宋_GBK"/>
          <w:sz w:val="28"/>
          <w:szCs w:val="28"/>
          <w:highlight w:val="none"/>
          <w:lang w:eastAsia="zh-CN"/>
        </w:rPr>
        <w:t>解除合同。</w:t>
      </w:r>
    </w:p>
    <w:p w14:paraId="48EB24C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w:t>
      </w:r>
      <w:r>
        <w:rPr>
          <w:rFonts w:hint="eastAsia" w:ascii="Times New Roman" w:hAnsi="Times New Roman" w:eastAsia="方正仿宋_GBK"/>
          <w:sz w:val="28"/>
          <w:szCs w:val="28"/>
        </w:rPr>
        <w:t>（质保金）</w:t>
      </w:r>
      <w:r>
        <w:rPr>
          <w:rFonts w:hint="eastAsia" w:ascii="Times New Roman" w:hAnsi="Times New Roman" w:eastAsia="方正仿宋_GBK"/>
          <w:sz w:val="28"/>
          <w:szCs w:val="28"/>
          <w:highlight w:val="none"/>
          <w:lang w:eastAsia="zh-CN"/>
        </w:rPr>
        <w:t>不予退还，</w:t>
      </w:r>
      <w:r>
        <w:rPr>
          <w:rFonts w:hint="eastAsia" w:ascii="Times New Roman" w:hAnsi="Times New Roman" w:eastAsia="方正仿宋_GBK"/>
          <w:sz w:val="28"/>
          <w:szCs w:val="28"/>
        </w:rPr>
        <w:t>同时对</w:t>
      </w:r>
      <w:r>
        <w:rPr>
          <w:rFonts w:hint="eastAsia" w:ascii="Times New Roman" w:hAnsi="Times New Roman" w:eastAsia="方正仿宋_GBK"/>
          <w:sz w:val="28"/>
          <w:szCs w:val="28"/>
          <w:highlight w:val="none"/>
          <w:lang w:eastAsia="zh-CN"/>
        </w:rPr>
        <w:t>甲方</w:t>
      </w:r>
      <w:r>
        <w:rPr>
          <w:rFonts w:hint="eastAsia" w:ascii="Times New Roman" w:hAnsi="Times New Roman" w:eastAsia="方正仿宋_GBK"/>
          <w:sz w:val="28"/>
          <w:szCs w:val="28"/>
        </w:rPr>
        <w:t>造成</w:t>
      </w:r>
      <w:r>
        <w:rPr>
          <w:rFonts w:hint="eastAsia" w:ascii="Times New Roman" w:hAnsi="Times New Roman" w:eastAsia="方正仿宋_GBK"/>
          <w:sz w:val="28"/>
          <w:szCs w:val="28"/>
          <w:highlight w:val="none"/>
          <w:lang w:eastAsia="zh-CN"/>
        </w:rPr>
        <w:t>损失的，甲方有权另行向乙方追偿：</w:t>
      </w:r>
    </w:p>
    <w:p w14:paraId="54C7A3C2">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28B65EA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63AA7C6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1D35D79F">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3413E91B">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w:t>
      </w:r>
      <w:r>
        <w:rPr>
          <w:rFonts w:hint="eastAsia" w:ascii="Times New Roman" w:hAnsi="Times New Roman" w:eastAsia="方正仿宋_GBK"/>
          <w:sz w:val="28"/>
          <w:szCs w:val="28"/>
        </w:rPr>
        <w:t>（含质保期未提供质保服务或提供的质保服务不合格等）</w:t>
      </w:r>
      <w:r>
        <w:rPr>
          <w:rFonts w:hint="eastAsia" w:ascii="Times New Roman" w:hAnsi="Times New Roman" w:eastAsia="方正仿宋_GBK"/>
          <w:sz w:val="28"/>
          <w:szCs w:val="28"/>
          <w:highlight w:val="none"/>
          <w:lang w:eastAsia="zh-CN"/>
        </w:rPr>
        <w:t>，经甲方催告后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w:t>
      </w:r>
      <w:r>
        <w:rPr>
          <w:rFonts w:hint="eastAsia" w:ascii="Times New Roman" w:hAnsi="Times New Roman" w:eastAsia="方正仿宋_GBK"/>
          <w:sz w:val="28"/>
          <w:szCs w:val="28"/>
        </w:rPr>
        <w:t>或累计发生3次（含）以上</w:t>
      </w:r>
      <w:r>
        <w:rPr>
          <w:rFonts w:hint="eastAsia" w:ascii="Times New Roman" w:hAnsi="Times New Roman" w:eastAsia="方正仿宋_GBK"/>
          <w:sz w:val="28"/>
          <w:szCs w:val="28"/>
          <w:highlight w:val="none"/>
          <w:lang w:eastAsia="zh-CN"/>
        </w:rPr>
        <w:t>的；</w:t>
      </w:r>
    </w:p>
    <w:p w14:paraId="0F2D441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0FC151AD">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rPr>
        <w:t xml:space="preserve">                                                                                                                                            </w:t>
      </w:r>
    </w:p>
    <w:p w14:paraId="702BDF54">
      <w:pPr>
        <w:pStyle w:val="34"/>
        <w:spacing w:after="0" w:line="579" w:lineRule="exact"/>
        <w:contextualSpacing/>
        <w:jc w:val="both"/>
        <w:outlineLvl w:val="0"/>
        <w:rPr>
          <w:rFonts w:ascii="Times New Roman" w:hAnsi="Times New Roman" w:eastAsia="黑体"/>
          <w:sz w:val="28"/>
          <w:szCs w:val="28"/>
        </w:rPr>
      </w:pPr>
      <w:bookmarkStart w:id="19" w:name="_Toc3746"/>
      <w:r>
        <w:rPr>
          <w:rFonts w:ascii="Times New Roman" w:hAnsi="Times New Roman" w:eastAsia="黑体"/>
          <w:sz w:val="28"/>
          <w:szCs w:val="28"/>
        </w:rPr>
        <w:t xml:space="preserve">第十一条 </w:t>
      </w:r>
      <w:r>
        <w:rPr>
          <w:rFonts w:hint="eastAsia" w:ascii="Times New Roman" w:hAnsi="Times New Roman" w:eastAsia="黑体"/>
          <w:sz w:val="28"/>
          <w:szCs w:val="28"/>
        </w:rPr>
        <w:t>本合同未尽事宜</w:t>
      </w:r>
      <w:bookmarkEnd w:id="19"/>
    </w:p>
    <w:p w14:paraId="03FE0EBF">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lang w:eastAsia="zh-CN"/>
        </w:rPr>
        <w:t>按照《中华人民共和国</w:t>
      </w:r>
      <w:r>
        <w:rPr>
          <w:rFonts w:ascii="Times New Roman" w:hAnsi="Times New Roman" w:eastAsia="方正仿宋_GBK"/>
          <w:sz w:val="28"/>
          <w:szCs w:val="28"/>
        </w:rPr>
        <w:t>民法典》相关条款 。</w:t>
      </w:r>
      <w:r>
        <w:rPr>
          <w:rFonts w:ascii="Times New Roman" w:hAnsi="Times New Roman"/>
        </w:rPr>
        <w:t xml:space="preserve">                                </w:t>
      </w:r>
    </w:p>
    <w:p w14:paraId="2C05E5DF">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0" w:name="_Toc29858"/>
      <w:r>
        <w:rPr>
          <w:rFonts w:hint="eastAsia" w:ascii="Times New Roman" w:hAnsi="Times New Roman" w:eastAsia="黑体" w:cs="Times New Roman"/>
          <w:sz w:val="28"/>
          <w:szCs w:val="28"/>
          <w:lang w:val="en-US" w:eastAsia="zh-CN" w:bidi="ar-SA"/>
        </w:rPr>
        <w:t xml:space="preserve">第十二条 </w:t>
      </w:r>
      <w:r>
        <w:rPr>
          <w:rFonts w:ascii="Times New Roman" w:hAnsi="Times New Roman" w:eastAsia="黑体"/>
          <w:sz w:val="28"/>
          <w:szCs w:val="28"/>
        </w:rPr>
        <w:t>合同争议的解决方式</w:t>
      </w:r>
      <w:bookmarkEnd w:id="20"/>
    </w:p>
    <w:p w14:paraId="69108DBD">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74E78C5A">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1" w:name="_Toc19861"/>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售后要求</w:t>
      </w:r>
      <w:bookmarkEnd w:id="21"/>
    </w:p>
    <w:p w14:paraId="5B2F5BC0">
      <w:pPr>
        <w:pStyle w:val="34"/>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售后服务要求。如产品使用过</w:t>
      </w:r>
      <w:r>
        <w:rPr>
          <w:rFonts w:hint="eastAsia" w:ascii="Times New Roman" w:hAnsi="Times New Roman" w:eastAsia="方正仿宋_GBK"/>
          <w:sz w:val="28"/>
          <w:szCs w:val="28"/>
          <w:lang w:eastAsia="zh-CN"/>
        </w:rPr>
        <w:t>程中</w:t>
      </w:r>
      <w:r>
        <w:rPr>
          <w:rFonts w:ascii="Times New Roman" w:hAnsi="Times New Roman" w:eastAsia="方正仿宋_GBK"/>
          <w:sz w:val="28"/>
          <w:szCs w:val="28"/>
        </w:rPr>
        <w:t>发生问题，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须在接到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通知后48小时内派人员到达现场进行免费指导解决问题。</w:t>
      </w:r>
    </w:p>
    <w:p w14:paraId="7679766D">
      <w:pPr>
        <w:pStyle w:val="34"/>
        <w:spacing w:after="0" w:line="579" w:lineRule="exact"/>
        <w:ind w:firstLine="560" w:firstLineChars="200"/>
        <w:contextualSpacing/>
        <w:jc w:val="both"/>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承担</w:t>
      </w:r>
      <w:r>
        <w:rPr>
          <w:rFonts w:hint="eastAsia" w:ascii="Times New Roman" w:hAnsi="Times New Roman" w:eastAsia="方正仿宋_GBK"/>
          <w:sz w:val="28"/>
          <w:szCs w:val="28"/>
          <w:lang w:eastAsia="zh-CN"/>
        </w:rPr>
        <w:t>。</w:t>
      </w:r>
    </w:p>
    <w:p w14:paraId="5F73ADAD">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2" w:name="_Toc5074"/>
      <w:r>
        <w:rPr>
          <w:rFonts w:hint="eastAsia" w:ascii="Times New Roman" w:hAnsi="Times New Roman" w:eastAsia="黑体" w:cs="Times New Roman"/>
          <w:sz w:val="28"/>
          <w:szCs w:val="28"/>
          <w:lang w:val="en-US" w:eastAsia="zh-CN" w:bidi="ar-SA"/>
        </w:rPr>
        <w:t xml:space="preserve">第十四条 </w:t>
      </w:r>
      <w:r>
        <w:rPr>
          <w:rFonts w:ascii="Times New Roman" w:hAnsi="Times New Roman" w:eastAsia="黑体"/>
          <w:sz w:val="28"/>
          <w:szCs w:val="28"/>
        </w:rPr>
        <w:t>其他要求</w:t>
      </w:r>
      <w:bookmarkEnd w:id="22"/>
    </w:p>
    <w:p w14:paraId="786B33D9">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56EB3E8B">
      <w:pPr>
        <w:pStyle w:val="34"/>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sz w:val="28"/>
          <w:szCs w:val="28"/>
          <w:highlight w:val="none"/>
          <w:lang w:val="en-US" w:eastAsia="zh-CN"/>
        </w:rPr>
      </w:pPr>
      <w:r>
        <w:rPr>
          <w:rFonts w:hint="eastAsia" w:ascii="方正仿宋_GBK" w:hAnsi="方正仿宋_GBK" w:eastAsia="方正仿宋_GBK" w:cs="方正仿宋_GBK"/>
          <w:sz w:val="28"/>
          <w:szCs w:val="28"/>
        </w:rPr>
        <w:br w:type="page"/>
      </w:r>
      <w:bookmarkStart w:id="23" w:name="_Toc14350"/>
      <w:r>
        <w:rPr>
          <w:rFonts w:hint="eastAsia" w:ascii="Times New Roman" w:hAnsi="Times New Roman" w:eastAsia="方正仿宋_GBK" w:cs="Times New Roman"/>
          <w:b/>
          <w:bCs/>
          <w:sz w:val="28"/>
          <w:szCs w:val="28"/>
          <w:highlight w:val="none"/>
          <w:lang w:val="en-US" w:eastAsia="zh-CN"/>
        </w:rPr>
        <w:t>附件：</w:t>
      </w:r>
      <w:bookmarkEnd w:id="23"/>
    </w:p>
    <w:p w14:paraId="4ED188FA">
      <w:pPr>
        <w:keepNext w:val="0"/>
        <w:keepLines w:val="0"/>
        <w:pageBreakBefore w:val="0"/>
        <w:widowControl/>
        <w:kinsoku/>
        <w:wordWrap/>
        <w:overflowPunct/>
        <w:topLinePunct w:val="0"/>
        <w:autoSpaceDE/>
        <w:autoSpaceDN/>
        <w:bidi w:val="0"/>
        <w:adjustRightInd w:val="0"/>
        <w:snapToGrid w:val="0"/>
        <w:spacing w:after="0" w:line="579" w:lineRule="atLeast"/>
        <w:jc w:val="center"/>
        <w:textAlignment w:val="auto"/>
        <w:outlineLvl w:val="1"/>
        <w:rPr>
          <w:rFonts w:hint="eastAsia" w:ascii="宋体" w:hAnsi="宋体" w:cs="宋体"/>
          <w:color w:val="auto"/>
          <w:kern w:val="0"/>
          <w:sz w:val="36"/>
          <w:szCs w:val="36"/>
          <w:highlight w:val="none"/>
        </w:rPr>
      </w:pPr>
      <w:r>
        <w:rPr>
          <w:rFonts w:hint="eastAsia" w:ascii="Times New Roman" w:hAnsi="Times New Roman" w:eastAsia="方正小标宋_GBK" w:cs="Times New Roman"/>
          <w:b/>
          <w:sz w:val="36"/>
          <w:szCs w:val="36"/>
          <w:highlight w:val="none"/>
        </w:rPr>
        <w:t>廉政责任书</w:t>
      </w:r>
    </w:p>
    <w:p w14:paraId="680823BA">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宋体" w:hAnsi="宋体" w:cs="宋体"/>
          <w:b/>
          <w:color w:val="auto"/>
          <w:kern w:val="0"/>
          <w:sz w:val="24"/>
          <w:highlight w:val="none"/>
        </w:rPr>
      </w:pPr>
    </w:p>
    <w:p w14:paraId="29AC2F41">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三氯化铁等采购项目</w:t>
      </w:r>
    </w:p>
    <w:p w14:paraId="5BF27F0E">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3B0C6F86">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乙方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（以下简称乙方）</w:t>
      </w:r>
    </w:p>
    <w:p w14:paraId="23A184F8">
      <w:pPr>
        <w:pStyle w:val="34"/>
        <w:keepNext w:val="0"/>
        <w:keepLines w:val="0"/>
        <w:pageBreakBefore w:val="0"/>
        <w:widowControl/>
        <w:kinsoku/>
        <w:wordWrap/>
        <w:overflowPunct/>
        <w:topLinePunct w:val="0"/>
        <w:autoSpaceDE/>
        <w:autoSpaceDN/>
        <w:bidi w:val="0"/>
        <w:adjustRightInd w:val="0"/>
        <w:snapToGrid w:val="0"/>
        <w:spacing w:after="0"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3396A70F">
      <w:pPr>
        <w:pStyle w:val="34"/>
        <w:keepNext w:val="0"/>
        <w:keepLines w:val="0"/>
        <w:pageBreakBefore w:val="0"/>
        <w:widowControl/>
        <w:kinsoku/>
        <w:wordWrap/>
        <w:overflowPunct/>
        <w:topLinePunct w:val="0"/>
        <w:autoSpaceDE/>
        <w:autoSpaceDN/>
        <w:bidi w:val="0"/>
        <w:adjustRightInd w:val="0"/>
        <w:snapToGrid w:val="0"/>
        <w:spacing w:after="0"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第一条 甲、乙双方的责任</w:t>
      </w:r>
    </w:p>
    <w:p w14:paraId="41CA0BED">
      <w:pPr>
        <w:pStyle w:val="34"/>
        <w:keepNext w:val="0"/>
        <w:keepLines w:val="0"/>
        <w:pageBreakBefore w:val="0"/>
        <w:widowControl/>
        <w:kinsoku/>
        <w:wordWrap/>
        <w:overflowPunct/>
        <w:topLinePunct w:val="0"/>
        <w:autoSpaceDE/>
        <w:autoSpaceDN/>
        <w:bidi w:val="0"/>
        <w:adjustRightInd w:val="0"/>
        <w:snapToGrid w:val="0"/>
        <w:spacing w:line="579" w:lineRule="atLeast"/>
        <w:ind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b w:val="0"/>
          <w:bCs w:val="0"/>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应严格遵守国家关于市场准入、项目招标投和市场活动等有关</w:t>
      </w:r>
      <w:r>
        <w:rPr>
          <w:rFonts w:hint="eastAsia" w:ascii="Times New Roman" w:hAnsi="Times New Roman" w:eastAsia="方正仿宋_GBK" w:cs="Times New Roman"/>
          <w:sz w:val="28"/>
          <w:szCs w:val="28"/>
          <w:highlight w:val="none"/>
          <w:lang w:val="en-US" w:eastAsia="zh-CN"/>
        </w:rPr>
        <w:t>法律法规</w:t>
      </w:r>
      <w:r>
        <w:rPr>
          <w:rFonts w:hint="default" w:ascii="Times New Roman" w:hAnsi="Times New Roman" w:eastAsia="方正仿宋_GBK" w:cs="Times New Roman"/>
          <w:sz w:val="28"/>
          <w:szCs w:val="28"/>
          <w:highlight w:val="none"/>
          <w:lang w:val="en-US" w:eastAsia="zh-CN"/>
        </w:rPr>
        <w:t>，相关政策，以及廉政建设的各项规定。</w:t>
      </w:r>
    </w:p>
    <w:p w14:paraId="5F35611F">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方正黑体_GBK" w:hAnsi="方正黑体_GBK" w:eastAsia="方正黑体_GBK" w:cs="方正黑体_GBK"/>
          <w:b w:val="0"/>
          <w:bCs w:val="0"/>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严格执行项目承发包合同文件，自觉按合同办事。</w:t>
      </w:r>
    </w:p>
    <w:p w14:paraId="2E7EA6DA">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方正黑体_GBK" w:hAnsi="方正黑体_GBK" w:eastAsia="方正黑体_GBK" w:cs="方正黑体_GBK"/>
          <w:b w:val="0"/>
          <w:bCs w:val="0"/>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业务活动必须坚持公开、公平、公正、诚信、透明的原则（除法律法规另有规定者外），不得为获取不正当的利益，损害国家、集体和对方利益，不得违反项目管理、施工安装的规章制度。</w:t>
      </w:r>
    </w:p>
    <w:p w14:paraId="445E1B64">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发现对方在业务活动中有违规、违纪、违法行为的，应及时提醒对方，情节严重的，应向其上级主管部门或纪检监察、司法等有关机关举报。</w:t>
      </w:r>
    </w:p>
    <w:p w14:paraId="214B2275">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第二条 甲方的责任</w:t>
      </w:r>
    </w:p>
    <w:p w14:paraId="528C2149">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甲方的领导和从事该项目管理的工作人员，在项目服务的事前、事中、事后应遵守以下规定：</w:t>
      </w:r>
    </w:p>
    <w:p w14:paraId="216B087B">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不准向乙方和相关单位索要或接受回扣、礼金、有价证券、贵重物品和好处费、感谢费等。</w:t>
      </w:r>
    </w:p>
    <w:p w14:paraId="05413C5A">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不准在乙方和相关单位报销任何应由甲方或个人支付的费用。</w:t>
      </w:r>
    </w:p>
    <w:p w14:paraId="608528D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不准要求、暗示和接受乙方和相关单位为个人装修住房、婚丧嫁娶、配偶子女的工作安排以及出国（境）、旅游等提供方便。</w:t>
      </w:r>
    </w:p>
    <w:p w14:paraId="41C126F2">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不准参加有可能影响公正执行公务的乙方和相关单位的宴请和健身、娱乐等活动。</w:t>
      </w:r>
    </w:p>
    <w:p w14:paraId="1F2E2E4F">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（五）</w:t>
      </w:r>
      <w:r>
        <w:rPr>
          <w:rFonts w:hint="default" w:ascii="Times New Roman" w:hAnsi="Times New Roman" w:eastAsia="方正仿宋_GBK" w:cs="Times New Roman"/>
          <w:sz w:val="28"/>
          <w:szCs w:val="28"/>
          <w:highlight w:val="none"/>
          <w:lang w:val="en-US" w:eastAsia="zh-CN"/>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7540230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第三条 乙方的责任</w:t>
      </w:r>
    </w:p>
    <w:p w14:paraId="650C73F3">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应与甲方保持正常的业务交往，按照有关法律法规和程序开展业务工作，严格执行项目的有关方针、政策，并遵守以下规定：</w:t>
      </w:r>
    </w:p>
    <w:p w14:paraId="7A8A03C9">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不准以任何理由向甲方、相关单位及其工作人员索要、接受或赠送礼金、有价证券、贵重物品和回扣、好处费、感谢费等。</w:t>
      </w:r>
    </w:p>
    <w:p w14:paraId="5748F485">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不准以任何理由为甲方和相关单位报销应由对方或个人支付的费用。</w:t>
      </w:r>
    </w:p>
    <w:p w14:paraId="721334D7">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不准接受或暗示为甲方、相关单位或个人装修住房、婚丧嫁娶、配偶子女的工作安排以及出国（境）、旅游等提供方便。</w:t>
      </w:r>
    </w:p>
    <w:p w14:paraId="052A79F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不准以任何理由为甲方、相关单位或个人组织有可能影响公正执行公务的宴请、健身、娱乐等活动。</w:t>
      </w:r>
    </w:p>
    <w:p w14:paraId="7A950F7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第四条 违约责任</w:t>
      </w:r>
    </w:p>
    <w:p w14:paraId="6BC0231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甲方工作人员有违反本责任书第一、二条责任行为的，按照管理权限，依据有关法律法规和规定给予党纪、政纪处分或组织处理；涉嫌犯罪的，移交司法机关追究刑事责任；给乙方单位造成经济损失的，应予以赔偿。</w:t>
      </w:r>
    </w:p>
    <w:p w14:paraId="7F42B543">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7F81918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第五条</w:t>
      </w:r>
      <w:r>
        <w:rPr>
          <w:rFonts w:hint="default" w:ascii="Times New Roman" w:hAnsi="Times New Roman" w:eastAsia="方正仿宋_GBK" w:cs="Times New Roman"/>
          <w:sz w:val="28"/>
          <w:szCs w:val="28"/>
          <w:highlight w:val="none"/>
          <w:lang w:val="en-US" w:eastAsia="zh-CN"/>
        </w:rPr>
        <w:t xml:space="preserve">  本责任书作为服务合同的附件，与服务合同具有同等法律效力。经双方签署后立即生效。</w:t>
      </w:r>
    </w:p>
    <w:p w14:paraId="35911D4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 xml:space="preserve">第六条  </w:t>
      </w:r>
      <w:r>
        <w:rPr>
          <w:rFonts w:hint="default" w:ascii="Times New Roman" w:hAnsi="Times New Roman" w:eastAsia="方正仿宋_GBK" w:cs="Times New Roman"/>
          <w:sz w:val="28"/>
          <w:szCs w:val="28"/>
          <w:highlight w:val="none"/>
          <w:lang w:val="en-US" w:eastAsia="zh-CN"/>
        </w:rPr>
        <w:t>本责任书的有效期为双方签署之日起至该服务项目质保期结束时止。</w:t>
      </w:r>
    </w:p>
    <w:p w14:paraId="20F34458">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 xml:space="preserve">第七条  </w:t>
      </w:r>
      <w:r>
        <w:rPr>
          <w:rFonts w:hint="default" w:ascii="Times New Roman" w:hAnsi="Times New Roman" w:eastAsia="方正仿宋_GBK" w:cs="Times New Roman"/>
          <w:sz w:val="28"/>
          <w:szCs w:val="28"/>
          <w:highlight w:val="none"/>
          <w:lang w:val="en-US" w:eastAsia="zh-CN"/>
        </w:rPr>
        <w:t>本责任书一式</w:t>
      </w:r>
      <w:r>
        <w:rPr>
          <w:rFonts w:hint="eastAsia" w:ascii="Times New Roman" w:hAnsi="Times New Roman" w:eastAsia="方正仿宋_GBK" w:cs="Times New Roman"/>
          <w:sz w:val="28"/>
          <w:szCs w:val="28"/>
          <w:highlight w:val="none"/>
          <w:lang w:val="en-US" w:eastAsia="zh-CN"/>
        </w:rPr>
        <w:t>六</w:t>
      </w:r>
      <w:r>
        <w:rPr>
          <w:rFonts w:hint="default" w:ascii="Times New Roman" w:hAnsi="Times New Roman" w:eastAsia="方正仿宋_GBK" w:cs="Times New Roman"/>
          <w:sz w:val="28"/>
          <w:szCs w:val="28"/>
          <w:highlight w:val="none"/>
          <w:lang w:val="en-US" w:eastAsia="zh-CN"/>
        </w:rPr>
        <w:t>份，</w:t>
      </w:r>
      <w:r>
        <w:rPr>
          <w:rFonts w:hint="eastAsia" w:ascii="Times New Roman" w:hAnsi="Times New Roman" w:eastAsia="方正仿宋_GBK" w:cs="Times New Roman"/>
          <w:sz w:val="28"/>
          <w:szCs w:val="28"/>
          <w:highlight w:val="none"/>
          <w:lang w:val="en-US" w:eastAsia="zh-CN"/>
        </w:rPr>
        <w:t>甲方</w:t>
      </w:r>
      <w:r>
        <w:rPr>
          <w:rFonts w:hint="default" w:ascii="Times New Roman" w:hAnsi="Times New Roman" w:eastAsia="方正仿宋_GBK" w:cs="Times New Roman"/>
          <w:sz w:val="28"/>
          <w:szCs w:val="28"/>
          <w:highlight w:val="none"/>
          <w:lang w:eastAsia="zh-CN"/>
        </w:rPr>
        <w:t>五份</w:t>
      </w: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乙方</w:t>
      </w:r>
      <w:r>
        <w:rPr>
          <w:rFonts w:hint="default" w:ascii="Times New Roman" w:hAnsi="Times New Roman" w:eastAsia="方正仿宋_GBK" w:cs="Times New Roman"/>
          <w:sz w:val="28"/>
          <w:szCs w:val="28"/>
          <w:highlight w:val="none"/>
          <w:lang w:eastAsia="zh-CN"/>
        </w:rPr>
        <w:t>一份</w:t>
      </w: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作为合同附件后附</w:t>
      </w:r>
      <w:r>
        <w:rPr>
          <w:rFonts w:hint="default" w:ascii="Times New Roman" w:hAnsi="Times New Roman" w:eastAsia="方正仿宋_GBK" w:cs="Times New Roman"/>
          <w:sz w:val="28"/>
          <w:szCs w:val="28"/>
          <w:highlight w:val="none"/>
          <w:lang w:val="en-US" w:eastAsia="zh-CN"/>
        </w:rPr>
        <w:t>。</w:t>
      </w:r>
    </w:p>
    <w:p w14:paraId="4A29045E">
      <w:pPr>
        <w:pStyle w:val="36"/>
        <w:keepNext w:val="0"/>
        <w:keepLines w:val="0"/>
        <w:pageBreakBefore w:val="0"/>
        <w:kinsoku/>
        <w:wordWrap/>
        <w:overflowPunct/>
        <w:topLinePunct w:val="0"/>
        <w:bidi w:val="0"/>
        <w:adjustRightInd w:val="0"/>
        <w:spacing w:line="579" w:lineRule="atLeast"/>
        <w:textAlignment w:val="auto"/>
        <w:rPr>
          <w:rFonts w:hint="default" w:ascii="Times New Roman" w:hAnsi="Times New Roman" w:eastAsia="方正仿宋_GBK" w:cs="Times New Roman"/>
          <w:color w:val="auto"/>
          <w:highlight w:val="none"/>
        </w:rPr>
      </w:pPr>
    </w:p>
    <w:p w14:paraId="7D2C6DA2">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甲方（盖章）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乙方（盖章）</w:t>
      </w:r>
      <w:r>
        <w:rPr>
          <w:rFonts w:hint="eastAsia" w:ascii="Times New Roman" w:hAnsi="Times New Roman" w:eastAsia="方正仿宋_GBK" w:cs="Times New Roman"/>
          <w:b/>
          <w:bCs/>
          <w:color w:val="auto"/>
          <w:kern w:val="0"/>
          <w:sz w:val="24"/>
          <w:highlight w:val="none"/>
          <w:lang w:val="en-US" w:eastAsia="zh-CN"/>
        </w:rPr>
        <w:t xml:space="preserve"> </w:t>
      </w:r>
    </w:p>
    <w:p w14:paraId="53B6CF94">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法定代表人（签名或盖章）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法定代表人（签名或盖章）</w:t>
      </w:r>
    </w:p>
    <w:p w14:paraId="292D77D1">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或委托代理人（签名）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 xml:space="preserve">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或委托代理人（签名）</w:t>
      </w:r>
    </w:p>
    <w:p w14:paraId="5F472F65">
      <w:pPr>
        <w:keepNext w:val="0"/>
        <w:keepLines w:val="0"/>
        <w:pageBreakBefore w:val="0"/>
        <w:widowControl/>
        <w:kinsoku/>
        <w:wordWrap/>
        <w:overflowPunct/>
        <w:topLinePunct w:val="0"/>
        <w:bidi w:val="0"/>
        <w:adjustRightInd w:val="0"/>
        <w:snapToGrid w:val="0"/>
        <w:spacing w:after="0" w:line="579" w:lineRule="atLeast"/>
        <w:ind w:left="-420" w:leftChars="-200" w:firstLine="0" w:firstLineChars="0"/>
        <w:jc w:val="center"/>
        <w:textAlignment w:val="auto"/>
        <w:rPr>
          <w:rFonts w:hint="eastAsia" w:ascii="Times New Roman" w:hAnsi="Times New Roman" w:eastAsia="方正仿宋_GBK" w:cs="Times New Roman"/>
          <w:b/>
          <w:bCs/>
          <w:color w:val="auto"/>
          <w:kern w:val="0"/>
          <w:sz w:val="24"/>
          <w:highlight w:val="none"/>
          <w:lang w:val="en-US" w:eastAsia="zh-CN"/>
        </w:rPr>
      </w:pPr>
    </w:p>
    <w:p w14:paraId="66FD5BB8">
      <w:pPr>
        <w:keepNext w:val="0"/>
        <w:keepLines w:val="0"/>
        <w:pageBreakBefore w:val="0"/>
        <w:widowControl/>
        <w:kinsoku/>
        <w:wordWrap/>
        <w:overflowPunct/>
        <w:topLinePunct w:val="0"/>
        <w:bidi w:val="0"/>
        <w:adjustRightInd w:val="0"/>
        <w:snapToGrid w:val="0"/>
        <w:spacing w:after="0" w:line="579" w:lineRule="atLeast"/>
        <w:ind w:left="-420" w:leftChars="-200" w:firstLine="0" w:firstLineChars="0"/>
        <w:jc w:val="center"/>
        <w:textAlignment w:val="auto"/>
        <w:rPr>
          <w:rFonts w:hint="default" w:ascii="Times New Roman" w:hAnsi="Times New Roman" w:eastAsia="方正仿宋_GBK" w:cs="Times New Roman"/>
          <w:b/>
          <w:bCs/>
          <w:color w:val="auto"/>
          <w:kern w:val="0"/>
          <w:sz w:val="24"/>
          <w:highlight w:val="none"/>
          <w:lang w:val="en-US" w:eastAsia="zh-CN"/>
        </w:rPr>
      </w:pPr>
      <w:r>
        <w:rPr>
          <w:rFonts w:hint="eastAsia" w:ascii="Times New Roman" w:hAnsi="Times New Roman" w:eastAsia="方正仿宋_GBK" w:cs="Times New Roman"/>
          <w:b/>
          <w:bCs/>
          <w:color w:val="auto"/>
          <w:kern w:val="0"/>
          <w:sz w:val="24"/>
          <w:highlight w:val="none"/>
          <w:lang w:val="en-US" w:eastAsia="zh-CN"/>
        </w:rPr>
        <w:t xml:space="preserve">     </w:t>
      </w:r>
    </w:p>
    <w:p w14:paraId="60DC584E">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r>
        <w:rPr>
          <w:rFonts w:hint="eastAsia" w:ascii="Times New Roman" w:hAnsi="Times New Roman" w:eastAsia="方正仿宋_GBK" w:cs="Times New Roman"/>
          <w:b/>
          <w:bCs/>
          <w:color w:val="auto"/>
          <w:kern w:val="0"/>
          <w:sz w:val="24"/>
          <w:highlight w:val="none"/>
          <w:lang w:val="en-US" w:eastAsia="zh-CN"/>
        </w:rPr>
        <w:t xml:space="preserve">                                                                                 </w:t>
      </w:r>
      <w:r>
        <w:rPr>
          <w:rFonts w:hint="eastAsia"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年</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月</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日</w:t>
      </w:r>
    </w:p>
    <w:p w14:paraId="669456BD">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7DE9D414">
      <w:pPr>
        <w:pStyle w:val="4"/>
        <w:numPr>
          <w:ilvl w:val="0"/>
          <w:numId w:val="0"/>
        </w:numPr>
        <w:jc w:val="center"/>
        <w:rPr>
          <w:rFonts w:hint="eastAsia" w:ascii="仿宋" w:hAnsi="仿宋" w:eastAsia="仿宋" w:cs="仿宋"/>
          <w:snapToGrid w:val="0"/>
          <w:sz w:val="44"/>
          <w:szCs w:val="44"/>
          <w:highlight w:val="none"/>
        </w:rPr>
      </w:pPr>
      <w:bookmarkStart w:id="24" w:name="_Toc26612"/>
      <w:r>
        <w:rPr>
          <w:rFonts w:hint="eastAsia" w:ascii="仿宋" w:hAnsi="仿宋" w:eastAsia="仿宋" w:cs="仿宋"/>
          <w:snapToGrid w:val="0"/>
          <w:sz w:val="44"/>
          <w:szCs w:val="44"/>
          <w:highlight w:val="none"/>
        </w:rPr>
        <w:t>第</w:t>
      </w:r>
      <w:r>
        <w:rPr>
          <w:rFonts w:hint="eastAsia" w:ascii="仿宋" w:hAnsi="仿宋" w:eastAsia="仿宋" w:cs="仿宋"/>
          <w:snapToGrid w:val="0"/>
          <w:sz w:val="44"/>
          <w:szCs w:val="44"/>
          <w:highlight w:val="none"/>
          <w:lang w:eastAsia="zh-CN"/>
        </w:rPr>
        <w:t>五</w:t>
      </w:r>
      <w:r>
        <w:rPr>
          <w:rFonts w:hint="eastAsia" w:ascii="仿宋" w:hAnsi="仿宋" w:eastAsia="仿宋" w:cs="仿宋"/>
          <w:snapToGrid w:val="0"/>
          <w:sz w:val="44"/>
          <w:szCs w:val="44"/>
          <w:highlight w:val="none"/>
        </w:rPr>
        <w:t>部分    报价文件格式</w:t>
      </w:r>
      <w:bookmarkEnd w:id="12"/>
      <w:bookmarkEnd w:id="24"/>
    </w:p>
    <w:p w14:paraId="43C9EF44">
      <w:pPr>
        <w:spacing w:line="480" w:lineRule="auto"/>
        <w:jc w:val="right"/>
        <w:rPr>
          <w:rFonts w:hint="eastAsia" w:ascii="仿宋" w:hAnsi="仿宋" w:eastAsia="仿宋" w:cs="仿宋"/>
          <w:sz w:val="32"/>
          <w:highlight w:val="none"/>
        </w:rPr>
      </w:pPr>
    </w:p>
    <w:p w14:paraId="6D16F87F">
      <w:pPr>
        <w:rPr>
          <w:rFonts w:hint="eastAsia" w:ascii="仿宋" w:hAnsi="仿宋" w:eastAsia="仿宋" w:cs="仿宋"/>
          <w:sz w:val="44"/>
          <w:highlight w:val="none"/>
        </w:rPr>
      </w:pPr>
    </w:p>
    <w:p w14:paraId="3EFA8C98">
      <w:pPr>
        <w:spacing w:line="360" w:lineRule="auto"/>
        <w:jc w:val="center"/>
        <w:rPr>
          <w:rFonts w:hint="eastAsia" w:ascii="仿宋" w:hAnsi="仿宋" w:eastAsia="仿宋" w:cs="仿宋"/>
          <w:sz w:val="52"/>
          <w:highlight w:val="none"/>
          <w:lang w:val="en-US" w:eastAsia="zh-CN"/>
        </w:rPr>
      </w:pPr>
      <w:r>
        <w:rPr>
          <w:rFonts w:hint="eastAsia" w:ascii="仿宋" w:hAnsi="仿宋" w:eastAsia="仿宋" w:cs="仿宋"/>
          <w:sz w:val="52"/>
          <w:highlight w:val="none"/>
          <w:lang w:val="en-US" w:eastAsia="zh-CN"/>
        </w:rPr>
        <w:t>绍兴市再生能源发展有限公司</w:t>
      </w:r>
    </w:p>
    <w:p w14:paraId="1BF065C3">
      <w:pPr>
        <w:spacing w:line="360" w:lineRule="auto"/>
        <w:jc w:val="center"/>
        <w:rPr>
          <w:rFonts w:hint="eastAsia" w:ascii="仿宋" w:hAnsi="仿宋" w:eastAsia="仿宋" w:cs="仿宋"/>
          <w:sz w:val="52"/>
          <w:highlight w:val="none"/>
        </w:rPr>
      </w:pPr>
      <w:r>
        <w:rPr>
          <w:rFonts w:hint="eastAsia" w:ascii="仿宋" w:hAnsi="仿宋" w:eastAsia="仿宋" w:cs="仿宋"/>
          <w:sz w:val="52"/>
          <w:highlight w:val="none"/>
          <w:lang w:val="en-US" w:eastAsia="zh-CN"/>
        </w:rPr>
        <w:t>三氯化铁等采购项目</w:t>
      </w:r>
    </w:p>
    <w:p w14:paraId="43E2F06B">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SX-CG-SL-2608009</w:t>
      </w:r>
    </w:p>
    <w:p w14:paraId="6F7EC41B">
      <w:pPr>
        <w:rPr>
          <w:rFonts w:hint="eastAsia" w:ascii="仿宋" w:hAnsi="仿宋" w:eastAsia="仿宋" w:cs="仿宋"/>
          <w:sz w:val="44"/>
        </w:rPr>
      </w:pPr>
    </w:p>
    <w:p w14:paraId="1B8AF216">
      <w:pPr>
        <w:rPr>
          <w:rFonts w:hint="eastAsia" w:ascii="仿宋" w:hAnsi="仿宋" w:eastAsia="仿宋" w:cs="仿宋"/>
          <w:sz w:val="44"/>
        </w:rPr>
      </w:pPr>
    </w:p>
    <w:p w14:paraId="258D6BE4">
      <w:pPr>
        <w:rPr>
          <w:rFonts w:hint="eastAsia" w:ascii="仿宋" w:hAnsi="仿宋" w:eastAsia="仿宋" w:cs="仿宋"/>
          <w:sz w:val="84"/>
        </w:rPr>
      </w:pPr>
    </w:p>
    <w:p w14:paraId="14083582">
      <w:pPr>
        <w:jc w:val="center"/>
        <w:rPr>
          <w:rFonts w:hint="eastAsia" w:ascii="仿宋" w:hAnsi="仿宋" w:eastAsia="仿宋" w:cs="仿宋"/>
          <w:sz w:val="84"/>
        </w:rPr>
      </w:pPr>
      <w:r>
        <w:rPr>
          <w:rFonts w:hint="eastAsia" w:ascii="仿宋" w:hAnsi="仿宋" w:eastAsia="仿宋" w:cs="仿宋"/>
          <w:sz w:val="84"/>
        </w:rPr>
        <w:t>报价文件</w:t>
      </w:r>
    </w:p>
    <w:p w14:paraId="763E3073">
      <w:pPr>
        <w:jc w:val="center"/>
        <w:rPr>
          <w:rFonts w:hint="eastAsia" w:ascii="仿宋" w:hAnsi="仿宋" w:eastAsia="仿宋" w:cs="仿宋"/>
          <w:sz w:val="24"/>
        </w:rPr>
      </w:pPr>
    </w:p>
    <w:p w14:paraId="1DF28980">
      <w:pPr>
        <w:jc w:val="center"/>
        <w:rPr>
          <w:rFonts w:hint="eastAsia" w:ascii="仿宋" w:hAnsi="仿宋" w:eastAsia="仿宋" w:cs="仿宋"/>
          <w:sz w:val="24"/>
        </w:rPr>
      </w:pPr>
    </w:p>
    <w:p w14:paraId="77C3BD23">
      <w:pPr>
        <w:spacing w:line="480" w:lineRule="auto"/>
        <w:jc w:val="center"/>
        <w:rPr>
          <w:rFonts w:hint="eastAsia" w:ascii="仿宋" w:hAnsi="仿宋" w:eastAsia="仿宋" w:cs="仿宋"/>
          <w:sz w:val="24"/>
        </w:rPr>
      </w:pPr>
    </w:p>
    <w:p w14:paraId="53DBF7AE">
      <w:pPr>
        <w:spacing w:line="480" w:lineRule="auto"/>
        <w:jc w:val="center"/>
        <w:rPr>
          <w:rFonts w:hint="eastAsia" w:ascii="仿宋" w:hAnsi="仿宋" w:eastAsia="仿宋" w:cs="仿宋"/>
          <w:sz w:val="24"/>
        </w:rPr>
      </w:pPr>
    </w:p>
    <w:p w14:paraId="5B6FC157">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29704C65">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0298C5E0">
      <w:pPr>
        <w:adjustRightInd w:val="0"/>
        <w:snapToGrid w:val="0"/>
        <w:spacing w:line="360" w:lineRule="auto"/>
        <w:ind w:right="480"/>
        <w:jc w:val="left"/>
        <w:rPr>
          <w:rFonts w:hint="eastAsia" w:ascii="仿宋" w:hAnsi="仿宋" w:eastAsia="仿宋" w:cs="仿宋"/>
          <w:sz w:val="30"/>
        </w:rPr>
      </w:pPr>
      <w:r>
        <w:rPr>
          <w:rStyle w:val="20"/>
          <w:rFonts w:hint="eastAsia" w:ascii="仿宋" w:hAnsi="仿宋" w:eastAsia="仿宋" w:cs="仿宋"/>
          <w:sz w:val="30"/>
        </w:rPr>
        <w:br w:type="page"/>
      </w:r>
    </w:p>
    <w:p w14:paraId="16C8B0AD">
      <w:pPr>
        <w:adjustRightInd w:val="0"/>
        <w:snapToGrid w:val="0"/>
        <w:spacing w:line="360" w:lineRule="auto"/>
        <w:ind w:right="480"/>
        <w:jc w:val="left"/>
        <w:rPr>
          <w:rStyle w:val="20"/>
          <w:rFonts w:hint="eastAsia" w:ascii="仿宋" w:hAnsi="仿宋" w:eastAsia="仿宋" w:cs="仿宋"/>
          <w:sz w:val="30"/>
        </w:rPr>
        <w:sectPr>
          <w:footerReference r:id="rId3" w:type="default"/>
          <w:pgSz w:w="11906" w:h="16838"/>
          <w:pgMar w:top="1701" w:right="1418" w:bottom="1134" w:left="1418" w:header="851" w:footer="992" w:gutter="0"/>
          <w:cols w:space="720" w:num="1"/>
          <w:titlePg/>
          <w:docGrid w:linePitch="312" w:charSpace="0"/>
        </w:sectPr>
      </w:pPr>
    </w:p>
    <w:p w14:paraId="743E8D4B">
      <w:pPr>
        <w:jc w:val="left"/>
        <w:outlineLvl w:val="0"/>
        <w:rPr>
          <w:rStyle w:val="20"/>
          <w:rFonts w:hint="eastAsia" w:ascii="仿宋" w:hAnsi="仿宋" w:eastAsia="仿宋" w:cs="仿宋"/>
          <w:sz w:val="30"/>
        </w:rPr>
      </w:pPr>
      <w:bookmarkStart w:id="25" w:name="_Toc15903"/>
      <w:r>
        <w:rPr>
          <w:rStyle w:val="20"/>
          <w:rFonts w:hint="eastAsia" w:ascii="仿宋" w:hAnsi="仿宋" w:eastAsia="仿宋" w:cs="仿宋"/>
          <w:sz w:val="30"/>
        </w:rPr>
        <w:t>附件</w:t>
      </w:r>
      <w:r>
        <w:rPr>
          <w:rStyle w:val="20"/>
          <w:rFonts w:hint="eastAsia" w:ascii="仿宋" w:hAnsi="仿宋" w:eastAsia="仿宋" w:cs="仿宋"/>
          <w:sz w:val="30"/>
          <w:lang w:val="en-US"/>
        </w:rPr>
        <w:t>一：</w:t>
      </w:r>
      <w:bookmarkEnd w:id="25"/>
      <w:r>
        <w:rPr>
          <w:rStyle w:val="20"/>
          <w:rFonts w:hint="eastAsia" w:ascii="仿宋" w:hAnsi="仿宋" w:eastAsia="仿宋" w:cs="仿宋"/>
          <w:sz w:val="30"/>
        </w:rPr>
        <w:t xml:space="preserve">  </w:t>
      </w:r>
    </w:p>
    <w:p w14:paraId="0B349F5C">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7CC3635A">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1D2E1BA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三氯化铁等采购 </w:t>
      </w:r>
      <w:r>
        <w:rPr>
          <w:rFonts w:hint="eastAsia" w:ascii="仿宋" w:hAnsi="仿宋" w:eastAsia="仿宋" w:cs="仿宋"/>
          <w:sz w:val="30"/>
          <w:szCs w:val="30"/>
          <w:u w:val="none"/>
          <w:lang w:val="en-US" w:eastAsia="zh-CN"/>
        </w:rPr>
        <w:t>项目。</w:t>
      </w:r>
    </w:p>
    <w:tbl>
      <w:tblPr>
        <w:tblStyle w:val="13"/>
        <w:tblW w:w="5180" w:type="pct"/>
        <w:jc w:val="center"/>
        <w:tblLayout w:type="fixed"/>
        <w:tblCellMar>
          <w:top w:w="0" w:type="dxa"/>
          <w:left w:w="108" w:type="dxa"/>
          <w:bottom w:w="0" w:type="dxa"/>
          <w:right w:w="108" w:type="dxa"/>
        </w:tblCellMar>
      </w:tblPr>
      <w:tblGrid>
        <w:gridCol w:w="672"/>
        <w:gridCol w:w="2146"/>
        <w:gridCol w:w="2599"/>
        <w:gridCol w:w="915"/>
        <w:gridCol w:w="932"/>
        <w:gridCol w:w="1128"/>
        <w:gridCol w:w="1229"/>
      </w:tblGrid>
      <w:tr w14:paraId="7146BEE5">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0482DC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969" w:type="dxa"/>
            <w:tcBorders>
              <w:top w:val="single" w:color="000000" w:sz="4" w:space="0"/>
              <w:left w:val="single" w:color="000000" w:sz="4" w:space="0"/>
              <w:bottom w:val="single" w:color="000000" w:sz="4" w:space="0"/>
              <w:right w:val="single" w:color="000000" w:sz="4" w:space="0"/>
            </w:tcBorders>
            <w:noWrap/>
            <w:vAlign w:val="center"/>
          </w:tcPr>
          <w:p w14:paraId="49B07D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115F3DEC">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3161E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5FBB0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86292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128" w:type="dxa"/>
            <w:tcBorders>
              <w:top w:val="single" w:color="000000" w:sz="4" w:space="0"/>
              <w:left w:val="single" w:color="000000" w:sz="4" w:space="0"/>
              <w:bottom w:val="single" w:color="000000" w:sz="4" w:space="0"/>
              <w:right w:val="single" w:color="000000" w:sz="4" w:space="0"/>
            </w:tcBorders>
            <w:noWrap/>
            <w:vAlign w:val="center"/>
          </w:tcPr>
          <w:p w14:paraId="50F1E5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16757A76">
        <w:tblPrEx>
          <w:tblCellMar>
            <w:top w:w="0" w:type="dxa"/>
            <w:left w:w="108" w:type="dxa"/>
            <w:bottom w:w="0" w:type="dxa"/>
            <w:right w:w="108" w:type="dxa"/>
          </w:tblCellMar>
        </w:tblPrEx>
        <w:trPr>
          <w:trHeight w:val="5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40556F02">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68EADCB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三氯化铁</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06A5B0D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纯度≥96%  25kg/包</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2AE11D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5 </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51FF1FA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吨</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267123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6A4490D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DD2872C">
        <w:tblPrEx>
          <w:tblCellMar>
            <w:top w:w="0" w:type="dxa"/>
            <w:left w:w="108" w:type="dxa"/>
            <w:bottom w:w="0" w:type="dxa"/>
            <w:right w:w="108" w:type="dxa"/>
          </w:tblCellMar>
        </w:tblPrEx>
        <w:trPr>
          <w:trHeight w:val="5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36E2CAA6">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22FE8BE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无水硫酸钠</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69DBE7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AR500g</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8F0889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 xml:space="preserve">20 </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2482505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瓶</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7E0057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4BE3B151">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4387705">
        <w:tblPrEx>
          <w:tblCellMar>
            <w:top w:w="0" w:type="dxa"/>
            <w:left w:w="108" w:type="dxa"/>
            <w:bottom w:w="0" w:type="dxa"/>
            <w:right w:w="108" w:type="dxa"/>
          </w:tblCellMar>
        </w:tblPrEx>
        <w:trPr>
          <w:trHeight w:val="5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06603AC5">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4B99D24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分析纯氨水</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0BBDE72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浓度25%-28%  5L/壶</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E32C1E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 xml:space="preserve">300 </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04C991D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升</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5FC7AF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04F700F7">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BCED1AE">
        <w:tblPrEx>
          <w:tblCellMar>
            <w:top w:w="0" w:type="dxa"/>
            <w:left w:w="108" w:type="dxa"/>
            <w:bottom w:w="0" w:type="dxa"/>
            <w:right w:w="108" w:type="dxa"/>
          </w:tblCellMar>
        </w:tblPrEx>
        <w:trPr>
          <w:trHeight w:val="5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485B3D8E">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57BD3A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1,10菲啰啉</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1CA578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5gAR分析纯</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0E14BF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 xml:space="preserve">5 </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32022E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瓶</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46D95E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1449C367">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432E255E">
      <w:pPr>
        <w:pStyle w:val="10"/>
        <w:rPr>
          <w:rFonts w:hint="eastAsia" w:ascii="仿宋" w:hAnsi="仿宋" w:eastAsia="仿宋" w:cs="仿宋"/>
        </w:rPr>
      </w:pPr>
    </w:p>
    <w:p w14:paraId="1C3D513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rPr>
      </w:pPr>
      <w:r>
        <w:rPr>
          <w:rFonts w:hint="eastAsia" w:ascii="仿宋" w:hAnsi="仿宋" w:eastAsia="仿宋" w:cs="仿宋"/>
          <w:sz w:val="30"/>
          <w:szCs w:val="30"/>
        </w:rPr>
        <w:t>报价如下：</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元</w:t>
      </w:r>
      <w:r>
        <w:rPr>
          <w:rFonts w:hint="eastAsia" w:ascii="仿宋" w:hAnsi="仿宋" w:eastAsia="仿宋" w:cs="仿宋"/>
          <w:sz w:val="30"/>
          <w:szCs w:val="30"/>
          <w:highlight w:val="none"/>
        </w:rPr>
        <w:t>，税率为</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w:t>
      </w:r>
    </w:p>
    <w:p w14:paraId="41FE2C7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sz w:val="30"/>
          <w:szCs w:val="30"/>
          <w:highlight w:val="none"/>
          <w:lang w:eastAsia="zh-CN"/>
        </w:rPr>
        <w:t>付款方式：</w:t>
      </w:r>
      <w:r>
        <w:rPr>
          <w:rFonts w:hint="eastAsia" w:ascii="仿宋" w:hAnsi="仿宋" w:eastAsia="仿宋" w:cs="仿宋"/>
          <w:sz w:val="30"/>
          <w:szCs w:val="30"/>
          <w:highlight w:val="none"/>
          <w:lang w:val="en-US" w:eastAsia="zh-CN"/>
        </w:rPr>
        <w:t>全部货物运送至</w:t>
      </w:r>
      <w:r>
        <w:rPr>
          <w:rFonts w:hint="eastAsia" w:ascii="仿宋" w:hAnsi="仿宋" w:eastAsia="仿宋" w:cs="仿宋"/>
          <w:sz w:val="30"/>
          <w:szCs w:val="30"/>
          <w:lang w:val="en-US" w:eastAsia="zh-CN"/>
        </w:rPr>
        <w:t>采购人指定地点，且经由采购人验收合格后，供货方提供经双方确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一年质保，其履约保证金（合同价的5%）到时（验收合格后）自动转为质保金，质保期从验收合格之日起计算，质保金于质保期满且无未决质量争议后无息退还</w:t>
      </w:r>
      <w:r>
        <w:rPr>
          <w:rFonts w:hint="eastAsia" w:ascii="仿宋" w:hAnsi="仿宋" w:eastAsia="仿宋" w:cs="仿宋"/>
          <w:sz w:val="30"/>
          <w:szCs w:val="30"/>
          <w:highlight w:val="none"/>
          <w:lang w:val="en-US" w:eastAsia="zh-CN"/>
        </w:rPr>
        <w:t>。</w:t>
      </w:r>
    </w:p>
    <w:p w14:paraId="43F89D4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w:t>
      </w:r>
      <w:r>
        <w:rPr>
          <w:rFonts w:hint="eastAsia" w:ascii="仿宋_GB2312" w:eastAsia="仿宋_GB2312"/>
          <w:color w:val="auto"/>
          <w:kern w:val="2"/>
          <w:sz w:val="30"/>
          <w:szCs w:val="30"/>
          <w:highlight w:val="none"/>
          <w:lang w:val="en-US" w:eastAsia="zh-CN"/>
        </w:rPr>
        <w:t>不得</w:t>
      </w:r>
      <w:r>
        <w:rPr>
          <w:rFonts w:hint="eastAsia" w:ascii="仿宋_GB2312" w:eastAsia="仿宋_GB2312"/>
          <w:color w:val="auto"/>
          <w:kern w:val="2"/>
          <w:sz w:val="30"/>
          <w:szCs w:val="30"/>
          <w:highlight w:val="none"/>
          <w:lang w:eastAsia="zh-CN"/>
        </w:rPr>
        <w:t>擅自修改付款</w:t>
      </w:r>
      <w:r>
        <w:rPr>
          <w:rFonts w:hint="eastAsia" w:ascii="仿宋_GB2312" w:eastAsia="仿宋_GB2312"/>
          <w:color w:val="auto"/>
          <w:kern w:val="2"/>
          <w:sz w:val="30"/>
          <w:szCs w:val="30"/>
          <w:highlight w:val="none"/>
          <w:lang w:val="en-US" w:eastAsia="zh-CN"/>
        </w:rPr>
        <w:t>方式</w:t>
      </w:r>
      <w:r>
        <w:rPr>
          <w:rFonts w:hint="eastAsia" w:ascii="仿宋_GB2312" w:eastAsia="仿宋_GB2312"/>
          <w:color w:val="auto"/>
          <w:kern w:val="2"/>
          <w:sz w:val="30"/>
          <w:szCs w:val="30"/>
          <w:highlight w:val="none"/>
          <w:lang w:eastAsia="zh-CN"/>
        </w:rPr>
        <w:t>，未满足该条件则视为无效投标】</w:t>
      </w:r>
    </w:p>
    <w:p w14:paraId="238AC16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D6D0DE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本项目采购总金额限价为</w:t>
      </w:r>
      <w:r>
        <w:rPr>
          <w:rFonts w:hint="eastAsia" w:ascii="仿宋" w:hAnsi="仿宋" w:eastAsia="仿宋" w:cs="仿宋"/>
          <w:color w:val="auto"/>
          <w:sz w:val="30"/>
          <w:szCs w:val="30"/>
          <w:lang w:eastAsia="zh-CN"/>
        </w:rPr>
        <w:t>人民</w:t>
      </w:r>
      <w:r>
        <w:rPr>
          <w:rFonts w:hint="eastAsia" w:ascii="仿宋" w:hAnsi="仿宋" w:eastAsia="仿宋" w:cs="仿宋"/>
          <w:color w:val="auto"/>
          <w:sz w:val="30"/>
          <w:szCs w:val="30"/>
          <w:highlight w:val="none"/>
          <w:lang w:eastAsia="zh-CN"/>
        </w:rPr>
        <w:t>币</w:t>
      </w:r>
      <w:r>
        <w:rPr>
          <w:rFonts w:hint="eastAsia" w:ascii="仿宋" w:hAnsi="仿宋" w:eastAsia="仿宋" w:cs="仿宋"/>
          <w:color w:val="auto"/>
          <w:sz w:val="30"/>
          <w:szCs w:val="30"/>
          <w:highlight w:val="none"/>
          <w:lang w:val="en-US" w:eastAsia="zh-CN"/>
        </w:rPr>
        <w:t>3.07</w:t>
      </w:r>
      <w:r>
        <w:rPr>
          <w:rFonts w:hint="eastAsia" w:ascii="仿宋" w:hAnsi="仿宋" w:eastAsia="仿宋" w:cs="仿宋"/>
          <w:color w:val="auto"/>
          <w:sz w:val="30"/>
          <w:szCs w:val="30"/>
          <w:highlight w:val="none"/>
          <w:lang w:val="en-US" w:eastAsia="zh-CN"/>
        </w:rPr>
        <w:t>万</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p>
    <w:p w14:paraId="7950E21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2.该采购项目履约保证金为合同价的5%。供货方于合同签订前将履约保证金打入采购人指定账户。货到验收合格后，履约保证金转为质保金。质保期满后，采购人退还质保金（无息）。</w:t>
      </w:r>
    </w:p>
    <w:p w14:paraId="6ED1667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3.供货方在合同履行期间出现违约行为，采购人可扣除相应履约保证金（质保金），并向供货方追究相应经济损失。</w:t>
      </w:r>
    </w:p>
    <w:p w14:paraId="7256419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4.预成交公示结束后，供货方在收到采购人拟订合同（所中标项目）电子版本后，确认无误并签署盖章，2天内邮寄给采购人。合同上的签订时间与采购人实际收到合同时间原则上不超过5天。否则视为供货方自动放弃，采购人有权解除合同。</w:t>
      </w:r>
    </w:p>
    <w:p w14:paraId="7FFA82F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5.以上总价应为含税全包价，包括运费、税费等一切费用，发票必须为增值税专用发票。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0FE1FA15">
      <w:pPr>
        <w:snapToGrid w:val="0"/>
        <w:ind w:firstLine="480" w:firstLineChars="200"/>
        <w:jc w:val="right"/>
        <w:rPr>
          <w:rFonts w:hint="eastAsia" w:ascii="仿宋" w:hAnsi="仿宋" w:eastAsia="仿宋" w:cs="仿宋"/>
          <w:sz w:val="24"/>
          <w:szCs w:val="24"/>
        </w:rPr>
      </w:pPr>
      <w:bookmarkStart w:id="30" w:name="_GoBack"/>
      <w:bookmarkEnd w:id="30"/>
      <w:r>
        <w:rPr>
          <w:rFonts w:hint="eastAsia" w:ascii="仿宋" w:hAnsi="仿宋" w:eastAsia="仿宋" w:cs="仿宋"/>
          <w:sz w:val="24"/>
          <w:szCs w:val="24"/>
        </w:rPr>
        <w:t>报价单位名称（公章）：</w:t>
      </w:r>
    </w:p>
    <w:p w14:paraId="744F294C">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0E06A07D">
      <w:pPr>
        <w:spacing w:line="360" w:lineRule="auto"/>
        <w:jc w:val="center"/>
        <w:rPr>
          <w:rFonts w:hint="eastAsia" w:ascii="仿宋" w:hAnsi="仿宋" w:eastAsia="仿宋" w:cs="仿宋"/>
          <w:b/>
          <w:color w:val="auto"/>
          <w:sz w:val="44"/>
          <w:lang w:val="en-US" w:eastAsia="zh-CN"/>
        </w:rPr>
      </w:pPr>
    </w:p>
    <w:p w14:paraId="73EF7B39">
      <w:pPr>
        <w:spacing w:line="360" w:lineRule="auto"/>
        <w:jc w:val="center"/>
        <w:rPr>
          <w:rFonts w:hint="eastAsia" w:ascii="仿宋" w:hAnsi="仿宋" w:eastAsia="仿宋" w:cs="仿宋"/>
          <w:b/>
          <w:color w:val="auto"/>
          <w:sz w:val="44"/>
          <w:lang w:val="en-US" w:eastAsia="zh-CN"/>
        </w:rPr>
      </w:pPr>
    </w:p>
    <w:p w14:paraId="673A4905">
      <w:pPr>
        <w:spacing w:line="360" w:lineRule="auto"/>
        <w:jc w:val="center"/>
        <w:rPr>
          <w:rFonts w:hint="eastAsia" w:ascii="仿宋" w:hAnsi="仿宋" w:eastAsia="仿宋" w:cs="仿宋"/>
          <w:b/>
          <w:color w:val="auto"/>
          <w:sz w:val="44"/>
          <w:lang w:val="en-US" w:eastAsia="zh-CN"/>
        </w:rPr>
      </w:pPr>
    </w:p>
    <w:p w14:paraId="5C0514F7">
      <w:pPr>
        <w:spacing w:line="360" w:lineRule="auto"/>
        <w:jc w:val="center"/>
        <w:rPr>
          <w:rFonts w:hint="eastAsia" w:ascii="仿宋" w:hAnsi="仿宋" w:eastAsia="仿宋" w:cs="仿宋"/>
          <w:b/>
          <w:color w:val="auto"/>
          <w:sz w:val="44"/>
          <w:lang w:val="en-US" w:eastAsia="zh-CN"/>
        </w:rPr>
      </w:pPr>
    </w:p>
    <w:p w14:paraId="0DD8ABE5">
      <w:pPr>
        <w:spacing w:line="360" w:lineRule="auto"/>
        <w:jc w:val="center"/>
        <w:rPr>
          <w:rFonts w:hint="eastAsia" w:ascii="仿宋" w:hAnsi="仿宋" w:eastAsia="仿宋" w:cs="仿宋"/>
          <w:b/>
          <w:color w:val="auto"/>
          <w:sz w:val="44"/>
          <w:lang w:val="en-US" w:eastAsia="zh-CN"/>
        </w:rPr>
      </w:pPr>
    </w:p>
    <w:p w14:paraId="3C20548E">
      <w:pPr>
        <w:spacing w:line="360" w:lineRule="auto"/>
        <w:jc w:val="center"/>
        <w:rPr>
          <w:rFonts w:hint="eastAsia" w:ascii="仿宋" w:hAnsi="仿宋" w:eastAsia="仿宋" w:cs="仿宋"/>
          <w:b/>
          <w:color w:val="auto"/>
          <w:sz w:val="44"/>
          <w:lang w:val="en-US" w:eastAsia="zh-CN"/>
        </w:rPr>
      </w:pPr>
    </w:p>
    <w:p w14:paraId="039241B6">
      <w:pPr>
        <w:spacing w:line="360" w:lineRule="auto"/>
        <w:jc w:val="center"/>
        <w:rPr>
          <w:rFonts w:hint="eastAsia" w:ascii="仿宋" w:hAnsi="仿宋" w:eastAsia="仿宋" w:cs="仿宋"/>
          <w:b/>
          <w:color w:val="auto"/>
          <w:sz w:val="44"/>
          <w:lang w:val="en-US" w:eastAsia="zh-CN"/>
        </w:rPr>
      </w:pPr>
    </w:p>
    <w:p w14:paraId="42AB5701">
      <w:pPr>
        <w:pStyle w:val="2"/>
        <w:ind w:left="0" w:leftChars="0" w:firstLine="0" w:firstLineChars="0"/>
        <w:rPr>
          <w:rFonts w:hint="eastAsia"/>
          <w:lang w:val="en-US" w:eastAsia="zh-CN"/>
        </w:rPr>
      </w:pPr>
    </w:p>
    <w:p w14:paraId="4BA40F3E">
      <w:pPr>
        <w:spacing w:line="480" w:lineRule="auto"/>
        <w:jc w:val="left"/>
        <w:outlineLvl w:val="0"/>
        <w:rPr>
          <w:rFonts w:hint="eastAsia" w:ascii="仿宋" w:hAnsi="仿宋" w:eastAsia="仿宋" w:cs="仿宋"/>
          <w:b/>
          <w:spacing w:val="-2"/>
          <w:sz w:val="30"/>
        </w:rPr>
      </w:pPr>
      <w:bookmarkStart w:id="26" w:name="_Toc5875"/>
      <w:r>
        <w:rPr>
          <w:rStyle w:val="20"/>
          <w:rFonts w:hint="eastAsia" w:ascii="仿宋" w:hAnsi="仿宋" w:eastAsia="仿宋" w:cs="仿宋"/>
          <w:sz w:val="30"/>
        </w:rPr>
        <w:t>附件</w:t>
      </w:r>
      <w:r>
        <w:rPr>
          <w:rStyle w:val="20"/>
          <w:rFonts w:hint="eastAsia" w:ascii="仿宋" w:hAnsi="仿宋" w:eastAsia="仿宋" w:cs="仿宋"/>
          <w:sz w:val="30"/>
          <w:lang w:val="en-US"/>
        </w:rPr>
        <w:t>二</w:t>
      </w:r>
      <w:r>
        <w:rPr>
          <w:rStyle w:val="20"/>
          <w:rFonts w:hint="eastAsia" w:ascii="仿宋" w:hAnsi="仿宋" w:eastAsia="仿宋" w:cs="仿宋"/>
          <w:sz w:val="30"/>
        </w:rPr>
        <w:t>：</w:t>
      </w:r>
      <w:bookmarkEnd w:id="26"/>
    </w:p>
    <w:p w14:paraId="6B8A0D71">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657AF1E4">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1DE889E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三氯化铁等采购 </w:t>
      </w:r>
      <w:r>
        <w:rPr>
          <w:rFonts w:hint="eastAsia" w:ascii="仿宋" w:hAnsi="仿宋" w:eastAsia="仿宋" w:cs="仿宋"/>
          <w:color w:val="auto"/>
          <w:sz w:val="30"/>
          <w:szCs w:val="30"/>
          <w:u w:val="none"/>
          <w:lang w:val="en-US" w:eastAsia="zh-CN"/>
        </w:rPr>
        <w:t>项目。</w:t>
      </w:r>
    </w:p>
    <w:tbl>
      <w:tblPr>
        <w:tblStyle w:val="13"/>
        <w:tblW w:w="5180" w:type="pct"/>
        <w:jc w:val="center"/>
        <w:tblLayout w:type="fixed"/>
        <w:tblCellMar>
          <w:top w:w="0" w:type="dxa"/>
          <w:left w:w="108" w:type="dxa"/>
          <w:bottom w:w="0" w:type="dxa"/>
          <w:right w:w="108" w:type="dxa"/>
        </w:tblCellMar>
      </w:tblPr>
      <w:tblGrid>
        <w:gridCol w:w="672"/>
        <w:gridCol w:w="2146"/>
        <w:gridCol w:w="2599"/>
        <w:gridCol w:w="915"/>
        <w:gridCol w:w="932"/>
        <w:gridCol w:w="1128"/>
        <w:gridCol w:w="1229"/>
      </w:tblGrid>
      <w:tr w14:paraId="4D446D06">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08C845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969" w:type="dxa"/>
            <w:tcBorders>
              <w:top w:val="single" w:color="000000" w:sz="4" w:space="0"/>
              <w:left w:val="single" w:color="000000" w:sz="4" w:space="0"/>
              <w:bottom w:val="single" w:color="000000" w:sz="4" w:space="0"/>
              <w:right w:val="single" w:color="000000" w:sz="4" w:space="0"/>
            </w:tcBorders>
            <w:noWrap/>
            <w:vAlign w:val="center"/>
          </w:tcPr>
          <w:p w14:paraId="0E5DD4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385" w:type="dxa"/>
            <w:tcBorders>
              <w:top w:val="single" w:color="000000" w:sz="4" w:space="0"/>
              <w:left w:val="single" w:color="000000" w:sz="4" w:space="0"/>
              <w:bottom w:val="single" w:color="000000" w:sz="4" w:space="0"/>
              <w:right w:val="single" w:color="000000" w:sz="4" w:space="0"/>
            </w:tcBorders>
            <w:noWrap/>
            <w:vAlign w:val="center"/>
          </w:tcPr>
          <w:p w14:paraId="109B1DFE">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8A909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AF1DB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AA2C8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128" w:type="dxa"/>
            <w:tcBorders>
              <w:top w:val="single" w:color="000000" w:sz="4" w:space="0"/>
              <w:left w:val="single" w:color="000000" w:sz="4" w:space="0"/>
              <w:bottom w:val="single" w:color="000000" w:sz="4" w:space="0"/>
              <w:right w:val="single" w:color="000000" w:sz="4" w:space="0"/>
            </w:tcBorders>
            <w:noWrap/>
            <w:vAlign w:val="center"/>
          </w:tcPr>
          <w:p w14:paraId="0655D77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w:t>
            </w:r>
          </w:p>
          <w:p w14:paraId="73A9CA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（元）</w:t>
            </w:r>
          </w:p>
        </w:tc>
      </w:tr>
      <w:tr w14:paraId="497FFBAF">
        <w:tblPrEx>
          <w:tblCellMar>
            <w:top w:w="0" w:type="dxa"/>
            <w:left w:w="108" w:type="dxa"/>
            <w:bottom w:w="0" w:type="dxa"/>
            <w:right w:w="108" w:type="dxa"/>
          </w:tblCellMar>
        </w:tblPrEx>
        <w:trPr>
          <w:trHeight w:val="5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5E2DEEAB">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6C98DB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三氯化铁</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28DEA49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纯度≥96%  25kg/包</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74704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5 </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5A0E083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吨</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7ABA25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6D707A5E">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A7FAFC6">
        <w:tblPrEx>
          <w:tblCellMar>
            <w:top w:w="0" w:type="dxa"/>
            <w:left w:w="108" w:type="dxa"/>
            <w:bottom w:w="0" w:type="dxa"/>
            <w:right w:w="108" w:type="dxa"/>
          </w:tblCellMar>
        </w:tblPrEx>
        <w:trPr>
          <w:trHeight w:val="5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003631FA">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36BA9A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无水硫酸钠</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38EB1E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AR500g</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7705FD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 xml:space="preserve">20 </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3229E62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瓶</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6426E9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3074A1BB">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B47F3C9">
        <w:tblPrEx>
          <w:tblCellMar>
            <w:top w:w="0" w:type="dxa"/>
            <w:left w:w="108" w:type="dxa"/>
            <w:bottom w:w="0" w:type="dxa"/>
            <w:right w:w="108" w:type="dxa"/>
          </w:tblCellMar>
        </w:tblPrEx>
        <w:trPr>
          <w:trHeight w:val="5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580E0710">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1CAA5DF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分析纯氨水</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6AC199F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浓度25%-28%  5L/壶</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128888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 xml:space="preserve">300 </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4512D8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升</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0E059E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7FE53B86">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4B17E53">
        <w:tblPrEx>
          <w:tblCellMar>
            <w:top w:w="0" w:type="dxa"/>
            <w:left w:w="108" w:type="dxa"/>
            <w:bottom w:w="0" w:type="dxa"/>
            <w:right w:w="108" w:type="dxa"/>
          </w:tblCellMar>
        </w:tblPrEx>
        <w:trPr>
          <w:trHeight w:val="5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37974921">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1969" w:type="dxa"/>
            <w:tcBorders>
              <w:top w:val="single" w:color="000000" w:sz="4" w:space="0"/>
              <w:left w:val="single" w:color="000000" w:sz="4" w:space="0"/>
              <w:bottom w:val="single" w:color="000000" w:sz="4" w:space="0"/>
              <w:right w:val="single" w:color="000000" w:sz="4" w:space="0"/>
            </w:tcBorders>
            <w:noWrap w:val="0"/>
            <w:vAlign w:val="center"/>
          </w:tcPr>
          <w:p w14:paraId="1283680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1,10菲啰啉</w:t>
            </w:r>
          </w:p>
        </w:tc>
        <w:tc>
          <w:tcPr>
            <w:tcW w:w="2385" w:type="dxa"/>
            <w:tcBorders>
              <w:top w:val="single" w:color="000000" w:sz="4" w:space="0"/>
              <w:left w:val="single" w:color="000000" w:sz="4" w:space="0"/>
              <w:bottom w:val="single" w:color="000000" w:sz="4" w:space="0"/>
              <w:right w:val="single" w:color="000000" w:sz="4" w:space="0"/>
            </w:tcBorders>
            <w:noWrap w:val="0"/>
            <w:vAlign w:val="center"/>
          </w:tcPr>
          <w:p w14:paraId="384239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5gAR分析纯</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D0A8C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 xml:space="preserve">5 </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7D3FDD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瓶</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129A7B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7AEAB8EE">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68B1C04F">
      <w:pPr>
        <w:pStyle w:val="10"/>
        <w:rPr>
          <w:rFonts w:hint="eastAsia" w:ascii="仿宋" w:hAnsi="仿宋" w:eastAsia="仿宋" w:cs="仿宋"/>
          <w:color w:val="auto"/>
          <w:highlight w:val="none"/>
        </w:rPr>
      </w:pPr>
    </w:p>
    <w:p w14:paraId="5EE6A5F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报价如下：（</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元，税率为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 %）</w:t>
      </w:r>
    </w:p>
    <w:p w14:paraId="27F5755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相关要求：</w:t>
      </w:r>
    </w:p>
    <w:p w14:paraId="14C4C66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yellow"/>
        </w:rPr>
      </w:pPr>
      <w:r>
        <w:rPr>
          <w:rFonts w:hint="eastAsia" w:ascii="仿宋" w:hAnsi="仿宋" w:eastAsia="仿宋" w:cs="仿宋"/>
          <w:color w:val="auto"/>
          <w:kern w:val="2"/>
          <w:sz w:val="30"/>
          <w:szCs w:val="30"/>
          <w:highlight w:val="none"/>
          <w:lang w:val="en-US" w:eastAsia="zh-CN" w:bidi="ar-SA"/>
        </w:rPr>
        <w:t>1.</w:t>
      </w:r>
      <w:r>
        <w:rPr>
          <w:rFonts w:hint="eastAsia" w:ascii="仿宋" w:hAnsi="仿宋" w:eastAsia="仿宋" w:cs="仿宋"/>
          <w:color w:val="auto"/>
          <w:sz w:val="30"/>
          <w:szCs w:val="30"/>
          <w:highlight w:val="none"/>
          <w:lang w:eastAsia="zh-CN"/>
        </w:rPr>
        <w:t>付款方式：</w:t>
      </w:r>
      <w:r>
        <w:rPr>
          <w:rFonts w:hint="eastAsia" w:ascii="仿宋" w:hAnsi="仿宋" w:eastAsia="仿宋" w:cs="仿宋"/>
          <w:color w:val="auto"/>
          <w:sz w:val="30"/>
          <w:szCs w:val="30"/>
          <w:highlight w:val="none"/>
          <w:lang w:val="en-US" w:eastAsia="zh-CN"/>
        </w:rPr>
        <w:t>全部货物运送至采购人</w:t>
      </w:r>
      <w:r>
        <w:rPr>
          <w:rFonts w:hint="eastAsia" w:ascii="仿宋" w:hAnsi="仿宋" w:eastAsia="仿宋" w:cs="仿宋"/>
          <w:color w:val="auto"/>
          <w:sz w:val="30"/>
          <w:szCs w:val="30"/>
          <w:lang w:val="en-US" w:eastAsia="zh-CN"/>
        </w:rPr>
        <w:t>指定地点，且经由采购人验收合格后，供货方提供经双方确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一年质保，其履约保证金（合同价的5%）到时（验收合格后）自动转为质保金，质保期从验收合格之日起计算，质保金于质保期满且无未决质量争议后无息退还。</w:t>
      </w:r>
    </w:p>
    <w:p w14:paraId="687EAA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2.</w:t>
      </w: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6223483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3.</w:t>
      </w:r>
      <w:r>
        <w:rPr>
          <w:rFonts w:hint="eastAsia" w:ascii="仿宋" w:hAnsi="仿宋" w:eastAsia="仿宋" w:cs="仿宋"/>
          <w:color w:val="auto"/>
          <w:sz w:val="30"/>
          <w:szCs w:val="30"/>
          <w:lang w:val="en-US" w:eastAsia="zh-CN"/>
        </w:rPr>
        <w:t>本次报价为最终投标报价依据。</w:t>
      </w:r>
    </w:p>
    <w:p w14:paraId="385701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4.</w:t>
      </w: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B905EC1">
      <w:pPr>
        <w:snapToGrid w:val="0"/>
        <w:ind w:firstLine="480" w:firstLineChars="200"/>
        <w:jc w:val="right"/>
        <w:rPr>
          <w:rFonts w:hint="eastAsia" w:ascii="仿宋" w:hAnsi="仿宋" w:eastAsia="仿宋" w:cs="仿宋"/>
          <w:color w:val="auto"/>
          <w:sz w:val="24"/>
          <w:szCs w:val="24"/>
        </w:rPr>
      </w:pPr>
    </w:p>
    <w:p w14:paraId="6A63DBA1">
      <w:pPr>
        <w:snapToGrid w:val="0"/>
        <w:ind w:firstLine="480" w:firstLineChars="200"/>
        <w:jc w:val="right"/>
        <w:rPr>
          <w:rFonts w:hint="eastAsia" w:ascii="仿宋" w:hAnsi="仿宋" w:eastAsia="仿宋" w:cs="仿宋"/>
          <w:color w:val="auto"/>
          <w:sz w:val="24"/>
          <w:szCs w:val="24"/>
        </w:rPr>
      </w:pPr>
    </w:p>
    <w:p w14:paraId="572BD22C">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4B7A6A7F">
      <w:pPr>
        <w:wordWrap w:val="0"/>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p w14:paraId="67D1B629">
      <w:pPr>
        <w:spacing w:line="480" w:lineRule="auto"/>
        <w:jc w:val="left"/>
        <w:outlineLvl w:val="0"/>
        <w:rPr>
          <w:rFonts w:hint="eastAsia" w:ascii="仿宋" w:hAnsi="仿宋" w:eastAsia="仿宋" w:cs="仿宋"/>
          <w:b/>
          <w:spacing w:val="-2"/>
          <w:sz w:val="30"/>
        </w:rPr>
      </w:pPr>
      <w:bookmarkStart w:id="27" w:name="_Toc108839328"/>
      <w:bookmarkStart w:id="28" w:name="_Toc103165678"/>
      <w:bookmarkStart w:id="29" w:name="_Toc5034"/>
      <w:r>
        <w:rPr>
          <w:rStyle w:val="20"/>
          <w:rFonts w:hint="eastAsia" w:ascii="仿宋" w:hAnsi="仿宋" w:eastAsia="仿宋" w:cs="仿宋"/>
          <w:sz w:val="30"/>
        </w:rPr>
        <w:t>附件</w:t>
      </w:r>
      <w:bookmarkEnd w:id="27"/>
      <w:bookmarkEnd w:id="28"/>
      <w:r>
        <w:rPr>
          <w:rStyle w:val="20"/>
          <w:rFonts w:hint="eastAsia" w:ascii="仿宋" w:hAnsi="仿宋" w:eastAsia="仿宋" w:cs="仿宋"/>
          <w:sz w:val="30"/>
          <w:lang w:val="en-US"/>
        </w:rPr>
        <w:t>三：</w:t>
      </w:r>
      <w:bookmarkEnd w:id="29"/>
    </w:p>
    <w:p w14:paraId="03F47F1F">
      <w:pPr>
        <w:snapToGrid w:val="0"/>
        <w:ind w:firstLine="1926" w:firstLineChars="600"/>
        <w:jc w:val="left"/>
        <w:rPr>
          <w:rFonts w:hint="eastAsia" w:ascii="仿宋" w:hAnsi="仿宋" w:eastAsia="仿宋" w:cs="仿宋"/>
          <w:b/>
          <w:spacing w:val="40"/>
          <w:sz w:val="24"/>
          <w:szCs w:val="24"/>
        </w:rPr>
      </w:pPr>
    </w:p>
    <w:p w14:paraId="362D6DC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BE16A76">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02BD792">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三氯化铁等采购项目</w:t>
      </w:r>
      <w:r>
        <w:rPr>
          <w:rFonts w:hint="eastAsia" w:ascii="仿宋" w:hAnsi="仿宋" w:eastAsia="仿宋" w:cs="仿宋"/>
          <w:sz w:val="28"/>
          <w:szCs w:val="28"/>
        </w:rPr>
        <w:t>询价采购，并</w:t>
      </w:r>
      <w:r>
        <w:rPr>
          <w:rFonts w:hint="eastAsia" w:ascii="仿宋" w:hAnsi="仿宋" w:eastAsia="仿宋" w:cs="仿宋"/>
          <w:sz w:val="28"/>
          <w:szCs w:val="28"/>
          <w:lang w:eastAsia="zh-CN"/>
        </w:rPr>
        <w:t>作如下承诺</w:t>
      </w:r>
      <w:r>
        <w:rPr>
          <w:rFonts w:hint="eastAsia" w:ascii="仿宋" w:hAnsi="仿宋" w:eastAsia="仿宋" w:cs="仿宋"/>
          <w:sz w:val="28"/>
          <w:szCs w:val="28"/>
        </w:rPr>
        <w:t>：</w:t>
      </w:r>
    </w:p>
    <w:p w14:paraId="1E47345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795A59D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C00477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0CCCDE6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402F9AC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2AD9E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171E02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69206E5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46831797">
      <w:pPr>
        <w:keepNext w:val="0"/>
        <w:keepLines w:val="0"/>
        <w:pageBreakBefore w:val="0"/>
        <w:widowControl w:val="0"/>
        <w:kinsoku/>
        <w:wordWrap/>
        <w:overflowPunct/>
        <w:topLinePunct w:val="0"/>
        <w:autoSpaceDE/>
        <w:autoSpaceDN/>
        <w:bidi w:val="0"/>
        <w:adjustRightInd/>
        <w:snapToGrid w:val="0"/>
        <w:spacing w:line="360" w:lineRule="auto"/>
        <w:ind w:firstLine="3360" w:firstLineChars="12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4701BAE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56D22D2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3A121E3B">
      <w:pPr>
        <w:pStyle w:val="12"/>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C772">
    <w:pPr>
      <w:pStyle w:val="8"/>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E77B0A4">
    <w:pPr>
      <w:pStyle w:val="8"/>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1">
    <w:nsid w:val="F881FBAA"/>
    <w:multiLevelType w:val="singleLevel"/>
    <w:tmpl w:val="F881FBAA"/>
    <w:lvl w:ilvl="0" w:tentative="0">
      <w:start w:val="1"/>
      <w:numFmt w:val="decimal"/>
      <w:suff w:val="nothing"/>
      <w:lvlText w:val="%1"/>
      <w:lvlJc w:val="left"/>
      <w:pPr>
        <w:ind w:left="635" w:leftChars="0" w:hanging="425" w:firstLineChars="0"/>
      </w:pPr>
      <w:rPr>
        <w:rFonts w:hint="default"/>
      </w:rPr>
    </w:lvl>
  </w:abstractNum>
  <w:abstractNum w:abstractNumId="2">
    <w:nsid w:val="00000020"/>
    <w:multiLevelType w:val="multilevel"/>
    <w:tmpl w:val="00000020"/>
    <w:lvl w:ilvl="0" w:tentative="0">
      <w:start w:val="1"/>
      <w:numFmt w:val="decimal"/>
      <w:pStyle w:val="4"/>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5AF6242"/>
    <w:multiLevelType w:val="singleLevel"/>
    <w:tmpl w:val="05AF6242"/>
    <w:lvl w:ilvl="0" w:tentative="0">
      <w:start w:val="5"/>
      <w:numFmt w:val="chineseCounting"/>
      <w:suff w:val="space"/>
      <w:lvlText w:val="第%1条"/>
      <w:lvlJc w:val="left"/>
      <w:rPr>
        <w:rFonts w:hint="eastAsia"/>
      </w:rPr>
    </w:lvl>
  </w:abstractNum>
  <w:abstractNum w:abstractNumId="4">
    <w:nsid w:val="2D8F1456"/>
    <w:multiLevelType w:val="singleLevel"/>
    <w:tmpl w:val="2D8F1456"/>
    <w:lvl w:ilvl="0" w:tentative="0">
      <w:start w:val="1"/>
      <w:numFmt w:val="decimal"/>
      <w:suff w:val="nothing"/>
      <w:lvlText w:val="%1"/>
      <w:lvlJc w:val="left"/>
      <w:pPr>
        <w:ind w:left="635" w:leftChars="0" w:hanging="425" w:firstLineChars="0"/>
      </w:pPr>
      <w:rPr>
        <w:rFonts w:hint="default"/>
      </w:rPr>
    </w:lvl>
  </w:abstractNum>
  <w:abstractNum w:abstractNumId="5">
    <w:nsid w:val="3188075C"/>
    <w:multiLevelType w:val="singleLevel"/>
    <w:tmpl w:val="3188075C"/>
    <w:lvl w:ilvl="0" w:tentative="0">
      <w:start w:val="1"/>
      <w:numFmt w:val="decimal"/>
      <w:suff w:val="nothing"/>
      <w:lvlText w:val="%1"/>
      <w:lvlJc w:val="left"/>
      <w:pPr>
        <w:ind w:left="635" w:leftChars="0" w:hanging="425" w:firstLineChars="0"/>
      </w:pPr>
      <w:rPr>
        <w:rFonts w:hint="default"/>
      </w:rPr>
    </w:lvl>
  </w:abstractNum>
  <w:abstractNum w:abstractNumId="6">
    <w:nsid w:val="4CC8527C"/>
    <w:multiLevelType w:val="singleLevel"/>
    <w:tmpl w:val="4CC8527C"/>
    <w:lvl w:ilvl="0" w:tentative="0">
      <w:start w:val="6"/>
      <w:numFmt w:val="chineseCounting"/>
      <w:suff w:val="nothing"/>
      <w:lvlText w:val="%1、"/>
      <w:lvlJc w:val="left"/>
      <w:rPr>
        <w:rFonts w:hint="eastAsia"/>
      </w:rPr>
    </w:lvl>
  </w:abstractNum>
  <w:num w:numId="1">
    <w:abstractNumId w:val="2"/>
  </w:num>
  <w:num w:numId="2">
    <w:abstractNumId w:val="4"/>
  </w:num>
  <w:num w:numId="3">
    <w:abstractNumId w:val="6"/>
  </w:num>
  <w:num w:numId="4">
    <w:abstractNumId w:val="0"/>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NzExMmNlZTllZmYzYjIzZDNlN2M3MDhjZjk3N2IifQ=="/>
  </w:docVars>
  <w:rsids>
    <w:rsidRoot w:val="1297576D"/>
    <w:rsid w:val="000A2454"/>
    <w:rsid w:val="0029396E"/>
    <w:rsid w:val="003A657B"/>
    <w:rsid w:val="003D1171"/>
    <w:rsid w:val="004B4DC0"/>
    <w:rsid w:val="00517D5D"/>
    <w:rsid w:val="005926A3"/>
    <w:rsid w:val="008746A5"/>
    <w:rsid w:val="00B574EC"/>
    <w:rsid w:val="01D22213"/>
    <w:rsid w:val="027B64C4"/>
    <w:rsid w:val="02834D04"/>
    <w:rsid w:val="038D5656"/>
    <w:rsid w:val="04464BDF"/>
    <w:rsid w:val="04605697"/>
    <w:rsid w:val="05D22118"/>
    <w:rsid w:val="05EC05B3"/>
    <w:rsid w:val="06057AB3"/>
    <w:rsid w:val="067A3460"/>
    <w:rsid w:val="076328DA"/>
    <w:rsid w:val="08186607"/>
    <w:rsid w:val="08323D9B"/>
    <w:rsid w:val="083A3947"/>
    <w:rsid w:val="08F93082"/>
    <w:rsid w:val="097479E0"/>
    <w:rsid w:val="0A0C6ADD"/>
    <w:rsid w:val="0A32752C"/>
    <w:rsid w:val="0A9D29B8"/>
    <w:rsid w:val="0B237EC8"/>
    <w:rsid w:val="0B2C6C02"/>
    <w:rsid w:val="0BC12699"/>
    <w:rsid w:val="0BCC31F9"/>
    <w:rsid w:val="0C5A16A4"/>
    <w:rsid w:val="0DC35837"/>
    <w:rsid w:val="0DE61498"/>
    <w:rsid w:val="0ED22627"/>
    <w:rsid w:val="0FB065F6"/>
    <w:rsid w:val="0FF5036F"/>
    <w:rsid w:val="10867335"/>
    <w:rsid w:val="110C39D4"/>
    <w:rsid w:val="1297576D"/>
    <w:rsid w:val="12BF4C87"/>
    <w:rsid w:val="12E70A09"/>
    <w:rsid w:val="15341747"/>
    <w:rsid w:val="163F0F8C"/>
    <w:rsid w:val="164F6705"/>
    <w:rsid w:val="16646293"/>
    <w:rsid w:val="16FE5921"/>
    <w:rsid w:val="17507F90"/>
    <w:rsid w:val="17B042A1"/>
    <w:rsid w:val="18B21538"/>
    <w:rsid w:val="18C93F2F"/>
    <w:rsid w:val="1A2B7D96"/>
    <w:rsid w:val="1B25743C"/>
    <w:rsid w:val="1BD33B78"/>
    <w:rsid w:val="1BEC2FB3"/>
    <w:rsid w:val="1C540D8D"/>
    <w:rsid w:val="1CDA4664"/>
    <w:rsid w:val="1CE262BC"/>
    <w:rsid w:val="1D6D770B"/>
    <w:rsid w:val="1DC36A6E"/>
    <w:rsid w:val="1E1A21EF"/>
    <w:rsid w:val="1E3F6A26"/>
    <w:rsid w:val="1EC02DEE"/>
    <w:rsid w:val="203B090D"/>
    <w:rsid w:val="20917F17"/>
    <w:rsid w:val="20B91875"/>
    <w:rsid w:val="21135480"/>
    <w:rsid w:val="212C3971"/>
    <w:rsid w:val="214D7086"/>
    <w:rsid w:val="21BA7E4E"/>
    <w:rsid w:val="21F8155D"/>
    <w:rsid w:val="2237459C"/>
    <w:rsid w:val="22D16AB7"/>
    <w:rsid w:val="22DF5956"/>
    <w:rsid w:val="22ED7F5E"/>
    <w:rsid w:val="231F50B3"/>
    <w:rsid w:val="24130D0C"/>
    <w:rsid w:val="247A3733"/>
    <w:rsid w:val="24937D46"/>
    <w:rsid w:val="24CD5814"/>
    <w:rsid w:val="259E2C64"/>
    <w:rsid w:val="260706AD"/>
    <w:rsid w:val="2685028B"/>
    <w:rsid w:val="26C81975"/>
    <w:rsid w:val="26F76768"/>
    <w:rsid w:val="27AC61A6"/>
    <w:rsid w:val="27FE02E6"/>
    <w:rsid w:val="281F51A8"/>
    <w:rsid w:val="28C57566"/>
    <w:rsid w:val="28C820B6"/>
    <w:rsid w:val="29084622"/>
    <w:rsid w:val="291D4CB4"/>
    <w:rsid w:val="29F704EF"/>
    <w:rsid w:val="2AC220DE"/>
    <w:rsid w:val="2ADB5E21"/>
    <w:rsid w:val="2ADF08BA"/>
    <w:rsid w:val="2B603075"/>
    <w:rsid w:val="2B97636B"/>
    <w:rsid w:val="2C305EB2"/>
    <w:rsid w:val="2C547C73"/>
    <w:rsid w:val="2CD9238D"/>
    <w:rsid w:val="2CF24E09"/>
    <w:rsid w:val="2E003054"/>
    <w:rsid w:val="2E012585"/>
    <w:rsid w:val="2EB2531B"/>
    <w:rsid w:val="2F28513F"/>
    <w:rsid w:val="2F3D045F"/>
    <w:rsid w:val="2F6F3EAC"/>
    <w:rsid w:val="2F7D3F84"/>
    <w:rsid w:val="2F844FB7"/>
    <w:rsid w:val="30030652"/>
    <w:rsid w:val="30256074"/>
    <w:rsid w:val="302C4175"/>
    <w:rsid w:val="304A1F48"/>
    <w:rsid w:val="30CC5786"/>
    <w:rsid w:val="31713FF6"/>
    <w:rsid w:val="32B04D2F"/>
    <w:rsid w:val="33862CBD"/>
    <w:rsid w:val="338F6EF0"/>
    <w:rsid w:val="3393544D"/>
    <w:rsid w:val="33A35EAC"/>
    <w:rsid w:val="345077FD"/>
    <w:rsid w:val="3464504B"/>
    <w:rsid w:val="34E00D83"/>
    <w:rsid w:val="34E40873"/>
    <w:rsid w:val="36216F0D"/>
    <w:rsid w:val="36316A75"/>
    <w:rsid w:val="36C14165"/>
    <w:rsid w:val="36ED02B2"/>
    <w:rsid w:val="37DB73A7"/>
    <w:rsid w:val="37E312B6"/>
    <w:rsid w:val="389450EA"/>
    <w:rsid w:val="389D7311"/>
    <w:rsid w:val="39653A2A"/>
    <w:rsid w:val="398E418A"/>
    <w:rsid w:val="3996009B"/>
    <w:rsid w:val="3997709B"/>
    <w:rsid w:val="39A55AE7"/>
    <w:rsid w:val="39BB1265"/>
    <w:rsid w:val="3A351BE0"/>
    <w:rsid w:val="3AFB2B32"/>
    <w:rsid w:val="3B0953A4"/>
    <w:rsid w:val="3C0B0C04"/>
    <w:rsid w:val="3C302F1C"/>
    <w:rsid w:val="3C7F10DB"/>
    <w:rsid w:val="3C8719BD"/>
    <w:rsid w:val="3CE46170"/>
    <w:rsid w:val="3D431CCA"/>
    <w:rsid w:val="3D7933CA"/>
    <w:rsid w:val="3DA70031"/>
    <w:rsid w:val="3DAC3CC7"/>
    <w:rsid w:val="3DE801D2"/>
    <w:rsid w:val="3E16524F"/>
    <w:rsid w:val="3EA30F9B"/>
    <w:rsid w:val="3EEE03E1"/>
    <w:rsid w:val="3F2D02B4"/>
    <w:rsid w:val="3F7C50B1"/>
    <w:rsid w:val="40543C97"/>
    <w:rsid w:val="406B2371"/>
    <w:rsid w:val="407E15A7"/>
    <w:rsid w:val="408548B8"/>
    <w:rsid w:val="40AA3B81"/>
    <w:rsid w:val="411C5733"/>
    <w:rsid w:val="417112FA"/>
    <w:rsid w:val="41D30314"/>
    <w:rsid w:val="42446B53"/>
    <w:rsid w:val="42D57A4D"/>
    <w:rsid w:val="436A096E"/>
    <w:rsid w:val="440E68FF"/>
    <w:rsid w:val="44544A76"/>
    <w:rsid w:val="449544C5"/>
    <w:rsid w:val="44A55070"/>
    <w:rsid w:val="45225AF9"/>
    <w:rsid w:val="45530393"/>
    <w:rsid w:val="45750E93"/>
    <w:rsid w:val="45B93083"/>
    <w:rsid w:val="469F7AF8"/>
    <w:rsid w:val="475812CD"/>
    <w:rsid w:val="475D1115"/>
    <w:rsid w:val="478F3581"/>
    <w:rsid w:val="47B14FA6"/>
    <w:rsid w:val="47B96D86"/>
    <w:rsid w:val="47D615F1"/>
    <w:rsid w:val="47D93555"/>
    <w:rsid w:val="48034DA7"/>
    <w:rsid w:val="486F4BB5"/>
    <w:rsid w:val="48A60514"/>
    <w:rsid w:val="48DA768F"/>
    <w:rsid w:val="48E14418"/>
    <w:rsid w:val="48FB790A"/>
    <w:rsid w:val="491635D4"/>
    <w:rsid w:val="49172B6D"/>
    <w:rsid w:val="492A0748"/>
    <w:rsid w:val="49E7480F"/>
    <w:rsid w:val="4A3A7820"/>
    <w:rsid w:val="4AD818E7"/>
    <w:rsid w:val="4AF173EE"/>
    <w:rsid w:val="4BEA681C"/>
    <w:rsid w:val="4C2F1B9C"/>
    <w:rsid w:val="4C870D35"/>
    <w:rsid w:val="4D2832EB"/>
    <w:rsid w:val="4DB81983"/>
    <w:rsid w:val="4DF66F25"/>
    <w:rsid w:val="4E376DB9"/>
    <w:rsid w:val="4E716394"/>
    <w:rsid w:val="4ECC39F8"/>
    <w:rsid w:val="4F0A3ECF"/>
    <w:rsid w:val="4F595384"/>
    <w:rsid w:val="4F7F3CCA"/>
    <w:rsid w:val="4FA46E56"/>
    <w:rsid w:val="502844C8"/>
    <w:rsid w:val="51D845E4"/>
    <w:rsid w:val="52341DDD"/>
    <w:rsid w:val="523A017B"/>
    <w:rsid w:val="531111FC"/>
    <w:rsid w:val="532D4FC8"/>
    <w:rsid w:val="533444FB"/>
    <w:rsid w:val="536F3BBC"/>
    <w:rsid w:val="55C54FE9"/>
    <w:rsid w:val="55DB4F23"/>
    <w:rsid w:val="55E07717"/>
    <w:rsid w:val="56397366"/>
    <w:rsid w:val="57FD096B"/>
    <w:rsid w:val="58080247"/>
    <w:rsid w:val="594A0658"/>
    <w:rsid w:val="5950112B"/>
    <w:rsid w:val="597E7D7A"/>
    <w:rsid w:val="59C3293C"/>
    <w:rsid w:val="5A1C766A"/>
    <w:rsid w:val="5CF528AB"/>
    <w:rsid w:val="5D132301"/>
    <w:rsid w:val="5EAF5616"/>
    <w:rsid w:val="5EF258CA"/>
    <w:rsid w:val="5F1E1E73"/>
    <w:rsid w:val="600B6686"/>
    <w:rsid w:val="606D4916"/>
    <w:rsid w:val="607E64E9"/>
    <w:rsid w:val="612A3DEE"/>
    <w:rsid w:val="61993E05"/>
    <w:rsid w:val="62B67083"/>
    <w:rsid w:val="63132229"/>
    <w:rsid w:val="63C07045"/>
    <w:rsid w:val="649C599A"/>
    <w:rsid w:val="651B0FEE"/>
    <w:rsid w:val="65305229"/>
    <w:rsid w:val="662D7F1B"/>
    <w:rsid w:val="666E2F33"/>
    <w:rsid w:val="66B027B6"/>
    <w:rsid w:val="671A2875"/>
    <w:rsid w:val="67966EFB"/>
    <w:rsid w:val="67B628F5"/>
    <w:rsid w:val="682119CD"/>
    <w:rsid w:val="69A94E0C"/>
    <w:rsid w:val="6A1A0E79"/>
    <w:rsid w:val="6A2F770C"/>
    <w:rsid w:val="6A5C5429"/>
    <w:rsid w:val="6B10403F"/>
    <w:rsid w:val="6B144D07"/>
    <w:rsid w:val="6B656B47"/>
    <w:rsid w:val="6B7E1643"/>
    <w:rsid w:val="6C714475"/>
    <w:rsid w:val="6CDB032D"/>
    <w:rsid w:val="6DBD736C"/>
    <w:rsid w:val="6DF45A5A"/>
    <w:rsid w:val="6E160DB8"/>
    <w:rsid w:val="6E5526FF"/>
    <w:rsid w:val="6F2B1820"/>
    <w:rsid w:val="6F2E0DB9"/>
    <w:rsid w:val="6F412F7A"/>
    <w:rsid w:val="6FD1108A"/>
    <w:rsid w:val="6FE1063B"/>
    <w:rsid w:val="707E74C2"/>
    <w:rsid w:val="710D0440"/>
    <w:rsid w:val="716B6D0A"/>
    <w:rsid w:val="71C5585F"/>
    <w:rsid w:val="7207789C"/>
    <w:rsid w:val="720E79AF"/>
    <w:rsid w:val="73A1381E"/>
    <w:rsid w:val="7459468D"/>
    <w:rsid w:val="749131D7"/>
    <w:rsid w:val="755B4E27"/>
    <w:rsid w:val="756F240E"/>
    <w:rsid w:val="767955ED"/>
    <w:rsid w:val="768B4404"/>
    <w:rsid w:val="779817DA"/>
    <w:rsid w:val="77A5282B"/>
    <w:rsid w:val="77D476E8"/>
    <w:rsid w:val="77EA1879"/>
    <w:rsid w:val="782A7918"/>
    <w:rsid w:val="78AC2A23"/>
    <w:rsid w:val="79715756"/>
    <w:rsid w:val="79A7595B"/>
    <w:rsid w:val="7A500C84"/>
    <w:rsid w:val="7A7B08FF"/>
    <w:rsid w:val="7AA165B7"/>
    <w:rsid w:val="7AE21E9E"/>
    <w:rsid w:val="7B09318D"/>
    <w:rsid w:val="7B6004E6"/>
    <w:rsid w:val="7BE14791"/>
    <w:rsid w:val="7C15025C"/>
    <w:rsid w:val="7C4C470C"/>
    <w:rsid w:val="7CD03426"/>
    <w:rsid w:val="7CD16F56"/>
    <w:rsid w:val="7DFA5FDE"/>
    <w:rsid w:val="7E0B3994"/>
    <w:rsid w:val="7ED53627"/>
    <w:rsid w:val="7F1226AB"/>
    <w:rsid w:val="7F5B6E61"/>
    <w:rsid w:val="7FEF65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35"/>
    <w:autoRedefine/>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ind w:firstLine="420" w:firstLineChars="200"/>
    </w:pPr>
  </w:style>
  <w:style w:type="paragraph" w:styleId="3">
    <w:name w:val="Body Text Indent"/>
    <w:basedOn w:val="1"/>
    <w:autoRedefine/>
    <w:qFormat/>
    <w:uiPriority w:val="0"/>
    <w:pPr>
      <w:spacing w:line="480" w:lineRule="auto"/>
      <w:ind w:firstLine="600"/>
    </w:pPr>
    <w:rPr>
      <w:sz w:val="28"/>
    </w:rPr>
  </w:style>
  <w:style w:type="paragraph" w:styleId="5">
    <w:name w:val="annotation text"/>
    <w:basedOn w:val="1"/>
    <w:autoRedefine/>
    <w:qFormat/>
    <w:uiPriority w:val="0"/>
    <w:pPr>
      <w:jc w:val="left"/>
    </w:pPr>
  </w:style>
  <w:style w:type="paragraph" w:styleId="6">
    <w:name w:val="Body Text"/>
    <w:basedOn w:val="1"/>
    <w:next w:val="1"/>
    <w:autoRedefine/>
    <w:qFormat/>
    <w:uiPriority w:val="1"/>
    <w:pPr>
      <w:spacing w:after="120" w:afterLines="0"/>
    </w:pPr>
  </w:style>
  <w:style w:type="paragraph" w:styleId="7">
    <w:name w:val="Balloon Text"/>
    <w:basedOn w:val="1"/>
    <w:link w:val="24"/>
    <w:autoRedefine/>
    <w:qFormat/>
    <w:uiPriority w:val="0"/>
    <w:rPr>
      <w:sz w:val="18"/>
      <w:szCs w:val="1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qFormat/>
    <w:uiPriority w:val="39"/>
    <w:pPr>
      <w:jc w:val="left"/>
    </w:pPr>
    <w:rPr>
      <w:b/>
      <w:caps/>
    </w:rPr>
  </w:style>
  <w:style w:type="paragraph" w:styleId="11">
    <w:name w:val="Title"/>
    <w:basedOn w:val="1"/>
    <w:autoRedefine/>
    <w:qFormat/>
    <w:uiPriority w:val="0"/>
    <w:pPr>
      <w:widowControl/>
      <w:overflowPunct w:val="0"/>
      <w:autoSpaceDE w:val="0"/>
      <w:autoSpaceDN w:val="0"/>
      <w:adjustRightInd w:val="0"/>
      <w:jc w:val="center"/>
      <w:textAlignment w:val="baseline"/>
    </w:pPr>
    <w:rPr>
      <w:b/>
      <w:kern w:val="0"/>
      <w:sz w:val="44"/>
      <w:lang w:val="en-GB"/>
    </w:rPr>
  </w:style>
  <w:style w:type="paragraph" w:styleId="12">
    <w:name w:val="Body Text First Indent"/>
    <w:basedOn w:val="6"/>
    <w:next w:val="1"/>
    <w:autoRedefine/>
    <w:qFormat/>
    <w:uiPriority w:val="99"/>
    <w:pPr>
      <w:widowControl/>
      <w:spacing w:after="120" w:afterLines="0" w:line="240" w:lineRule="auto"/>
      <w:ind w:firstLine="420" w:firstLineChars="100"/>
      <w:jc w:val="left"/>
    </w:pPr>
    <w:rPr>
      <w:rFonts w:ascii="Times New Roman" w:eastAsia="宋体"/>
      <w:kern w:val="0"/>
      <w:sz w:val="21"/>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0"/>
  </w:style>
  <w:style w:type="character" w:styleId="17">
    <w:name w:val="Hyperlink"/>
    <w:autoRedefine/>
    <w:qFormat/>
    <w:uiPriority w:val="99"/>
    <w:rPr>
      <w:color w:val="0000FF"/>
      <w:u w:val="single"/>
    </w:rPr>
  </w:style>
  <w:style w:type="character" w:styleId="18">
    <w:name w:val="annotation reference"/>
    <w:basedOn w:val="15"/>
    <w:autoRedefine/>
    <w:qFormat/>
    <w:uiPriority w:val="0"/>
    <w:rPr>
      <w:sz w:val="21"/>
      <w:szCs w:val="21"/>
    </w:rPr>
  </w:style>
  <w:style w:type="paragraph" w:customStyle="1" w:styleId="19">
    <w:name w:val="正文文字缩进"/>
    <w:basedOn w:val="1"/>
    <w:autoRedefine/>
    <w:qFormat/>
    <w:uiPriority w:val="0"/>
    <w:pPr>
      <w:widowControl/>
      <w:spacing w:line="351" w:lineRule="atLeast"/>
      <w:ind w:firstLine="436"/>
      <w:textAlignment w:val="baseline"/>
    </w:pPr>
    <w:rPr>
      <w:color w:val="000000"/>
      <w:kern w:val="0"/>
      <w:sz w:val="30"/>
      <w:u w:color="000000"/>
    </w:rPr>
  </w:style>
  <w:style w:type="character" w:customStyle="1" w:styleId="20">
    <w:name w:val="标题 1 Char Char"/>
    <w:autoRedefine/>
    <w:qFormat/>
    <w:uiPriority w:val="0"/>
    <w:rPr>
      <w:rFonts w:eastAsia="宋体"/>
      <w:b/>
      <w:spacing w:val="-2"/>
      <w:sz w:val="24"/>
      <w:lang w:val="en-US" w:eastAsia="zh-CN"/>
    </w:rPr>
  </w:style>
  <w:style w:type="paragraph" w:customStyle="1" w:styleId="21">
    <w:name w:val="一、标题"/>
    <w:basedOn w:val="1"/>
    <w:autoRedefine/>
    <w:qFormat/>
    <w:uiPriority w:val="0"/>
    <w:rPr>
      <w:b/>
      <w:sz w:val="28"/>
    </w:rPr>
  </w:style>
  <w:style w:type="paragraph" w:styleId="22">
    <w:name w:val="List Paragraph"/>
    <w:basedOn w:val="1"/>
    <w:autoRedefine/>
    <w:qFormat/>
    <w:uiPriority w:val="34"/>
    <w:pPr>
      <w:ind w:firstLine="420" w:firstLineChars="200"/>
    </w:pPr>
  </w:style>
  <w:style w:type="character" w:customStyle="1" w:styleId="23">
    <w:name w:val="页眉 Char"/>
    <w:basedOn w:val="15"/>
    <w:link w:val="9"/>
    <w:autoRedefine/>
    <w:qFormat/>
    <w:uiPriority w:val="0"/>
    <w:rPr>
      <w:kern w:val="2"/>
      <w:sz w:val="18"/>
      <w:szCs w:val="18"/>
    </w:rPr>
  </w:style>
  <w:style w:type="character" w:customStyle="1" w:styleId="24">
    <w:name w:val="批注框文本 Char"/>
    <w:basedOn w:val="15"/>
    <w:link w:val="7"/>
    <w:autoRedefine/>
    <w:qFormat/>
    <w:uiPriority w:val="0"/>
    <w:rPr>
      <w:kern w:val="2"/>
      <w:sz w:val="18"/>
      <w:szCs w:val="18"/>
    </w:rPr>
  </w:style>
  <w:style w:type="character" w:customStyle="1" w:styleId="25">
    <w:name w:val="font31"/>
    <w:basedOn w:val="15"/>
    <w:autoRedefine/>
    <w:qFormat/>
    <w:uiPriority w:val="0"/>
    <w:rPr>
      <w:rFonts w:hint="eastAsia" w:ascii="宋体" w:hAnsi="宋体" w:eastAsia="宋体" w:cs="宋体"/>
      <w:color w:val="000000"/>
      <w:sz w:val="22"/>
      <w:szCs w:val="22"/>
      <w:u w:val="none"/>
    </w:rPr>
  </w:style>
  <w:style w:type="character" w:customStyle="1" w:styleId="26">
    <w:name w:val="font51"/>
    <w:basedOn w:val="15"/>
    <w:autoRedefine/>
    <w:qFormat/>
    <w:uiPriority w:val="0"/>
    <w:rPr>
      <w:rFonts w:hint="default" w:ascii="Times New Roman" w:hAnsi="Times New Roman" w:cs="Times New Roman"/>
      <w:color w:val="000000"/>
      <w:sz w:val="22"/>
      <w:szCs w:val="22"/>
      <w:u w:val="none"/>
    </w:rPr>
  </w:style>
  <w:style w:type="character" w:customStyle="1" w:styleId="27">
    <w:name w:val="font41"/>
    <w:basedOn w:val="15"/>
    <w:autoRedefine/>
    <w:qFormat/>
    <w:uiPriority w:val="0"/>
    <w:rPr>
      <w:rFonts w:ascii="仿宋_GB2312" w:eastAsia="仿宋_GB2312" w:cs="仿宋_GB2312"/>
      <w:color w:val="000000"/>
      <w:sz w:val="22"/>
      <w:szCs w:val="22"/>
      <w:u w:val="none"/>
    </w:rPr>
  </w:style>
  <w:style w:type="character" w:customStyle="1" w:styleId="28">
    <w:name w:val="font21"/>
    <w:basedOn w:val="15"/>
    <w:autoRedefine/>
    <w:qFormat/>
    <w:uiPriority w:val="0"/>
    <w:rPr>
      <w:rFonts w:hint="eastAsia" w:ascii="宋体" w:hAnsi="宋体" w:eastAsia="宋体" w:cs="宋体"/>
      <w:color w:val="000000"/>
      <w:sz w:val="22"/>
      <w:szCs w:val="22"/>
      <w:u w:val="none"/>
      <w:vertAlign w:val="superscript"/>
    </w:rPr>
  </w:style>
  <w:style w:type="character" w:customStyle="1" w:styleId="29">
    <w:name w:val="font01"/>
    <w:basedOn w:val="15"/>
    <w:autoRedefine/>
    <w:qFormat/>
    <w:uiPriority w:val="0"/>
    <w:rPr>
      <w:rFonts w:hint="eastAsia" w:ascii="宋体" w:hAnsi="宋体" w:eastAsia="宋体" w:cs="宋体"/>
      <w:color w:val="000000"/>
      <w:sz w:val="22"/>
      <w:szCs w:val="22"/>
      <w:u w:val="none"/>
    </w:rPr>
  </w:style>
  <w:style w:type="character" w:customStyle="1" w:styleId="30">
    <w:name w:val="font11"/>
    <w:basedOn w:val="15"/>
    <w:autoRedefine/>
    <w:qFormat/>
    <w:uiPriority w:val="0"/>
    <w:rPr>
      <w:rFonts w:hint="eastAsia" w:ascii="宋体" w:hAnsi="宋体" w:eastAsia="宋体" w:cs="宋体"/>
      <w:color w:val="000000"/>
      <w:sz w:val="24"/>
      <w:szCs w:val="24"/>
      <w:u w:val="none"/>
    </w:rPr>
  </w:style>
  <w:style w:type="paragraph" w:customStyle="1" w:styleId="31">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2">
    <w:name w:val="font81"/>
    <w:basedOn w:val="15"/>
    <w:autoRedefine/>
    <w:qFormat/>
    <w:uiPriority w:val="0"/>
    <w:rPr>
      <w:rFonts w:ascii="宋体" w:hAnsi="宋体" w:eastAsia="宋体" w:cs="宋体"/>
      <w:color w:val="000000"/>
      <w:sz w:val="20"/>
      <w:szCs w:val="20"/>
      <w:u w:val="none"/>
    </w:rPr>
  </w:style>
  <w:style w:type="character" w:customStyle="1" w:styleId="33">
    <w:name w:val="font71"/>
    <w:basedOn w:val="15"/>
    <w:autoRedefine/>
    <w:qFormat/>
    <w:uiPriority w:val="0"/>
    <w:rPr>
      <w:rFonts w:hint="eastAsia" w:ascii="仿宋" w:hAnsi="仿宋" w:eastAsia="仿宋" w:cs="仿宋"/>
      <w:color w:val="000000"/>
      <w:sz w:val="22"/>
      <w:szCs w:val="22"/>
      <w:u w:val="none"/>
    </w:rPr>
  </w:style>
  <w:style w:type="paragraph" w:customStyle="1" w:styleId="34">
    <w:name w:val="样式1"/>
    <w:basedOn w:val="1"/>
    <w:autoRedefine/>
    <w:qFormat/>
    <w:uiPriority w:val="0"/>
    <w:pPr>
      <w:spacing w:line="240" w:lineRule="exact"/>
    </w:pPr>
    <w:rPr>
      <w:rFonts w:ascii="宋体" w:hAnsi="宋体" w:eastAsia="宋体"/>
      <w:sz w:val="24"/>
      <w:szCs w:val="24"/>
    </w:rPr>
  </w:style>
  <w:style w:type="character" w:customStyle="1" w:styleId="35">
    <w:name w:val="标题 1 Char"/>
    <w:link w:val="4"/>
    <w:autoRedefine/>
    <w:qFormat/>
    <w:uiPriority w:val="0"/>
    <w:rPr>
      <w:rFonts w:ascii="宋体" w:hAnsi="Arial" w:eastAsia="黑体"/>
      <w:b/>
      <w:color w:val="000000"/>
      <w:kern w:val="44"/>
      <w:sz w:val="36"/>
    </w:rPr>
  </w:style>
  <w:style w:type="paragraph" w:customStyle="1" w:styleId="3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7">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26</Pages>
  <Words>8314</Words>
  <Characters>8541</Characters>
  <Lines>53</Lines>
  <Paragraphs>15</Paragraphs>
  <TotalTime>1</TotalTime>
  <ScaleCrop>false</ScaleCrop>
  <LinksUpToDate>false</LinksUpToDate>
  <CharactersWithSpaces>9532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Leon</cp:lastModifiedBy>
  <cp:lastPrinted>2025-04-09T02:34:00Z</cp:lastPrinted>
  <dcterms:modified xsi:type="dcterms:W3CDTF">2026-09-18T02:49:21Z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5182F76E75524ACAA780ED3F7F225BFB_13</vt:lpwstr>
  </property>
  <property fmtid="{D5CDD505-2E9C-101B-9397-08002B2CF9AE}" pid="4" name="KSOTemplateDocerSaveRecord">
    <vt:lpwstr>eyJoZGlkIjoiYzUwZDFhNTA3NTBkYjYwNzBmOWEzNGQxZTA1ZTZlYTEiLCJ1c2VySWQiOiI0MTkyNjk4ODkifQ==</vt:lpwstr>
  </property>
</Properties>
</file>