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17075"/>
      <w:r>
        <w:rPr>
          <w:rFonts w:hint="eastAsia" w:ascii="仿宋_GB2312" w:hAnsi="宋体" w:eastAsia="仿宋_GB2312"/>
          <w:b/>
          <w:sz w:val="52"/>
          <w:szCs w:val="52"/>
          <w:highlight w:val="none"/>
          <w:lang w:eastAsia="zh-CN"/>
        </w:rPr>
        <w:t>绍兴市再生能源发展有限公司</w:t>
      </w:r>
      <w:bookmarkEnd w:id="0"/>
    </w:p>
    <w:p w14:paraId="543ECF22">
      <w:pPr>
        <w:pStyle w:val="12"/>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椰壳活性炭采购项目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CG-YK-2608018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3"/>
      <w:bookmarkStart w:id="3" w:name="OLE_LINK52"/>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椰壳活性炭采购项目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九</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highlight w:val="none"/>
        </w:rPr>
        <w:br w:type="page"/>
      </w:r>
      <w:r>
        <w:rPr>
          <w:rFonts w:hint="eastAsia" w:ascii="仿宋" w:hAnsi="仿宋" w:eastAsia="仿宋" w:cs="仿宋"/>
          <w:sz w:val="52"/>
          <w:szCs w:val="32"/>
        </w:rPr>
        <w:t>目录</w:t>
      </w:r>
    </w:p>
    <w:p w14:paraId="11D54EB1">
      <w:pPr>
        <w:pStyle w:val="10"/>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_Toc17075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_Toc17075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5FD3D246">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_Toc10495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_Toc10495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7A385E0">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_Toc29094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_Toc29094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366E3EE">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_Toc3011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 xml:space="preserve">第四部分 </w:t>
      </w:r>
      <w:r>
        <w:rPr>
          <w:rFonts w:hint="eastAsia" w:eastAsia="仿宋" w:cs="Times New Roman"/>
          <w:b w:val="0"/>
          <w:bCs w:val="0"/>
          <w:sz w:val="32"/>
          <w:szCs w:val="32"/>
          <w:lang w:val="en-US" w:eastAsia="zh-CN"/>
        </w:rPr>
        <w:t xml:space="preserve">  </w:t>
      </w:r>
      <w:r>
        <w:rPr>
          <w:rFonts w:hint="eastAsia" w:ascii="Times New Roman" w:hAnsi="Times New Roman" w:eastAsia="仿宋" w:cs="Times New Roman"/>
          <w:b w:val="0"/>
          <w:bCs w:val="0"/>
          <w:sz w:val="32"/>
          <w:szCs w:val="32"/>
          <w:lang w:val="en-US" w:eastAsia="zh-CN"/>
        </w:rPr>
        <w:t>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_Toc3011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47B8A47">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_Toc2257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_Toc2257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19</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E15DD41">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_Toc24500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_Toc24500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59481AF">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_Toc14537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_Toc14537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8D79642">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_Toc8510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_Toc8510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3476EB7">
      <w:pPr>
        <w:pStyle w:val="10"/>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_Toc9715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三：</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_Toc9715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10495"/>
      <w:bookmarkStart w:id="5" w:name="_Toc530583921"/>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椰壳活性炭采购项目进行招标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SX-CG-YK-2608018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3720" w:type="pct"/>
        <w:jc w:val="center"/>
        <w:tblLayout w:type="fixed"/>
        <w:tblCellMar>
          <w:top w:w="0" w:type="dxa"/>
          <w:left w:w="108" w:type="dxa"/>
          <w:bottom w:w="0" w:type="dxa"/>
          <w:right w:w="108" w:type="dxa"/>
        </w:tblCellMar>
      </w:tblPr>
      <w:tblGrid>
        <w:gridCol w:w="672"/>
        <w:gridCol w:w="1689"/>
        <w:gridCol w:w="3055"/>
        <w:gridCol w:w="765"/>
        <w:gridCol w:w="728"/>
      </w:tblGrid>
      <w:tr w14:paraId="089FD463">
        <w:tblPrEx>
          <w:tblCellMar>
            <w:top w:w="0" w:type="dxa"/>
            <w:left w:w="108" w:type="dxa"/>
            <w:bottom w:w="0" w:type="dxa"/>
            <w:right w:w="108" w:type="dxa"/>
          </w:tblCellMar>
        </w:tblPrEx>
        <w:trPr>
          <w:trHeight w:val="467"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6038EE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689" w:type="dxa"/>
            <w:tcBorders>
              <w:top w:val="single" w:color="000000" w:sz="4" w:space="0"/>
              <w:left w:val="single" w:color="000000" w:sz="4" w:space="0"/>
              <w:bottom w:val="single" w:color="000000" w:sz="4" w:space="0"/>
              <w:right w:val="single" w:color="000000" w:sz="4" w:space="0"/>
            </w:tcBorders>
            <w:noWrap/>
            <w:vAlign w:val="center"/>
          </w:tcPr>
          <w:p w14:paraId="7C4A09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3055" w:type="dxa"/>
            <w:tcBorders>
              <w:top w:val="single" w:color="000000" w:sz="4" w:space="0"/>
              <w:left w:val="single" w:color="000000" w:sz="4" w:space="0"/>
              <w:bottom w:val="single" w:color="000000" w:sz="4" w:space="0"/>
              <w:right w:val="single" w:color="000000" w:sz="4" w:space="0"/>
            </w:tcBorders>
            <w:noWrap/>
            <w:vAlign w:val="center"/>
          </w:tcPr>
          <w:p w14:paraId="24D80304">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3980B4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728" w:type="dxa"/>
            <w:tcBorders>
              <w:top w:val="single" w:color="000000" w:sz="4" w:space="0"/>
              <w:left w:val="single" w:color="000000" w:sz="4" w:space="0"/>
              <w:bottom w:val="single" w:color="000000" w:sz="4" w:space="0"/>
              <w:right w:val="single" w:color="000000" w:sz="4" w:space="0"/>
            </w:tcBorders>
            <w:noWrap/>
            <w:vAlign w:val="center"/>
          </w:tcPr>
          <w:p w14:paraId="6DA71B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r>
      <w:tr w14:paraId="05D9E30B">
        <w:tblPrEx>
          <w:tblCellMar>
            <w:top w:w="0" w:type="dxa"/>
            <w:left w:w="108" w:type="dxa"/>
            <w:bottom w:w="0" w:type="dxa"/>
            <w:right w:w="108" w:type="dxa"/>
          </w:tblCellMar>
        </w:tblPrEx>
        <w:trPr>
          <w:trHeight w:val="1788" w:hRule="atLeast"/>
          <w:jc w:val="center"/>
        </w:trPr>
        <w:tc>
          <w:tcPr>
            <w:tcW w:w="672" w:type="dxa"/>
            <w:tcBorders>
              <w:top w:val="single" w:color="000000" w:sz="4" w:space="0"/>
              <w:left w:val="single" w:color="000000" w:sz="4" w:space="0"/>
              <w:bottom w:val="single" w:color="000000" w:sz="4" w:space="0"/>
              <w:right w:val="single" w:color="000000" w:sz="4" w:space="0"/>
            </w:tcBorders>
            <w:noWrap/>
            <w:vAlign w:val="center"/>
          </w:tcPr>
          <w:p w14:paraId="33E6BF33">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689" w:type="dxa"/>
            <w:tcBorders>
              <w:top w:val="single" w:color="000000" w:sz="4" w:space="0"/>
              <w:left w:val="single" w:color="000000" w:sz="4" w:space="0"/>
              <w:bottom w:val="single" w:color="000000" w:sz="4" w:space="0"/>
              <w:right w:val="single" w:color="000000" w:sz="4" w:space="0"/>
            </w:tcBorders>
            <w:noWrap w:val="0"/>
            <w:vAlign w:val="center"/>
          </w:tcPr>
          <w:p w14:paraId="64D11BEB">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椰壳活性炭</w:t>
            </w:r>
          </w:p>
        </w:tc>
        <w:tc>
          <w:tcPr>
            <w:tcW w:w="3055" w:type="dxa"/>
            <w:tcBorders>
              <w:top w:val="single" w:color="000000" w:sz="4" w:space="0"/>
              <w:left w:val="single" w:color="000000" w:sz="4" w:space="0"/>
              <w:bottom w:val="single" w:color="000000" w:sz="4" w:space="0"/>
              <w:right w:val="single" w:color="000000" w:sz="4" w:space="0"/>
            </w:tcBorders>
            <w:noWrap w:val="0"/>
            <w:vAlign w:val="center"/>
          </w:tcPr>
          <w:p w14:paraId="13C14A73">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碘值大于1000mg/g，粒度在8-24目且大于95%，强度大于95%，废碳厂家回收处理</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2B8B5A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15</w:t>
            </w:r>
          </w:p>
        </w:tc>
        <w:tc>
          <w:tcPr>
            <w:tcW w:w="728" w:type="dxa"/>
            <w:tcBorders>
              <w:top w:val="single" w:color="000000" w:sz="4" w:space="0"/>
              <w:left w:val="single" w:color="000000" w:sz="4" w:space="0"/>
              <w:bottom w:val="single" w:color="000000" w:sz="4" w:space="0"/>
              <w:right w:val="single" w:color="000000" w:sz="4" w:space="0"/>
            </w:tcBorders>
            <w:noWrap w:val="0"/>
            <w:vAlign w:val="center"/>
          </w:tcPr>
          <w:p w14:paraId="1908BC1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吨</w:t>
            </w:r>
          </w:p>
        </w:tc>
      </w:tr>
    </w:tbl>
    <w:p w14:paraId="47E30BEA">
      <w:pPr>
        <w:pStyle w:val="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643844B4">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kern w:val="2"/>
          <w:sz w:val="30"/>
          <w:szCs w:val="30"/>
          <w:lang w:val="en-US" w:eastAsia="zh-CN" w:bidi="ar-SA"/>
        </w:rPr>
        <w:t>3.</w:t>
      </w:r>
      <w:r>
        <w:rPr>
          <w:rFonts w:hint="eastAsia" w:ascii="仿宋" w:hAnsi="仿宋" w:eastAsia="仿宋" w:cs="仿宋"/>
          <w:sz w:val="30"/>
          <w:szCs w:val="30"/>
          <w:highlight w:val="none"/>
          <w:lang w:val="en-US" w:eastAsia="zh-CN"/>
        </w:rPr>
        <w:t>技术要求：</w:t>
      </w:r>
    </w:p>
    <w:p w14:paraId="463F0428">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①碘值大于1000mg/g，粒度在8-24目且大于95%，强度大于95%。</w:t>
      </w:r>
    </w:p>
    <w:p w14:paraId="6CBF497D">
      <w:pPr>
        <w:pStyle w:val="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②椰壳活性炭需采用新碳，不得采用回收碳。厂内原有废弃活性炭需厂家回收处理。</w:t>
      </w:r>
    </w:p>
    <w:p w14:paraId="0D80D439">
      <w:pPr>
        <w:pStyle w:val="2"/>
        <w:numPr>
          <w:ilvl w:val="0"/>
          <w:numId w:val="0"/>
        </w:numPr>
        <w:snapToGrid/>
        <w:spacing w:line="360" w:lineRule="auto"/>
        <w:ind w:firstLine="600" w:firstLineChars="2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③保证产品是全新且质量合格的正品，产品符合采购人使用要求，并提供相关出厂报告及检测合格证明。</w:t>
      </w:r>
    </w:p>
    <w:p w14:paraId="726C6CF1">
      <w:pPr>
        <w:pStyle w:val="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w:t>
      </w:r>
      <w:r>
        <w:rPr>
          <w:rFonts w:hint="eastAsia" w:ascii="仿宋" w:hAnsi="仿宋" w:eastAsia="仿宋" w:cs="仿宋"/>
          <w:sz w:val="30"/>
          <w:szCs w:val="30"/>
          <w:highlight w:val="none"/>
          <w:lang w:val="en-US" w:eastAsia="zh-CN"/>
        </w:rPr>
        <w:t>20.04万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0BB5A9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w:t>
      </w:r>
    </w:p>
    <w:p w14:paraId="60780F04">
      <w:pPr>
        <w:pStyle w:val="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5.本项目内容不允许分包。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879"/>
      <w:bookmarkStart w:id="8" w:name="_Toc530583922"/>
      <w:bookmarkStart w:id="9" w:name="_Toc530583880"/>
      <w:bookmarkStart w:id="10"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9月24</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0575-85791916</w:t>
      </w:r>
    </w:p>
    <w:p w14:paraId="65DAD77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9</w:t>
      </w:r>
      <w:r>
        <w:rPr>
          <w:rFonts w:hint="eastAsia" w:ascii="仿宋_GB2312" w:eastAsia="仿宋_GB2312"/>
          <w:sz w:val="30"/>
          <w:szCs w:val="30"/>
        </w:rPr>
        <w:t>月</w:t>
      </w:r>
      <w:r>
        <w:rPr>
          <w:rFonts w:hint="eastAsia" w:ascii="仿宋_GB2312" w:eastAsia="仿宋_GB2312"/>
          <w:sz w:val="30"/>
          <w:szCs w:val="30"/>
          <w:lang w:val="en-US" w:eastAsia="zh-CN"/>
        </w:rPr>
        <w:t>23</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9月18</w:t>
      </w:r>
      <w:r>
        <w:rPr>
          <w:rFonts w:hint="eastAsia" w:ascii="仿宋_GB2312" w:eastAsia="仿宋_GB2312"/>
          <w:sz w:val="30"/>
          <w:szCs w:val="30"/>
        </w:rPr>
        <w:t>日</w:t>
      </w:r>
    </w:p>
    <w:p w14:paraId="10E9B901">
      <w:pPr>
        <w:pStyle w:val="2"/>
        <w:rPr>
          <w:rFonts w:hint="eastAsia" w:ascii="仿宋_GB2312" w:eastAsia="仿宋_GB2312"/>
          <w:sz w:val="30"/>
          <w:szCs w:val="30"/>
        </w:rPr>
      </w:pPr>
    </w:p>
    <w:p w14:paraId="3A86D49D">
      <w:pPr>
        <w:pStyle w:val="2"/>
        <w:rPr>
          <w:rFonts w:hint="eastAsia" w:ascii="仿宋_GB2312" w:eastAsia="仿宋_GB2312"/>
          <w:sz w:val="30"/>
          <w:szCs w:val="30"/>
        </w:rPr>
      </w:pPr>
    </w:p>
    <w:p w14:paraId="4EFDF728">
      <w:pPr>
        <w:pStyle w:val="2"/>
        <w:rPr>
          <w:rFonts w:hint="eastAsia" w:ascii="仿宋_GB2312" w:eastAsia="仿宋_GB2312"/>
          <w:sz w:val="30"/>
          <w:szCs w:val="30"/>
        </w:rPr>
      </w:pPr>
    </w:p>
    <w:p w14:paraId="41CF67AE">
      <w:pPr>
        <w:pStyle w:val="2"/>
        <w:rPr>
          <w:rFonts w:hint="eastAsia" w:ascii="仿宋_GB2312" w:eastAsia="仿宋_GB2312"/>
          <w:sz w:val="30"/>
          <w:szCs w:val="30"/>
        </w:rPr>
      </w:pPr>
    </w:p>
    <w:p w14:paraId="1B8DEF0A">
      <w:pPr>
        <w:pStyle w:val="2"/>
        <w:rPr>
          <w:rFonts w:hint="eastAsia" w:ascii="仿宋_GB2312" w:eastAsia="仿宋_GB2312"/>
          <w:sz w:val="30"/>
          <w:szCs w:val="30"/>
        </w:rPr>
      </w:pPr>
    </w:p>
    <w:p w14:paraId="2CCD9DA2">
      <w:pPr>
        <w:pStyle w:val="2"/>
        <w:rPr>
          <w:rFonts w:hint="eastAsia" w:ascii="仿宋_GB2312" w:eastAsia="仿宋_GB2312"/>
          <w:sz w:val="30"/>
          <w:szCs w:val="30"/>
        </w:rPr>
      </w:pPr>
    </w:p>
    <w:p w14:paraId="7E7052C1">
      <w:pPr>
        <w:pStyle w:val="2"/>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75AC62A6">
      <w:pPr>
        <w:pageBreakBefore w:val="0"/>
        <w:kinsoku/>
        <w:wordWrap/>
        <w:topLinePunct w:val="0"/>
        <w:bidi w:val="0"/>
        <w:snapToGrid w:val="0"/>
        <w:spacing w:line="360" w:lineRule="auto"/>
        <w:ind w:right="-176" w:rightChars="-84" w:firstLine="600"/>
        <w:outlineLvl w:val="1"/>
        <w:rPr>
          <w:rFonts w:hint="eastAsia" w:ascii="仿宋_GB2312" w:hAnsi="宋体" w:eastAsia="仿宋_GB2312"/>
          <w:sz w:val="30"/>
          <w:szCs w:val="30"/>
        </w:rPr>
      </w:pPr>
      <w:r>
        <w:rPr>
          <w:rFonts w:hint="eastAsia" w:ascii="仿宋_GB2312" w:eastAsia="仿宋_GB2312"/>
          <w:b/>
          <w:bCs/>
          <w:sz w:val="30"/>
          <w:szCs w:val="30"/>
        </w:rPr>
        <w:t>五、报价文件的组成。</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2</w:t>
      </w:r>
      <w:r>
        <w:rPr>
          <w:rFonts w:hint="eastAsia" w:ascii="仿宋_GB2312" w:hAnsi="宋体" w:eastAsia="仿宋_GB2312"/>
          <w:sz w:val="30"/>
          <w:szCs w:val="30"/>
        </w:rPr>
        <w:t>.报价一览表（附件</w:t>
      </w:r>
      <w:r>
        <w:rPr>
          <w:rFonts w:hint="eastAsia" w:ascii="仿宋_GB2312" w:hAnsi="宋体" w:eastAsia="仿宋_GB2312"/>
          <w:sz w:val="30"/>
          <w:szCs w:val="30"/>
          <w:lang w:val="en-US" w:eastAsia="zh-CN"/>
        </w:rPr>
        <w:t>一</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eastAsia" w:ascii="仿宋_GB2312" w:hAnsi="宋体" w:eastAsia="仿宋_GB2312"/>
          <w:sz w:val="30"/>
          <w:szCs w:val="30"/>
          <w:lang w:val="en-US" w:eastAsia="zh-CN"/>
        </w:rPr>
        <w:t>3</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三</w:t>
      </w:r>
      <w:r>
        <w:rPr>
          <w:rFonts w:hint="eastAsia" w:ascii="仿宋_GB2312" w:hAnsi="宋体" w:eastAsia="仿宋_GB2312"/>
          <w:sz w:val="30"/>
          <w:szCs w:val="30"/>
        </w:rPr>
        <w:t>）；</w:t>
      </w:r>
    </w:p>
    <w:p w14:paraId="373BC780">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lang w:val="en-US"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资质证明及装订密封要求：</w:t>
      </w:r>
    </w:p>
    <w:p w14:paraId="773EEBF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资质证明：提供加盖单位公章的、在有效期限内的营业执照复印件。</w:t>
      </w:r>
    </w:p>
    <w:p w14:paraId="579B84A3">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装订密封：报价文件须规范装订并密封。</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sz w:val="30"/>
          <w:szCs w:val="30"/>
        </w:rPr>
        <w:t>封面注明：密封袋（或密封包装）封面须清晰注明：采购项目名称、采购项目编号、报价单位名称、联系人、联系方式。</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4"/>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6"/>
        <w:rPr>
          <w:rFonts w:hint="eastAsia" w:ascii="仿宋" w:hAnsi="仿宋" w:eastAsia="仿宋" w:cs="仿宋"/>
          <w:snapToGrid w:val="0"/>
          <w:sz w:val="44"/>
          <w:szCs w:val="44"/>
        </w:rPr>
      </w:pPr>
    </w:p>
    <w:p w14:paraId="1643322B">
      <w:pPr>
        <w:pStyle w:val="12"/>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711401CF">
      <w:pPr>
        <w:rPr>
          <w:rFonts w:hint="eastAsia" w:ascii="仿宋" w:hAnsi="仿宋" w:eastAsia="仿宋" w:cs="仿宋"/>
          <w:snapToGrid w:val="0"/>
          <w:sz w:val="44"/>
          <w:szCs w:val="44"/>
        </w:rPr>
      </w:pPr>
    </w:p>
    <w:p w14:paraId="442412A4">
      <w:pPr>
        <w:rPr>
          <w:rFonts w:hint="eastAsia" w:ascii="仿宋" w:hAnsi="仿宋" w:eastAsia="仿宋" w:cs="仿宋"/>
          <w:snapToGrid w:val="0"/>
          <w:sz w:val="44"/>
          <w:szCs w:val="44"/>
        </w:rPr>
      </w:pPr>
    </w:p>
    <w:p w14:paraId="3B113E72">
      <w:pPr>
        <w:pStyle w:val="4"/>
        <w:numPr>
          <w:ilvl w:val="0"/>
          <w:numId w:val="0"/>
        </w:numPr>
        <w:jc w:val="center"/>
        <w:rPr>
          <w:rFonts w:hint="eastAsia" w:ascii="仿宋" w:hAnsi="仿宋" w:eastAsia="仿宋" w:cs="仿宋"/>
          <w:b w:val="0"/>
          <w:bCs/>
          <w:snapToGrid w:val="0"/>
          <w:sz w:val="44"/>
        </w:rPr>
      </w:pPr>
      <w:bookmarkStart w:id="11" w:name="_Toc29094"/>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本项目为单次供货项目，供货方须在接到采购人送货通知后，10个工作日内将全部货物送至采购人指定地点并完成卸货、就位，运输及卸货过程中产生的损毁、灭失风险由供货方承担。</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4"/>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4"/>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3011"/>
      <w:r>
        <w:rPr>
          <w:rFonts w:hint="eastAsia" w:ascii="仿宋" w:hAnsi="仿宋" w:eastAsia="仿宋" w:cs="仿宋"/>
          <w:snapToGrid w:val="0"/>
          <w:sz w:val="44"/>
          <w:szCs w:val="44"/>
          <w:highlight w:val="none"/>
          <w:lang w:val="en-US" w:eastAsia="zh-CN"/>
        </w:rPr>
        <w:t>合同主要条款（供参考）</w:t>
      </w:r>
      <w:bookmarkEnd w:id="13"/>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highlight w:val="none"/>
        </w:rPr>
      </w:pPr>
      <w:r>
        <w:rPr>
          <w:rFonts w:hint="eastAsia" w:ascii="Times New Roman" w:hAnsi="Times New Roman" w:eastAsia="方正仿宋_GBK" w:cs="Times New Roman"/>
          <w:sz w:val="28"/>
          <w:szCs w:val="28"/>
          <w:highlight w:val="none"/>
        </w:rPr>
        <w:t>经</w:t>
      </w:r>
      <w:r>
        <w:rPr>
          <w:rFonts w:hint="eastAsia" w:eastAsia="方正仿宋_GBK" w:cs="Times New Roman"/>
          <w:sz w:val="28"/>
          <w:szCs w:val="28"/>
          <w:highlight w:val="none"/>
          <w:lang w:val="en-US" w:eastAsia="zh-CN"/>
        </w:rPr>
        <w:t>甲乙</w:t>
      </w:r>
      <w:r>
        <w:rPr>
          <w:rFonts w:hint="eastAsia" w:ascii="Times New Roman" w:hAnsi="Times New Roman" w:eastAsia="方正仿宋_GBK" w:cs="Times New Roman"/>
          <w:sz w:val="28"/>
          <w:szCs w:val="28"/>
          <w:highlight w:val="none"/>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711"/>
        <w:gridCol w:w="1167"/>
        <w:gridCol w:w="1243"/>
        <w:gridCol w:w="1633"/>
        <w:gridCol w:w="1627"/>
      </w:tblGrid>
      <w:tr w14:paraId="29B27345">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产品名称</w:t>
            </w:r>
          </w:p>
        </w:tc>
        <w:tc>
          <w:tcPr>
            <w:tcW w:w="1711"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型号规格</w:t>
            </w:r>
          </w:p>
        </w:tc>
        <w:tc>
          <w:tcPr>
            <w:tcW w:w="1167"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数量</w:t>
            </w:r>
          </w:p>
        </w:tc>
        <w:tc>
          <w:tcPr>
            <w:tcW w:w="1243" w:type="dxa"/>
            <w:tcBorders>
              <w:top w:val="single" w:color="auto" w:sz="4" w:space="0"/>
              <w:left w:val="nil"/>
              <w:bottom w:val="single" w:color="auto" w:sz="4" w:space="0"/>
              <w:right w:val="single" w:color="auto" w:sz="4" w:space="0"/>
            </w:tcBorders>
            <w:noWrap w:val="0"/>
            <w:vAlign w:val="center"/>
          </w:tcPr>
          <w:p w14:paraId="2ABB2C5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单位</w:t>
            </w:r>
          </w:p>
        </w:tc>
        <w:tc>
          <w:tcPr>
            <w:tcW w:w="1633" w:type="dxa"/>
            <w:tcBorders>
              <w:top w:val="single" w:color="auto" w:sz="4" w:space="0"/>
              <w:left w:val="nil"/>
              <w:bottom w:val="single" w:color="auto" w:sz="4" w:space="0"/>
              <w:right w:val="single" w:color="auto" w:sz="4" w:space="0"/>
            </w:tcBorders>
            <w:noWrap w:val="0"/>
            <w:vAlign w:val="center"/>
          </w:tcPr>
          <w:p w14:paraId="34E3F6EA">
            <w:pPr>
              <w:adjustRightInd/>
              <w:snapToGrid/>
              <w:spacing w:after="0"/>
              <w:jc w:val="center"/>
              <w:rPr>
                <w:rFonts w:hint="eastAsia"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单价</w:t>
            </w:r>
          </w:p>
          <w:p w14:paraId="30345EC7">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 （元）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711"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1167"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1243" w:type="dxa"/>
            <w:tcBorders>
              <w:top w:val="nil"/>
              <w:left w:val="nil"/>
              <w:bottom w:val="single" w:color="auto" w:sz="4" w:space="0"/>
              <w:right w:val="single" w:color="auto" w:sz="4" w:space="0"/>
            </w:tcBorders>
            <w:shd w:val="clear" w:color="000000" w:fill="FFFFFF"/>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5"/>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7"/>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本项目为单次供货项目，乙方须在接到甲方送货通知后，10个工作日内将全部货物送至甲方指定地点并完成卸货、就位，运输及卸货过程中产生的损毁、灭失风险由乙方承担</w:t>
      </w:r>
      <w:r>
        <w:rPr>
          <w:rFonts w:hint="eastAsia" w:ascii="方正仿宋_GBK" w:hAnsi="方正仿宋_GBK" w:eastAsia="方正仿宋_GBK" w:cs="方正仿宋_GBK"/>
          <w:sz w:val="28"/>
          <w:szCs w:val="28"/>
          <w:highlight w:val="none"/>
        </w:rPr>
        <w:t>。</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3.供货要求：交货时，应附有相应的装货清单、合格证及相关技术资料。（如有）</w:t>
      </w:r>
    </w:p>
    <w:p w14:paraId="44C320E3">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第三条 技术要求</w:t>
      </w:r>
    </w:p>
    <w:p w14:paraId="57F583EF">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1.碘值大于1000mg/g，粒度在8-24目且大于95%，强度大于95%。</w:t>
      </w:r>
    </w:p>
    <w:p w14:paraId="086C4702">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2.椰壳活性炭需采用新碳，不得采用回收碳。厂内原有废弃活性炭需厂家回收处理。</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3.保证产品是全新且质量合格的正品，产品符合甲方使用要求，并提供相关出厂报告及检测合格证明</w:t>
      </w:r>
      <w:r>
        <w:rPr>
          <w:rFonts w:hint="eastAsia" w:ascii="方正仿宋_GBK" w:hAnsi="方正仿宋_GBK" w:eastAsia="方正仿宋_GBK" w:cs="方正仿宋_GBK"/>
          <w:sz w:val="28"/>
          <w:szCs w:val="28"/>
          <w:highlight w:val="none"/>
        </w:rPr>
        <w:t>。</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元整，本合同为</w:t>
      </w:r>
      <w:r>
        <w:rPr>
          <w:rFonts w:hint="eastAsia" w:ascii="方正仿宋_GBK" w:hAnsi="方正仿宋_GBK" w:eastAsia="方正仿宋_GBK" w:cs="方正仿宋_GBK"/>
          <w:sz w:val="28"/>
          <w:szCs w:val="28"/>
          <w:highlight w:val="none"/>
        </w:rPr>
        <w:t>固定</w:t>
      </w:r>
      <w:r>
        <w:rPr>
          <w:rFonts w:hint="eastAsia" w:ascii="方正仿宋_GBK" w:hAnsi="方正仿宋_GBK" w:eastAsia="方正仿宋_GBK" w:cs="方正仿宋_GBK"/>
          <w:sz w:val="28"/>
          <w:szCs w:val="28"/>
          <w:highlight w:val="none"/>
          <w:lang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金额包含包装费、运费、税金、保险费等， 双方不能因市场价格变化而调整合同价。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全部货物运送至甲方指定地点，且经由甲方验收合格后，乙方提供经双方确认的送货清单及等额、合法、有效的增值税专用发票，甲方自收到准确清单和发票且核对无误后，于次二月完成货款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履约保证金（合同价的5%），其履约保证金于合同期满且无未决质量争议后无息退还。</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4" w:name="_Toc27941"/>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4"/>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w:t>
      </w:r>
      <w:r>
        <w:rPr>
          <w:rFonts w:hint="eastAsia" w:ascii="方正仿宋_GBK" w:hAnsi="方正仿宋_GBK" w:eastAsia="方正仿宋_GBK" w:cs="方正仿宋_GBK"/>
          <w:sz w:val="28"/>
          <w:szCs w:val="28"/>
          <w:lang w:val="en-US" w:eastAsia="zh-CN"/>
        </w:rPr>
        <w:t>合同</w:t>
      </w:r>
      <w:r>
        <w:rPr>
          <w:rFonts w:hint="eastAsia" w:ascii="方正仿宋_GBK" w:hAnsi="方正仿宋_GBK" w:eastAsia="方正仿宋_GBK" w:cs="方正仿宋_GBK"/>
          <w:sz w:val="28"/>
          <w:szCs w:val="28"/>
        </w:rPr>
        <w:t>期内的质量担保责任，对于必须安装运转后才能发现的隐蔽瑕疵，甲方有权在</w:t>
      </w:r>
      <w:r>
        <w:rPr>
          <w:rFonts w:hint="eastAsia" w:ascii="方正仿宋_GBK" w:hAnsi="方正仿宋_GBK" w:eastAsia="方正仿宋_GBK" w:cs="方正仿宋_GBK"/>
          <w:sz w:val="28"/>
          <w:szCs w:val="28"/>
          <w:lang w:val="en-US" w:eastAsia="zh-CN"/>
        </w:rPr>
        <w:t>合同</w:t>
      </w:r>
      <w:r>
        <w:rPr>
          <w:rFonts w:hint="eastAsia" w:ascii="方正仿宋_GBK" w:hAnsi="方正仿宋_GBK" w:eastAsia="方正仿宋_GBK" w:cs="方正仿宋_GBK"/>
          <w:sz w:val="28"/>
          <w:szCs w:val="28"/>
        </w:rPr>
        <w:t>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5" w:name="_Toc22019"/>
      <w:r>
        <w:rPr>
          <w:rFonts w:ascii="Times New Roman" w:hAnsi="Times New Roman" w:eastAsia="黑体"/>
          <w:kern w:val="2"/>
          <w:sz w:val="28"/>
          <w:szCs w:val="28"/>
        </w:rPr>
        <w:t>第七条 包装标准、包装物的供应与回收</w:t>
      </w:r>
      <w:bookmarkEnd w:id="15"/>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6" w:name="_Toc24523"/>
      <w:r>
        <w:rPr>
          <w:rFonts w:ascii="Times New Roman" w:hAnsi="Times New Roman" w:eastAsia="黑体"/>
          <w:sz w:val="28"/>
          <w:szCs w:val="28"/>
        </w:rPr>
        <w:t>第八条 质量保证</w:t>
      </w:r>
      <w:bookmarkEnd w:id="16"/>
    </w:p>
    <w:p w14:paraId="3146C0BA">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乙</w:t>
      </w:r>
      <w:r>
        <w:rPr>
          <w:rFonts w:hint="eastAsia" w:ascii="Times New Roman" w:hAnsi="Times New Roman" w:eastAsia="方正仿宋_GBK"/>
          <w:sz w:val="28"/>
          <w:szCs w:val="28"/>
          <w:lang w:eastAsia="zh-CN"/>
        </w:rPr>
        <w:t>方</w:t>
      </w:r>
      <w:r>
        <w:rPr>
          <w:rFonts w:ascii="Times New Roman" w:hAnsi="Times New Roman" w:eastAsia="方正仿宋_GBK"/>
          <w:sz w:val="28"/>
          <w:szCs w:val="28"/>
        </w:rPr>
        <w:t>保证其供应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7" w:name="_Toc29432"/>
      <w:r>
        <w:rPr>
          <w:rFonts w:hint="eastAsia" w:ascii="Times New Roman" w:hAnsi="Times New Roman" w:eastAsia="黑体" w:cs="Times New Roman"/>
          <w:sz w:val="28"/>
          <w:szCs w:val="28"/>
          <w:lang w:val="en-US" w:eastAsia="zh-CN" w:bidi="ar-SA"/>
        </w:rPr>
        <w:t>第九条 违约责任</w:t>
      </w:r>
      <w:bookmarkEnd w:id="17"/>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8" w:name="_Toc28370"/>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8"/>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19" w:name="_Toc18000"/>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19"/>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0" w:name="_Toc23840"/>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0"/>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1414"/>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1"/>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14281"/>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2"/>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56EB3E8B">
      <w:pPr>
        <w:pStyle w:val="34"/>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r>
        <w:rPr>
          <w:rFonts w:hint="eastAsia" w:ascii="方正仿宋_GBK" w:hAnsi="方正仿宋_GBK" w:eastAsia="方正仿宋_GBK" w:cs="方正仿宋_GBK"/>
          <w:sz w:val="28"/>
          <w:szCs w:val="28"/>
        </w:rPr>
        <w:br w:type="page"/>
      </w:r>
      <w:bookmarkStart w:id="23" w:name="_Toc2257"/>
      <w:r>
        <w:rPr>
          <w:rFonts w:hint="eastAsia" w:ascii="Times New Roman" w:hAnsi="Times New Roman" w:eastAsia="方正仿宋_GBK" w:cs="Times New Roman"/>
          <w:b/>
          <w:bCs/>
          <w:sz w:val="28"/>
          <w:szCs w:val="28"/>
          <w:highlight w:val="none"/>
          <w:lang w:val="en-US" w:eastAsia="zh-CN"/>
        </w:rPr>
        <w:t>附件：</w:t>
      </w:r>
      <w:bookmarkEnd w:id="23"/>
    </w:p>
    <w:p w14:paraId="4ED188FA">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680823BA">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29AC2F4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椰壳活性炭采购项目</w:t>
      </w:r>
    </w:p>
    <w:p w14:paraId="5BF27F0E">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3B0C6F86">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23A184F8">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3396A70F">
      <w:pPr>
        <w:pStyle w:val="34"/>
        <w:keepNext w:val="0"/>
        <w:keepLines w:val="0"/>
        <w:pageBreakBefore w:val="0"/>
        <w:widowControl/>
        <w:kinsoku/>
        <w:wordWrap/>
        <w:overflowPunct/>
        <w:topLinePunct w:val="0"/>
        <w:autoSpaceDE/>
        <w:autoSpaceDN/>
        <w:bidi w:val="0"/>
        <w:adjustRightInd w:val="0"/>
        <w:snapToGrid w:val="0"/>
        <w:spacing w:after="0"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第一条 甲、乙双方的责任</w:t>
      </w:r>
    </w:p>
    <w:p w14:paraId="41CA0BED">
      <w:pPr>
        <w:pStyle w:val="34"/>
        <w:keepNext w:val="0"/>
        <w:keepLines w:val="0"/>
        <w:pageBreakBefore w:val="0"/>
        <w:widowControl/>
        <w:kinsoku/>
        <w:wordWrap/>
        <w:overflowPunct/>
        <w:topLinePunct w:val="0"/>
        <w:autoSpaceDE/>
        <w:autoSpaceDN/>
        <w:bidi w:val="0"/>
        <w:adjustRightInd w:val="0"/>
        <w:snapToGrid w:val="0"/>
        <w:spacing w:line="579" w:lineRule="atLeast"/>
        <w:ind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b w:val="0"/>
          <w:bCs w:val="0"/>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应严格遵守国家关于市场准入、项目招标投和市场活动等有关</w:t>
      </w:r>
      <w:r>
        <w:rPr>
          <w:rFonts w:hint="eastAsia" w:ascii="Times New Roman" w:hAnsi="Times New Roman" w:eastAsia="方正仿宋_GBK" w:cs="Times New Roman"/>
          <w:sz w:val="28"/>
          <w:szCs w:val="28"/>
          <w:highlight w:val="none"/>
          <w:lang w:val="en-US" w:eastAsia="zh-CN"/>
        </w:rPr>
        <w:t>法律法规</w:t>
      </w:r>
      <w:r>
        <w:rPr>
          <w:rFonts w:hint="default" w:ascii="Times New Roman" w:hAnsi="Times New Roman" w:eastAsia="方正仿宋_GBK" w:cs="Times New Roman"/>
          <w:sz w:val="28"/>
          <w:szCs w:val="28"/>
          <w:highlight w:val="none"/>
          <w:lang w:val="en-US" w:eastAsia="zh-CN"/>
        </w:rPr>
        <w:t>，相关政策，以及廉政建设的各项规定。</w:t>
      </w:r>
    </w:p>
    <w:p w14:paraId="5F35611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严格执行项目承发包合同文件，自觉按合同办事。</w:t>
      </w:r>
    </w:p>
    <w:p w14:paraId="2E7EA6D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方正黑体_GBK" w:hAnsi="方正黑体_GBK" w:eastAsia="方正黑体_GBK" w:cs="方正黑体_GBK"/>
          <w:b w:val="0"/>
          <w:bCs w:val="0"/>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业务活动必须坚持公开、公平、公正、诚信、透明的原则（除法律法规另有规定者外），不得为获取不正当的利益，损害国家、集体和对方利益，不得违反项目管理、施工安装的规章制度。</w:t>
      </w:r>
    </w:p>
    <w:p w14:paraId="445E1B64">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发现对方在业务活动中有违规、违纪、违法行为的，应及时提醒对方，情节严重的，应向其上级主管部门或纪检监察、司法等有关机关举报。</w:t>
      </w:r>
    </w:p>
    <w:p w14:paraId="214B227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第二条 甲方的责任</w:t>
      </w:r>
    </w:p>
    <w:p w14:paraId="528C214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甲方的领导和从事该项目管理的工作人员，在项目服务的事前、事中、事后应遵守以下规定：</w:t>
      </w:r>
    </w:p>
    <w:p w14:paraId="216B087B">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不准向乙方和相关单位索要或接受回扣、礼金、有价证券、贵重物品和好处费、感谢费等。</w:t>
      </w:r>
    </w:p>
    <w:p w14:paraId="05413C5A">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不准在乙方和相关单位报销任何应由甲方或个人支付的费用。</w:t>
      </w:r>
    </w:p>
    <w:p w14:paraId="608528D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不准要求、暗示和接受乙方和相关单位为个人装修住房、婚丧嫁娶、配偶子女的工作安排以及出国（境）、旅游等提供方便。</w:t>
      </w:r>
    </w:p>
    <w:p w14:paraId="41C126F2">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不准参加有可能影响公正执行公务的乙方和相关单位的宴请和健身、娱乐等活动。</w:t>
      </w:r>
    </w:p>
    <w:p w14:paraId="1F2E2E4F">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（五）</w:t>
      </w:r>
      <w:r>
        <w:rPr>
          <w:rFonts w:hint="default" w:ascii="Times New Roman" w:hAnsi="Times New Roman" w:eastAsia="方正仿宋_GBK" w:cs="Times New Roman"/>
          <w:sz w:val="28"/>
          <w:szCs w:val="28"/>
          <w:highlight w:val="none"/>
          <w:lang w:val="en-US" w:eastAsia="zh-CN"/>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7540230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第三条 乙方的责任</w:t>
      </w:r>
    </w:p>
    <w:p w14:paraId="650C73F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应与甲方保持正常的业务交往，按照有关法律法规和程序开展业务工作，严格执行项目的有关方针、政策，并遵守以下规定：</w:t>
      </w:r>
    </w:p>
    <w:p w14:paraId="7A8A03C9">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不准以任何理由向甲方、相关单位及其工作人员索要、接受或赠送礼金、有价证券、贵重物品和回扣、好处费、感谢费等。</w:t>
      </w:r>
    </w:p>
    <w:p w14:paraId="5748F485">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不准以任何理由为甲方和相关单位报销应由对方或个人支付的费用。</w:t>
      </w:r>
    </w:p>
    <w:p w14:paraId="721334D7">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（三）</w:t>
      </w:r>
      <w:r>
        <w:rPr>
          <w:rFonts w:hint="default" w:ascii="Times New Roman" w:hAnsi="Times New Roman" w:eastAsia="方正仿宋_GBK" w:cs="Times New Roman"/>
          <w:sz w:val="28"/>
          <w:szCs w:val="28"/>
          <w:highlight w:val="none"/>
          <w:lang w:val="en-US" w:eastAsia="zh-CN"/>
        </w:rPr>
        <w:t>不准接受或暗示为甲方、相关单位或个人装修住房、婚丧嫁娶、配偶子女的工作安排以及出国（境）、旅游等提供方便。</w:t>
      </w:r>
    </w:p>
    <w:p w14:paraId="052A79F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（四）</w:t>
      </w:r>
      <w:r>
        <w:rPr>
          <w:rFonts w:hint="default" w:ascii="Times New Roman" w:hAnsi="Times New Roman" w:eastAsia="方正仿宋_GBK" w:cs="Times New Roman"/>
          <w:sz w:val="28"/>
          <w:szCs w:val="28"/>
          <w:highlight w:val="none"/>
          <w:lang w:val="en-US" w:eastAsia="zh-CN"/>
        </w:rPr>
        <w:t>不准以任何理由为甲方、相关单位或个人组织有可能影响公正执行公务的宴请、健身、娱乐等活动。</w:t>
      </w:r>
    </w:p>
    <w:p w14:paraId="7A950F7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eastAsia" w:ascii="方正黑体_GBK" w:hAnsi="方正黑体_GBK" w:eastAsia="方正黑体_GBK" w:cs="方正黑体_GBK"/>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第四条 违约责任</w:t>
      </w:r>
    </w:p>
    <w:p w14:paraId="6BC0231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（一）</w:t>
      </w:r>
      <w:r>
        <w:rPr>
          <w:rFonts w:hint="default" w:ascii="Times New Roman" w:hAnsi="Times New Roman" w:eastAsia="方正仿宋_GBK" w:cs="Times New Roman"/>
          <w:sz w:val="28"/>
          <w:szCs w:val="28"/>
          <w:highlight w:val="none"/>
          <w:lang w:val="en-US" w:eastAsia="zh-CN"/>
        </w:rPr>
        <w:t>甲方工作人员有违反本责任书第一、二条责任行为的，按照管理权限，依据有关法律法规和规定给予党纪、政纪处分或组织处理；涉嫌犯罪的，移交司法机关追究刑事责任；给乙方单位造成经济损失的，应予以赔偿。</w:t>
      </w:r>
    </w:p>
    <w:p w14:paraId="7F42B543">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（二）</w:t>
      </w:r>
      <w:r>
        <w:rPr>
          <w:rFonts w:hint="default" w:ascii="Times New Roman" w:hAnsi="Times New Roman" w:eastAsia="方正仿宋_GBK" w:cs="Times New Roman"/>
          <w:sz w:val="28"/>
          <w:szCs w:val="28"/>
          <w:highlight w:val="none"/>
          <w:lang w:val="en-US" w:eastAsia="zh-CN"/>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7F81918D">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第五条</w:t>
      </w:r>
      <w:r>
        <w:rPr>
          <w:rFonts w:hint="default" w:ascii="Times New Roman" w:hAnsi="Times New Roman" w:eastAsia="方正仿宋_GBK" w:cs="Times New Roman"/>
          <w:sz w:val="28"/>
          <w:szCs w:val="28"/>
          <w:highlight w:val="none"/>
          <w:lang w:val="en-US" w:eastAsia="zh-CN"/>
        </w:rPr>
        <w:t xml:space="preserve">  本责任书作为服务合同的附件，与服务合同具有同等法律效力。经双方签署后立即生效。</w:t>
      </w:r>
    </w:p>
    <w:p w14:paraId="35911D4E">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第六条  </w:t>
      </w:r>
      <w:r>
        <w:rPr>
          <w:rFonts w:hint="default" w:ascii="Times New Roman" w:hAnsi="Times New Roman" w:eastAsia="方正仿宋_GBK" w:cs="Times New Roman"/>
          <w:sz w:val="28"/>
          <w:szCs w:val="28"/>
          <w:highlight w:val="none"/>
          <w:lang w:val="en-US" w:eastAsia="zh-CN"/>
        </w:rPr>
        <w:t>本责任书的有效期为双方签署之日起至该服务项目质保期结束时止。</w:t>
      </w:r>
    </w:p>
    <w:p w14:paraId="20F34458">
      <w:pPr>
        <w:pStyle w:val="34"/>
        <w:keepNext w:val="0"/>
        <w:keepLines w:val="0"/>
        <w:pageBreakBefore w:val="0"/>
        <w:widowControl/>
        <w:kinsoku/>
        <w:wordWrap/>
        <w:overflowPunct/>
        <w:topLinePunct w:val="0"/>
        <w:autoSpaceDE/>
        <w:autoSpaceDN/>
        <w:bidi w:val="0"/>
        <w:adjustRightInd w:val="0"/>
        <w:snapToGrid w:val="0"/>
        <w:spacing w:line="579" w:lineRule="atLeast"/>
        <w:ind w:left="0" w:leftChars="0" w:firstLine="560" w:firstLineChars="200"/>
        <w:contextualSpacing/>
        <w:jc w:val="both"/>
        <w:textAlignment w:val="auto"/>
        <w:rPr>
          <w:rFonts w:hint="default" w:ascii="Times New Roman" w:hAnsi="Times New Roman" w:eastAsia="方正仿宋_GBK" w:cs="Times New Roman"/>
          <w:sz w:val="28"/>
          <w:szCs w:val="28"/>
          <w:highlight w:val="none"/>
          <w:lang w:val="en-US" w:eastAsia="zh-CN"/>
        </w:rPr>
      </w:pPr>
      <w:r>
        <w:rPr>
          <w:rFonts w:hint="eastAsia" w:ascii="方正黑体_GBK" w:hAnsi="方正黑体_GBK" w:eastAsia="方正黑体_GBK" w:cs="方正黑体_GBK"/>
          <w:sz w:val="28"/>
          <w:szCs w:val="28"/>
          <w:highlight w:val="none"/>
          <w:lang w:val="en-US" w:eastAsia="zh-CN"/>
        </w:rPr>
        <w:t xml:space="preserve">第七条  </w:t>
      </w:r>
      <w:r>
        <w:rPr>
          <w:rFonts w:hint="default" w:ascii="Times New Roman" w:hAnsi="Times New Roman" w:eastAsia="方正仿宋_GBK" w:cs="Times New Roman"/>
          <w:sz w:val="28"/>
          <w:szCs w:val="28"/>
          <w:highlight w:val="none"/>
          <w:lang w:val="en-US" w:eastAsia="zh-CN"/>
        </w:rPr>
        <w:t>本责任书一式</w:t>
      </w:r>
      <w:r>
        <w:rPr>
          <w:rFonts w:hint="eastAsia" w:ascii="Times New Roman" w:hAnsi="Times New Roman" w:eastAsia="方正仿宋_GBK" w:cs="Times New Roman"/>
          <w:sz w:val="28"/>
          <w:szCs w:val="28"/>
          <w:highlight w:val="none"/>
          <w:lang w:val="en-US" w:eastAsia="zh-CN"/>
        </w:rPr>
        <w:t>六</w:t>
      </w:r>
      <w:r>
        <w:rPr>
          <w:rFonts w:hint="default" w:ascii="Times New Roman" w:hAnsi="Times New Roman" w:eastAsia="方正仿宋_GBK" w:cs="Times New Roman"/>
          <w:sz w:val="28"/>
          <w:szCs w:val="28"/>
          <w:highlight w:val="none"/>
          <w:lang w:val="en-US" w:eastAsia="zh-CN"/>
        </w:rPr>
        <w:t>份，</w:t>
      </w:r>
      <w:r>
        <w:rPr>
          <w:rFonts w:hint="eastAsia" w:ascii="Times New Roman" w:hAnsi="Times New Roman" w:eastAsia="方正仿宋_GBK" w:cs="Times New Roman"/>
          <w:sz w:val="28"/>
          <w:szCs w:val="28"/>
          <w:highlight w:val="none"/>
          <w:lang w:val="en-US" w:eastAsia="zh-CN"/>
        </w:rPr>
        <w:t>甲方</w:t>
      </w:r>
      <w:r>
        <w:rPr>
          <w:rFonts w:hint="default" w:ascii="Times New Roman" w:hAnsi="Times New Roman" w:eastAsia="方正仿宋_GBK" w:cs="Times New Roman"/>
          <w:sz w:val="28"/>
          <w:szCs w:val="28"/>
          <w:highlight w:val="none"/>
          <w:lang w:eastAsia="zh-CN"/>
        </w:rPr>
        <w:t>五份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乙方</w:t>
      </w:r>
      <w:r>
        <w:rPr>
          <w:rFonts w:hint="default" w:ascii="Times New Roman" w:hAnsi="Times New Roman" w:eastAsia="方正仿宋_GBK" w:cs="Times New Roman"/>
          <w:sz w:val="28"/>
          <w:szCs w:val="28"/>
          <w:highlight w:val="none"/>
          <w:lang w:eastAsia="zh-CN"/>
        </w:rPr>
        <w:t>一份</w:t>
      </w:r>
      <w:r>
        <w:rPr>
          <w:rFonts w:hint="eastAsia" w:ascii="Times New Roman" w:hAnsi="Times New Roman" w:eastAsia="方正仿宋_GBK" w:cs="Times New Roman"/>
          <w:sz w:val="28"/>
          <w:szCs w:val="28"/>
          <w:highlight w:val="none"/>
          <w:lang w:eastAsia="zh-CN"/>
        </w:rPr>
        <w:t>，</w:t>
      </w:r>
      <w:r>
        <w:rPr>
          <w:rFonts w:hint="eastAsia" w:ascii="Times New Roman" w:hAnsi="Times New Roman" w:eastAsia="方正仿宋_GBK" w:cs="Times New Roman"/>
          <w:sz w:val="28"/>
          <w:szCs w:val="28"/>
          <w:highlight w:val="none"/>
          <w:lang w:val="en-US" w:eastAsia="zh-CN"/>
        </w:rPr>
        <w:t>作为合同附件后附</w:t>
      </w:r>
      <w:r>
        <w:rPr>
          <w:rFonts w:hint="default" w:ascii="Times New Roman" w:hAnsi="Times New Roman" w:eastAsia="方正仿宋_GBK" w:cs="Times New Roman"/>
          <w:sz w:val="28"/>
          <w:szCs w:val="28"/>
          <w:highlight w:val="none"/>
          <w:lang w:val="en-US" w:eastAsia="zh-CN"/>
        </w:rPr>
        <w:t>。</w:t>
      </w:r>
    </w:p>
    <w:p w14:paraId="4A29045E">
      <w:pPr>
        <w:pStyle w:val="36"/>
        <w:keepNext w:val="0"/>
        <w:keepLines w:val="0"/>
        <w:pageBreakBefore w:val="0"/>
        <w:kinsoku/>
        <w:wordWrap/>
        <w:overflowPunct/>
        <w:topLinePunct w:val="0"/>
        <w:bidi w:val="0"/>
        <w:adjustRightInd w:val="0"/>
        <w:spacing w:line="579" w:lineRule="atLeast"/>
        <w:textAlignment w:val="auto"/>
        <w:rPr>
          <w:rFonts w:hint="default" w:ascii="Times New Roman" w:hAnsi="Times New Roman" w:eastAsia="方正仿宋_GBK" w:cs="Times New Roman"/>
          <w:color w:val="auto"/>
          <w:highlight w:val="none"/>
        </w:rPr>
      </w:pPr>
    </w:p>
    <w:p w14:paraId="7D2C6DA2">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甲方（盖章）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乙方（盖章）</w:t>
      </w:r>
      <w:r>
        <w:rPr>
          <w:rFonts w:hint="eastAsia" w:ascii="Times New Roman" w:hAnsi="Times New Roman" w:eastAsia="方正仿宋_GBK" w:cs="Times New Roman"/>
          <w:b/>
          <w:bCs/>
          <w:color w:val="auto"/>
          <w:kern w:val="0"/>
          <w:sz w:val="24"/>
          <w:highlight w:val="none"/>
          <w:lang w:val="en-US" w:eastAsia="zh-CN"/>
        </w:rPr>
        <w:t xml:space="preserve"> </w:t>
      </w:r>
    </w:p>
    <w:p w14:paraId="53B6CF94">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法定代表人（签名或盖章）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法定代表人（签名或盖章）</w:t>
      </w:r>
    </w:p>
    <w:p w14:paraId="292D77D1">
      <w:pPr>
        <w:keepNext w:val="0"/>
        <w:keepLines w:val="0"/>
        <w:pageBreakBefore w:val="0"/>
        <w:kinsoku/>
        <w:wordWrap/>
        <w:overflowPunct/>
        <w:topLinePunct w:val="0"/>
        <w:bidi w:val="0"/>
        <w:adjustRightInd w:val="0"/>
        <w:spacing w:after="0" w:line="579" w:lineRule="atLeast"/>
        <w:ind w:left="-420" w:leftChars="-200" w:firstLine="0" w:firstLineChars="0"/>
        <w:jc w:val="both"/>
        <w:textAlignment w:val="auto"/>
        <w:rPr>
          <w:rFonts w:hint="default" w:ascii="Times New Roman" w:hAnsi="Times New Roman" w:eastAsia="方正仿宋_GBK" w:cs="Times New Roman"/>
          <w:b/>
          <w:bCs/>
          <w:color w:val="auto"/>
          <w:kern w:val="0"/>
          <w:sz w:val="24"/>
          <w:highlight w:val="none"/>
        </w:rPr>
      </w:pPr>
      <w:r>
        <w:rPr>
          <w:rFonts w:hint="default" w:ascii="Times New Roman" w:hAnsi="Times New Roman" w:eastAsia="方正仿宋_GBK" w:cs="Times New Roman"/>
          <w:b/>
          <w:bCs/>
          <w:color w:val="auto"/>
          <w:kern w:val="0"/>
          <w:sz w:val="24"/>
          <w:highlight w:val="none"/>
        </w:rPr>
        <w:t xml:space="preserve">或委托代理人（签名）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 xml:space="preserve"> </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或委托代理人（签名）</w:t>
      </w:r>
    </w:p>
    <w:p w14:paraId="5F472F65">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eastAsia" w:ascii="Times New Roman" w:hAnsi="Times New Roman" w:eastAsia="方正仿宋_GBK" w:cs="Times New Roman"/>
          <w:b/>
          <w:bCs/>
          <w:color w:val="auto"/>
          <w:kern w:val="0"/>
          <w:sz w:val="24"/>
          <w:highlight w:val="none"/>
          <w:lang w:val="en-US" w:eastAsia="zh-CN"/>
        </w:rPr>
      </w:pPr>
    </w:p>
    <w:p w14:paraId="66FD5BB8">
      <w:pPr>
        <w:keepNext w:val="0"/>
        <w:keepLines w:val="0"/>
        <w:pageBreakBefore w:val="0"/>
        <w:widowControl/>
        <w:kinsoku/>
        <w:wordWrap/>
        <w:overflowPunct/>
        <w:topLinePunct w:val="0"/>
        <w:bidi w:val="0"/>
        <w:adjustRightInd w:val="0"/>
        <w:snapToGrid w:val="0"/>
        <w:spacing w:after="0" w:line="579" w:lineRule="atLeast"/>
        <w:ind w:left="-420" w:leftChars="-200" w:firstLine="0" w:firstLineChars="0"/>
        <w:jc w:val="center"/>
        <w:textAlignment w:val="auto"/>
        <w:rPr>
          <w:rFonts w:hint="default" w:ascii="Times New Roman" w:hAnsi="Times New Roman" w:eastAsia="方正仿宋_GBK" w:cs="Times New Roman"/>
          <w:b/>
          <w:bCs/>
          <w:color w:val="auto"/>
          <w:kern w:val="0"/>
          <w:sz w:val="24"/>
          <w:highlight w:val="none"/>
          <w:lang w:val="en-US" w:eastAsia="zh-CN"/>
        </w:rPr>
      </w:pPr>
      <w:r>
        <w:rPr>
          <w:rFonts w:hint="eastAsia" w:ascii="Times New Roman" w:hAnsi="Times New Roman" w:eastAsia="方正仿宋_GBK" w:cs="Times New Roman"/>
          <w:b/>
          <w:bCs/>
          <w:color w:val="auto"/>
          <w:kern w:val="0"/>
          <w:sz w:val="24"/>
          <w:highlight w:val="none"/>
          <w:lang w:val="en-US" w:eastAsia="zh-CN"/>
        </w:rPr>
        <w:t xml:space="preserve">     </w:t>
      </w:r>
    </w:p>
    <w:p w14:paraId="60DC584E">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cs="Times New Roman"/>
          <w:b/>
          <w:bCs/>
          <w:color w:val="auto"/>
          <w:kern w:val="0"/>
          <w:sz w:val="24"/>
          <w:highlight w:val="none"/>
          <w:lang w:val="en-US" w:eastAsia="zh-CN"/>
        </w:rPr>
        <w:t xml:space="preserve">                                                                                 </w:t>
      </w:r>
      <w:r>
        <w:rPr>
          <w:rFonts w:hint="eastAsia"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年</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月</w:t>
      </w:r>
      <w:r>
        <w:rPr>
          <w:rFonts w:hint="eastAsia" w:ascii="Times New Roman" w:hAnsi="Times New Roman" w:eastAsia="方正仿宋_GBK" w:cs="Times New Roman"/>
          <w:b/>
          <w:bCs/>
          <w:color w:val="auto"/>
          <w:kern w:val="0"/>
          <w:sz w:val="24"/>
          <w:highlight w:val="none"/>
          <w:lang w:val="en-US" w:eastAsia="zh-CN"/>
        </w:rPr>
        <w:t xml:space="preserve">  </w:t>
      </w:r>
      <w:r>
        <w:rPr>
          <w:rFonts w:hint="default" w:ascii="Times New Roman" w:hAnsi="Times New Roman" w:eastAsia="方正仿宋_GBK" w:cs="Times New Roman"/>
          <w:b/>
          <w:bCs/>
          <w:color w:val="auto"/>
          <w:kern w:val="0"/>
          <w:sz w:val="24"/>
          <w:highlight w:val="none"/>
        </w:rPr>
        <w:t>日</w:t>
      </w: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7DE9D414">
      <w:pPr>
        <w:pStyle w:val="4"/>
        <w:numPr>
          <w:ilvl w:val="0"/>
          <w:numId w:val="0"/>
        </w:numPr>
        <w:jc w:val="center"/>
        <w:rPr>
          <w:rFonts w:hint="eastAsia" w:ascii="仿宋" w:hAnsi="仿宋" w:eastAsia="仿宋" w:cs="仿宋"/>
          <w:snapToGrid w:val="0"/>
          <w:sz w:val="44"/>
          <w:szCs w:val="44"/>
        </w:rPr>
      </w:pPr>
      <w:bookmarkStart w:id="24" w:name="_Toc24500"/>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2"/>
      <w:bookmarkEnd w:id="24"/>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椰壳活性炭采购项目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SX-CG-YK-2608018</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5E0DB714">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743E8D4B">
      <w:pPr>
        <w:jc w:val="left"/>
        <w:outlineLvl w:val="0"/>
        <w:rPr>
          <w:rStyle w:val="20"/>
          <w:rFonts w:hint="eastAsia" w:ascii="仿宋" w:hAnsi="仿宋" w:eastAsia="仿宋" w:cs="仿宋"/>
          <w:sz w:val="30"/>
        </w:rPr>
      </w:pPr>
      <w:bookmarkStart w:id="25" w:name="_Toc14537"/>
      <w:r>
        <w:rPr>
          <w:rStyle w:val="20"/>
          <w:rFonts w:hint="eastAsia" w:ascii="仿宋" w:hAnsi="仿宋" w:eastAsia="仿宋" w:cs="仿宋"/>
          <w:sz w:val="30"/>
        </w:rPr>
        <w:t>附件</w:t>
      </w:r>
      <w:r>
        <w:rPr>
          <w:rStyle w:val="20"/>
          <w:rFonts w:hint="eastAsia" w:ascii="仿宋" w:hAnsi="仿宋" w:eastAsia="仿宋" w:cs="仿宋"/>
          <w:sz w:val="30"/>
          <w:lang w:val="en-US"/>
        </w:rPr>
        <w:t>一：</w:t>
      </w:r>
      <w:bookmarkEnd w:id="25"/>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椰壳活性炭采购 </w:t>
      </w:r>
      <w:r>
        <w:rPr>
          <w:rFonts w:hint="eastAsia" w:ascii="仿宋" w:hAnsi="仿宋" w:eastAsia="仿宋" w:cs="仿宋"/>
          <w:sz w:val="30"/>
          <w:szCs w:val="30"/>
          <w:u w:val="none"/>
          <w:lang w:val="en-US" w:eastAsia="zh-CN"/>
        </w:rPr>
        <w:t>项目。</w:t>
      </w:r>
    </w:p>
    <w:tbl>
      <w:tblPr>
        <w:tblStyle w:val="13"/>
        <w:tblW w:w="5090" w:type="pct"/>
        <w:jc w:val="center"/>
        <w:tblLayout w:type="fixed"/>
        <w:tblCellMar>
          <w:top w:w="0" w:type="dxa"/>
          <w:left w:w="108" w:type="dxa"/>
          <w:bottom w:w="0" w:type="dxa"/>
          <w:right w:w="108" w:type="dxa"/>
        </w:tblCellMar>
      </w:tblPr>
      <w:tblGrid>
        <w:gridCol w:w="672"/>
        <w:gridCol w:w="1689"/>
        <w:gridCol w:w="3055"/>
        <w:gridCol w:w="765"/>
        <w:gridCol w:w="728"/>
        <w:gridCol w:w="1248"/>
        <w:gridCol w:w="1298"/>
      </w:tblGrid>
      <w:tr w14:paraId="3435BD94">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3D0D7A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0F202A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804" w:type="dxa"/>
            <w:tcBorders>
              <w:top w:val="single" w:color="000000" w:sz="4" w:space="0"/>
              <w:left w:val="single" w:color="000000" w:sz="4" w:space="0"/>
              <w:bottom w:val="single" w:color="000000" w:sz="4" w:space="0"/>
              <w:right w:val="single" w:color="000000" w:sz="4" w:space="0"/>
            </w:tcBorders>
            <w:noWrap/>
            <w:vAlign w:val="center"/>
          </w:tcPr>
          <w:p w14:paraId="4B8ECBA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685363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6B44DE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45" w:type="dxa"/>
            <w:tcBorders>
              <w:top w:val="single" w:color="000000" w:sz="4" w:space="0"/>
              <w:left w:val="single" w:color="000000" w:sz="4" w:space="0"/>
              <w:bottom w:val="single" w:color="000000" w:sz="4" w:space="0"/>
              <w:right w:val="single" w:color="000000" w:sz="4" w:space="0"/>
            </w:tcBorders>
            <w:noWrap/>
            <w:vAlign w:val="center"/>
          </w:tcPr>
          <w:p w14:paraId="73D403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w:t>
            </w:r>
          </w:p>
          <w:p w14:paraId="3D92D4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3E492D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金额 </w:t>
            </w:r>
          </w:p>
          <w:p w14:paraId="2EE1F4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56A2B2E7">
        <w:tblPrEx>
          <w:tblCellMar>
            <w:top w:w="0" w:type="dxa"/>
            <w:left w:w="108" w:type="dxa"/>
            <w:bottom w:w="0" w:type="dxa"/>
            <w:right w:w="108" w:type="dxa"/>
          </w:tblCellMar>
        </w:tblPrEx>
        <w:trPr>
          <w:trHeight w:val="1788"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5A2C4A31">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1D5EC9F">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椰壳活性炭</w:t>
            </w:r>
          </w:p>
        </w:tc>
        <w:tc>
          <w:tcPr>
            <w:tcW w:w="2804" w:type="dxa"/>
            <w:tcBorders>
              <w:top w:val="single" w:color="000000" w:sz="4" w:space="0"/>
              <w:left w:val="single" w:color="000000" w:sz="4" w:space="0"/>
              <w:bottom w:val="single" w:color="000000" w:sz="4" w:space="0"/>
              <w:right w:val="single" w:color="000000" w:sz="4" w:space="0"/>
            </w:tcBorders>
            <w:noWrap w:val="0"/>
            <w:vAlign w:val="center"/>
          </w:tcPr>
          <w:p w14:paraId="2AD6938B">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碘值大于1000mg/g，粒度在8-24目且大于95%，强度大于95%，废碳厂家回收处理</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7E6A055">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15</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5783A4AD">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吨</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E6D5E2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7618E386">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572051BB">
      <w:pPr>
        <w:pStyle w:val="10"/>
        <w:rPr>
          <w:rFonts w:hint="eastAsia" w:ascii="仿宋" w:hAnsi="仿宋" w:eastAsia="仿宋" w:cs="仿宋"/>
          <w:highlight w:val="none"/>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元</w:t>
      </w:r>
      <w:r>
        <w:rPr>
          <w:rFonts w:hint="eastAsia" w:ascii="仿宋" w:hAnsi="仿宋" w:eastAsia="仿宋" w:cs="仿宋"/>
          <w:sz w:val="30"/>
          <w:szCs w:val="30"/>
          <w:highlight w:val="none"/>
        </w:rPr>
        <w:t>，税率为</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highlight w:val="none"/>
          <w:lang w:eastAsia="zh-CN"/>
        </w:rPr>
        <w:t>付款方式：</w:t>
      </w:r>
      <w:r>
        <w:rPr>
          <w:rFonts w:hint="eastAsia" w:ascii="仿宋" w:hAnsi="仿宋" w:eastAsia="仿宋" w:cs="仿宋"/>
          <w:sz w:val="30"/>
          <w:szCs w:val="30"/>
          <w:highlight w:val="none"/>
          <w:lang w:val="en-US" w:eastAsia="zh-CN"/>
        </w:rPr>
        <w:t>全部货物运送至采购人指定地点，且经由采购人验收合格后，供货方提供经双方确认的送货清单及等额、合法、有效的增值税专用发票，采购人自收到准确清</w:t>
      </w:r>
      <w:r>
        <w:rPr>
          <w:rFonts w:hint="eastAsia" w:ascii="仿宋" w:hAnsi="仿宋" w:eastAsia="仿宋" w:cs="仿宋"/>
          <w:sz w:val="30"/>
          <w:szCs w:val="30"/>
          <w:lang w:val="en-US" w:eastAsia="zh-CN"/>
        </w:rPr>
        <w:t>单和发票且核对无误后，于次二月完成货款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w:t>
      </w:r>
      <w:bookmarkStart w:id="30" w:name="_GoBack"/>
      <w:r>
        <w:rPr>
          <w:rFonts w:hint="eastAsia" w:ascii="仿宋" w:hAnsi="仿宋" w:eastAsia="仿宋" w:cs="仿宋"/>
          <w:color w:val="auto"/>
          <w:sz w:val="30"/>
          <w:szCs w:val="30"/>
          <w:highlight w:val="none"/>
          <w:lang w:val="en-US" w:eastAsia="zh-CN"/>
        </w:rPr>
        <w:t>20.04</w:t>
      </w:r>
      <w:bookmarkEnd w:id="30"/>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2.该采购项目履约保证金为合同价的5%。供货方于合同签订前将履约保证金打入采购人指定账户。合同期满后，采购人退还履约保证金（无息）。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highlight w:val="none"/>
          <w:lang w:val="en-US" w:eastAsia="zh-CN"/>
        </w:rPr>
        <w:t>4.预成交公示结束后，供货方在收到采购人拟订合同（所</w:t>
      </w:r>
      <w:r>
        <w:rPr>
          <w:rFonts w:hint="eastAsia" w:ascii="仿宋" w:hAnsi="仿宋" w:eastAsia="仿宋" w:cs="仿宋"/>
          <w:color w:val="auto"/>
          <w:sz w:val="30"/>
          <w:szCs w:val="30"/>
          <w:lang w:val="en-US" w:eastAsia="zh-CN"/>
        </w:rPr>
        <w:t>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4033B846">
      <w:pPr>
        <w:spacing w:line="480" w:lineRule="auto"/>
        <w:jc w:val="left"/>
        <w:outlineLvl w:val="0"/>
        <w:rPr>
          <w:rStyle w:val="20"/>
          <w:rFonts w:hint="eastAsia" w:ascii="仿宋" w:hAnsi="仿宋" w:eastAsia="仿宋" w:cs="仿宋"/>
          <w:sz w:val="30"/>
        </w:rPr>
      </w:pPr>
      <w:bookmarkStart w:id="26" w:name="_Toc8510"/>
    </w:p>
    <w:p w14:paraId="4BA40F3E">
      <w:pPr>
        <w:spacing w:line="480" w:lineRule="auto"/>
        <w:jc w:val="left"/>
        <w:outlineLvl w:val="0"/>
        <w:rPr>
          <w:rFonts w:hint="eastAsia" w:ascii="仿宋" w:hAnsi="仿宋" w:eastAsia="仿宋" w:cs="仿宋"/>
          <w:b/>
          <w:spacing w:val="-2"/>
          <w:sz w:val="30"/>
        </w:rPr>
      </w:pPr>
      <w:r>
        <w:rPr>
          <w:rStyle w:val="20"/>
          <w:rFonts w:hint="eastAsia" w:ascii="仿宋" w:hAnsi="仿宋" w:eastAsia="仿宋" w:cs="仿宋"/>
          <w:sz w:val="30"/>
        </w:rPr>
        <w:t>附件</w:t>
      </w:r>
      <w:r>
        <w:rPr>
          <w:rStyle w:val="20"/>
          <w:rFonts w:hint="eastAsia" w:ascii="仿宋" w:hAnsi="仿宋" w:eastAsia="仿宋" w:cs="仿宋"/>
          <w:sz w:val="30"/>
          <w:lang w:val="en-US"/>
        </w:rPr>
        <w:t>二</w:t>
      </w:r>
      <w:r>
        <w:rPr>
          <w:rStyle w:val="20"/>
          <w:rFonts w:hint="eastAsia" w:ascii="仿宋" w:hAnsi="仿宋" w:eastAsia="仿宋" w:cs="仿宋"/>
          <w:sz w:val="30"/>
        </w:rPr>
        <w:t>：</w:t>
      </w:r>
      <w:bookmarkEnd w:id="26"/>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椰壳活性炭采购 </w:t>
      </w:r>
      <w:r>
        <w:rPr>
          <w:rFonts w:hint="eastAsia" w:ascii="仿宋" w:hAnsi="仿宋" w:eastAsia="仿宋" w:cs="仿宋"/>
          <w:color w:val="auto"/>
          <w:sz w:val="30"/>
          <w:szCs w:val="30"/>
          <w:u w:val="none"/>
          <w:lang w:val="en-US" w:eastAsia="zh-CN"/>
        </w:rPr>
        <w:t>项目。</w:t>
      </w:r>
    </w:p>
    <w:tbl>
      <w:tblPr>
        <w:tblStyle w:val="13"/>
        <w:tblW w:w="5090" w:type="pct"/>
        <w:jc w:val="center"/>
        <w:tblLayout w:type="fixed"/>
        <w:tblCellMar>
          <w:top w:w="0" w:type="dxa"/>
          <w:left w:w="108" w:type="dxa"/>
          <w:bottom w:w="0" w:type="dxa"/>
          <w:right w:w="108" w:type="dxa"/>
        </w:tblCellMar>
      </w:tblPr>
      <w:tblGrid>
        <w:gridCol w:w="672"/>
        <w:gridCol w:w="1689"/>
        <w:gridCol w:w="3055"/>
        <w:gridCol w:w="765"/>
        <w:gridCol w:w="728"/>
        <w:gridCol w:w="1248"/>
        <w:gridCol w:w="1298"/>
      </w:tblGrid>
      <w:tr w14:paraId="063E66F3">
        <w:tblPrEx>
          <w:tblCellMar>
            <w:top w:w="0" w:type="dxa"/>
            <w:left w:w="108" w:type="dxa"/>
            <w:bottom w:w="0" w:type="dxa"/>
            <w:right w:w="108" w:type="dxa"/>
          </w:tblCellMar>
        </w:tblPrEx>
        <w:trPr>
          <w:trHeight w:val="467"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194492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79A483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产品名称</w:t>
            </w:r>
          </w:p>
        </w:tc>
        <w:tc>
          <w:tcPr>
            <w:tcW w:w="2804" w:type="dxa"/>
            <w:tcBorders>
              <w:top w:val="single" w:color="000000" w:sz="4" w:space="0"/>
              <w:left w:val="single" w:color="000000" w:sz="4" w:space="0"/>
              <w:bottom w:val="single" w:color="000000" w:sz="4" w:space="0"/>
              <w:right w:val="single" w:color="000000" w:sz="4" w:space="0"/>
            </w:tcBorders>
            <w:noWrap/>
            <w:vAlign w:val="center"/>
          </w:tcPr>
          <w:p w14:paraId="1C722E9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型号规格</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41F97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1A6E88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45" w:type="dxa"/>
            <w:tcBorders>
              <w:top w:val="single" w:color="000000" w:sz="4" w:space="0"/>
              <w:left w:val="single" w:color="000000" w:sz="4" w:space="0"/>
              <w:bottom w:val="single" w:color="000000" w:sz="4" w:space="0"/>
              <w:right w:val="single" w:color="000000" w:sz="4" w:space="0"/>
            </w:tcBorders>
            <w:noWrap/>
            <w:vAlign w:val="center"/>
          </w:tcPr>
          <w:p w14:paraId="3E5ACC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w:t>
            </w:r>
          </w:p>
          <w:p w14:paraId="22A595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c>
          <w:tcPr>
            <w:tcW w:w="1191" w:type="dxa"/>
            <w:tcBorders>
              <w:top w:val="single" w:color="000000" w:sz="4" w:space="0"/>
              <w:left w:val="single" w:color="000000" w:sz="4" w:space="0"/>
              <w:bottom w:val="single" w:color="000000" w:sz="4" w:space="0"/>
              <w:right w:val="single" w:color="000000" w:sz="4" w:space="0"/>
            </w:tcBorders>
            <w:noWrap/>
            <w:vAlign w:val="center"/>
          </w:tcPr>
          <w:p w14:paraId="7BA0C9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w:t>
            </w:r>
          </w:p>
          <w:p w14:paraId="4BB4C8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 （元）</w:t>
            </w:r>
          </w:p>
        </w:tc>
      </w:tr>
      <w:tr w14:paraId="6045BE37">
        <w:tblPrEx>
          <w:tblCellMar>
            <w:top w:w="0" w:type="dxa"/>
            <w:left w:w="108" w:type="dxa"/>
            <w:bottom w:w="0" w:type="dxa"/>
            <w:right w:w="108" w:type="dxa"/>
          </w:tblCellMar>
        </w:tblPrEx>
        <w:trPr>
          <w:trHeight w:val="1788" w:hRule="atLeast"/>
          <w:jc w:val="center"/>
        </w:trPr>
        <w:tc>
          <w:tcPr>
            <w:tcW w:w="617" w:type="dxa"/>
            <w:tcBorders>
              <w:top w:val="single" w:color="000000" w:sz="4" w:space="0"/>
              <w:left w:val="single" w:color="000000" w:sz="4" w:space="0"/>
              <w:bottom w:val="single" w:color="000000" w:sz="4" w:space="0"/>
              <w:right w:val="single" w:color="000000" w:sz="4" w:space="0"/>
            </w:tcBorders>
            <w:noWrap/>
            <w:vAlign w:val="center"/>
          </w:tcPr>
          <w:p w14:paraId="4CDFB49F">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CF7A2DA">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椰壳活性炭</w:t>
            </w:r>
          </w:p>
        </w:tc>
        <w:tc>
          <w:tcPr>
            <w:tcW w:w="2804" w:type="dxa"/>
            <w:tcBorders>
              <w:top w:val="single" w:color="000000" w:sz="4" w:space="0"/>
              <w:left w:val="single" w:color="000000" w:sz="4" w:space="0"/>
              <w:bottom w:val="single" w:color="000000" w:sz="4" w:space="0"/>
              <w:right w:val="single" w:color="000000" w:sz="4" w:space="0"/>
            </w:tcBorders>
            <w:noWrap w:val="0"/>
            <w:vAlign w:val="center"/>
          </w:tcPr>
          <w:p w14:paraId="48855BD7">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碘值大于1000mg/g，粒度在8-24目且大于95%，强度大于95%，废碳厂家回收处理</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E6FAC4E">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15</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214238BB">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吨</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A2FED1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191" w:type="dxa"/>
            <w:tcBorders>
              <w:top w:val="single" w:color="000000" w:sz="4" w:space="0"/>
              <w:left w:val="single" w:color="000000" w:sz="4" w:space="0"/>
              <w:bottom w:val="single" w:color="000000" w:sz="4" w:space="0"/>
              <w:right w:val="single" w:color="000000" w:sz="4" w:space="0"/>
            </w:tcBorders>
            <w:noWrap w:val="0"/>
            <w:vAlign w:val="center"/>
          </w:tcPr>
          <w:p w14:paraId="514F964B">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1845B7B3">
      <w:pPr>
        <w:pStyle w:val="10"/>
        <w:rPr>
          <w:rFonts w:hint="eastAsia" w:ascii="仿宋" w:hAnsi="仿宋" w:eastAsia="仿宋" w:cs="仿宋"/>
          <w:color w:val="auto"/>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rPr>
        <w:t>报价如下：</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kern w:val="2"/>
          <w:sz w:val="30"/>
          <w:szCs w:val="30"/>
          <w:highlight w:val="none"/>
          <w:lang w:val="en-US" w:eastAsia="zh-CN" w:bidi="ar-SA"/>
        </w:rPr>
        <w:t>1.</w:t>
      </w: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全部货物运送至采购人指定地点，且经由采购人验收合格后，供货方提供经双方确认的送货清单及等额、合法、有效的增值税专用发票，采购人自收到准确清单和发票且核对无误后，于次二月完成货款支付，若供货方未按</w:t>
      </w:r>
      <w:r>
        <w:rPr>
          <w:rFonts w:hint="eastAsia" w:ascii="仿宋" w:hAnsi="仿宋" w:eastAsia="仿宋" w:cs="仿宋"/>
          <w:color w:val="auto"/>
          <w:sz w:val="30"/>
          <w:szCs w:val="30"/>
          <w:lang w:val="en-US" w:eastAsia="zh-CN"/>
        </w:rPr>
        <w:t>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履约保证金（合同价的5%），其履约保证金于合同期满且无未决质量争议后无息退还。</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42AD2723">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27" w:name="_Toc108839328"/>
      <w:bookmarkStart w:id="28" w:name="_Toc103165678"/>
      <w:bookmarkStart w:id="29" w:name="_Toc9715"/>
      <w:r>
        <w:rPr>
          <w:rStyle w:val="20"/>
          <w:rFonts w:hint="eastAsia" w:ascii="仿宋" w:hAnsi="仿宋" w:eastAsia="仿宋" w:cs="仿宋"/>
          <w:sz w:val="30"/>
        </w:rPr>
        <w:t>附件</w:t>
      </w:r>
      <w:bookmarkEnd w:id="27"/>
      <w:bookmarkEnd w:id="28"/>
      <w:r>
        <w:rPr>
          <w:rStyle w:val="20"/>
          <w:rFonts w:hint="eastAsia" w:ascii="仿宋" w:hAnsi="仿宋" w:eastAsia="仿宋" w:cs="仿宋"/>
          <w:sz w:val="30"/>
          <w:lang w:val="en-US"/>
        </w:rPr>
        <w:t>三：</w:t>
      </w:r>
      <w:bookmarkEnd w:id="29"/>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椰壳活性炭采购项目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2"/>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8"/>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8EC83"/>
    <w:multiLevelType w:val="singleLevel"/>
    <w:tmpl w:val="9188EC83"/>
    <w:lvl w:ilvl="0" w:tentative="0">
      <w:start w:val="1"/>
      <w:numFmt w:val="decimal"/>
      <w:suff w:val="nothing"/>
      <w:lvlText w:val="%1"/>
      <w:lvlJc w:val="left"/>
      <w:pPr>
        <w:ind w:left="635" w:leftChars="0" w:hanging="425" w:firstLineChars="0"/>
      </w:pPr>
      <w:rPr>
        <w:rFonts w:hint="default"/>
      </w:rPr>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FA94AA9D"/>
    <w:multiLevelType w:val="singleLevel"/>
    <w:tmpl w:val="FA94AA9D"/>
    <w:lvl w:ilvl="0" w:tentative="0">
      <w:start w:val="1"/>
      <w:numFmt w:val="decimal"/>
      <w:suff w:val="nothing"/>
      <w:lvlText w:val="%1"/>
      <w:lvlJc w:val="left"/>
      <w:pPr>
        <w:ind w:left="635" w:leftChars="0" w:hanging="425" w:firstLineChars="0"/>
      </w:pPr>
      <w:rPr>
        <w:rFonts w:hint="default"/>
      </w:rPr>
    </w:lvl>
  </w:abstractNum>
  <w:abstractNum w:abstractNumId="3">
    <w:nsid w:val="00000020"/>
    <w:multiLevelType w:val="multilevel"/>
    <w:tmpl w:val="00000020"/>
    <w:lvl w:ilvl="0" w:tentative="0">
      <w:start w:val="1"/>
      <w:numFmt w:val="decimal"/>
      <w:pStyle w:val="4"/>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3"/>
  </w:num>
  <w:num w:numId="2">
    <w:abstractNumId w:val="5"/>
  </w:num>
  <w:num w:numId="3">
    <w:abstractNumId w:val="6"/>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B065F6"/>
    <w:rsid w:val="0FF5036F"/>
    <w:rsid w:val="10867335"/>
    <w:rsid w:val="110C39D4"/>
    <w:rsid w:val="1297576D"/>
    <w:rsid w:val="12BF4C87"/>
    <w:rsid w:val="12E70A09"/>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1F1A3C75"/>
    <w:rsid w:val="203B090D"/>
    <w:rsid w:val="20917F17"/>
    <w:rsid w:val="20B91875"/>
    <w:rsid w:val="21135480"/>
    <w:rsid w:val="212C3971"/>
    <w:rsid w:val="214D7086"/>
    <w:rsid w:val="21BA7E4E"/>
    <w:rsid w:val="21F8155D"/>
    <w:rsid w:val="2237459C"/>
    <w:rsid w:val="22D16AB7"/>
    <w:rsid w:val="22DF5956"/>
    <w:rsid w:val="22ED7F5E"/>
    <w:rsid w:val="231F50B3"/>
    <w:rsid w:val="24130D0C"/>
    <w:rsid w:val="247A3733"/>
    <w:rsid w:val="24937D46"/>
    <w:rsid w:val="24CD5814"/>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265AC6"/>
    <w:rsid w:val="2EB2531B"/>
    <w:rsid w:val="2F28513F"/>
    <w:rsid w:val="2F3D045F"/>
    <w:rsid w:val="2F6F3EAC"/>
    <w:rsid w:val="2F7D3F84"/>
    <w:rsid w:val="2F844FB7"/>
    <w:rsid w:val="30030652"/>
    <w:rsid w:val="30256074"/>
    <w:rsid w:val="302C4175"/>
    <w:rsid w:val="304A1F48"/>
    <w:rsid w:val="31713FF6"/>
    <w:rsid w:val="32B04D2F"/>
    <w:rsid w:val="33862CBD"/>
    <w:rsid w:val="338F6EF0"/>
    <w:rsid w:val="3393544D"/>
    <w:rsid w:val="33A35EAC"/>
    <w:rsid w:val="345077FD"/>
    <w:rsid w:val="3464504B"/>
    <w:rsid w:val="34E00D83"/>
    <w:rsid w:val="34E40873"/>
    <w:rsid w:val="36216F0D"/>
    <w:rsid w:val="36316A75"/>
    <w:rsid w:val="36C14165"/>
    <w:rsid w:val="36ED02B2"/>
    <w:rsid w:val="37DB73A7"/>
    <w:rsid w:val="37E312B6"/>
    <w:rsid w:val="389450EA"/>
    <w:rsid w:val="389D7311"/>
    <w:rsid w:val="39653A2A"/>
    <w:rsid w:val="398E418A"/>
    <w:rsid w:val="3996009B"/>
    <w:rsid w:val="3997709B"/>
    <w:rsid w:val="39A55AE7"/>
    <w:rsid w:val="39BB1265"/>
    <w:rsid w:val="3A351BE0"/>
    <w:rsid w:val="3AFB2B32"/>
    <w:rsid w:val="3B0953A4"/>
    <w:rsid w:val="3B320139"/>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981694"/>
    <w:rsid w:val="49E7480F"/>
    <w:rsid w:val="4A3A7820"/>
    <w:rsid w:val="4AD818E7"/>
    <w:rsid w:val="4AF173EE"/>
    <w:rsid w:val="4BEA681C"/>
    <w:rsid w:val="4C2F1B9C"/>
    <w:rsid w:val="4C870D35"/>
    <w:rsid w:val="4D2832EB"/>
    <w:rsid w:val="4DB81983"/>
    <w:rsid w:val="4DF66F25"/>
    <w:rsid w:val="4E376DB9"/>
    <w:rsid w:val="4E716394"/>
    <w:rsid w:val="4ECC39F8"/>
    <w:rsid w:val="4F0A3ECF"/>
    <w:rsid w:val="4F595384"/>
    <w:rsid w:val="4F7F3CCA"/>
    <w:rsid w:val="502844C8"/>
    <w:rsid w:val="51D845E4"/>
    <w:rsid w:val="52341DDD"/>
    <w:rsid w:val="523A017B"/>
    <w:rsid w:val="531111FC"/>
    <w:rsid w:val="532D4FC8"/>
    <w:rsid w:val="533444FB"/>
    <w:rsid w:val="536F3BBC"/>
    <w:rsid w:val="55C54FE9"/>
    <w:rsid w:val="55DB4F23"/>
    <w:rsid w:val="55E07717"/>
    <w:rsid w:val="56397366"/>
    <w:rsid w:val="58080247"/>
    <w:rsid w:val="594A0658"/>
    <w:rsid w:val="5950112B"/>
    <w:rsid w:val="597E7D7A"/>
    <w:rsid w:val="59C3293C"/>
    <w:rsid w:val="5A1C766A"/>
    <w:rsid w:val="5CF528AB"/>
    <w:rsid w:val="5D132301"/>
    <w:rsid w:val="5EAF5616"/>
    <w:rsid w:val="5EF258CA"/>
    <w:rsid w:val="5F1E1E73"/>
    <w:rsid w:val="606D4916"/>
    <w:rsid w:val="607E64E9"/>
    <w:rsid w:val="612A3DEE"/>
    <w:rsid w:val="61993E05"/>
    <w:rsid w:val="62B67083"/>
    <w:rsid w:val="63132229"/>
    <w:rsid w:val="63C07045"/>
    <w:rsid w:val="649C599A"/>
    <w:rsid w:val="651B0FEE"/>
    <w:rsid w:val="65305229"/>
    <w:rsid w:val="662D7F1B"/>
    <w:rsid w:val="666E2F33"/>
    <w:rsid w:val="66B027B6"/>
    <w:rsid w:val="671A2875"/>
    <w:rsid w:val="67966EFB"/>
    <w:rsid w:val="67B628F5"/>
    <w:rsid w:val="682119CD"/>
    <w:rsid w:val="68BD7F8B"/>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15025C"/>
    <w:rsid w:val="7C4C470C"/>
    <w:rsid w:val="7CD03426"/>
    <w:rsid w:val="7CD16F56"/>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line="480" w:lineRule="auto"/>
      <w:ind w:firstLine="600"/>
    </w:pPr>
    <w:rPr>
      <w:sz w:val="28"/>
    </w:rPr>
  </w:style>
  <w:style w:type="paragraph" w:styleId="5">
    <w:name w:val="annotation text"/>
    <w:basedOn w:val="1"/>
    <w:autoRedefine/>
    <w:qFormat/>
    <w:uiPriority w:val="0"/>
    <w:pPr>
      <w:jc w:val="left"/>
    </w:pPr>
  </w:style>
  <w:style w:type="paragraph" w:styleId="6">
    <w:name w:val="Body Text"/>
    <w:basedOn w:val="1"/>
    <w:next w:val="1"/>
    <w:autoRedefine/>
    <w:qFormat/>
    <w:uiPriority w:val="1"/>
    <w:pPr>
      <w:spacing w:after="120" w:afterLines="0"/>
    </w:pPr>
  </w:style>
  <w:style w:type="paragraph" w:styleId="7">
    <w:name w:val="Balloon Text"/>
    <w:basedOn w:val="1"/>
    <w:link w:val="24"/>
    <w:autoRedefine/>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jc w:val="left"/>
    </w:pPr>
    <w:rPr>
      <w:b/>
      <w:caps/>
    </w:rPr>
  </w:style>
  <w:style w:type="paragraph" w:styleId="11">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2">
    <w:name w:val="Body Text First Indent"/>
    <w:basedOn w:val="6"/>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9"/>
    <w:autoRedefine/>
    <w:qFormat/>
    <w:uiPriority w:val="0"/>
    <w:rPr>
      <w:kern w:val="2"/>
      <w:sz w:val="18"/>
      <w:szCs w:val="18"/>
    </w:rPr>
  </w:style>
  <w:style w:type="character" w:customStyle="1" w:styleId="24">
    <w:name w:val="批注框文本 Char"/>
    <w:basedOn w:val="15"/>
    <w:link w:val="7"/>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4"/>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9497</Words>
  <Characters>9816</Characters>
  <Lines>53</Lines>
  <Paragraphs>15</Paragraphs>
  <TotalTime>7</TotalTime>
  <ScaleCrop>false</ScaleCrop>
  <LinksUpToDate>false</LinksUpToDate>
  <CharactersWithSpaces>10999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Leon</cp:lastModifiedBy>
  <cp:lastPrinted>2025-04-09T02:34:00Z</cp:lastPrinted>
  <dcterms:modified xsi:type="dcterms:W3CDTF">2026-09-18T02:32:48Z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F50F83A1DC4648858BF64197CE585203_13</vt:lpwstr>
  </property>
  <property fmtid="{D5CDD505-2E9C-101B-9397-08002B2CF9AE}" pid="4" name="KSOTemplateDocerSaveRecord">
    <vt:lpwstr>eyJoZGlkIjoiYzUwZDFhNTA3NTBkYjYwNzBmOWEzNGQxZTA1ZTZlYTEiLCJ1c2VySWQiOiI0MTkyNjk4ODkifQ==</vt:lpwstr>
  </property>
</Properties>
</file>