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2796205E">
      <w:pPr>
        <w:pStyle w:val="style0"/>
        <w:jc w:val="center"/>
        <w:rPr>
          <w:rFonts w:ascii="仿宋" w:cs="仿宋" w:eastAsia="仿宋" w:hAnsi="仿宋" w:hint="eastAsia"/>
          <w:sz w:val="72"/>
        </w:rPr>
      </w:pPr>
    </w:p>
    <w:p w14:paraId="386541DE">
      <w:pPr>
        <w:pStyle w:val="style0"/>
        <w:jc w:val="center"/>
        <w:rPr>
          <w:rFonts w:ascii="仿宋" w:cs="仿宋" w:eastAsia="仿宋" w:hAnsi="仿宋" w:hint="eastAsia"/>
          <w:sz w:val="72"/>
        </w:rPr>
      </w:pPr>
    </w:p>
    <w:bookmarkStart w:id="0" w:name="_Toc12107"/>
    <w:p w14:paraId="3DEA6FF2">
      <w:pPr>
        <w:pStyle w:val="style0"/>
        <w:jc w:val="center"/>
        <w:outlineLvl w:val="0"/>
        <w:rPr>
          <w:rFonts w:ascii="仿宋_GB2312" w:eastAsia="仿宋_GB2312" w:hAnsi="宋体" w:hint="eastAsia"/>
          <w:b/>
          <w:sz w:val="52"/>
          <w:szCs w:val="52"/>
          <w:highlight w:val="none"/>
        </w:rPr>
      </w:pPr>
      <w:r>
        <w:rPr>
          <w:rFonts w:ascii="仿宋_GB2312" w:eastAsia="仿宋_GB2312" w:hAnsi="宋体" w:hint="eastAsia"/>
          <w:b/>
          <w:sz w:val="52"/>
          <w:szCs w:val="52"/>
          <w:highlight w:val="none"/>
          <w:lang w:eastAsia="zh-CN"/>
        </w:rPr>
        <w:t>绍兴市再生能源发展有限公司</w:t>
      </w:r>
      <w:bookmarkEnd w:id="0"/>
    </w:p>
    <w:p w14:paraId="4EEA6687">
      <w:pPr>
        <w:pStyle w:val="style77"/>
        <w:rPr>
          <w:highlight w:val="none"/>
        </w:rPr>
      </w:pPr>
    </w:p>
    <w:p w14:paraId="2B1BF8E5">
      <w:pPr>
        <w:pStyle w:val="style0"/>
        <w:jc w:val="center"/>
        <w:rPr>
          <w:rFonts w:ascii="仿宋_GB2312" w:eastAsia="仿宋_GB2312" w:hAnsi="宋体" w:hint="default"/>
          <w:b/>
          <w:sz w:val="52"/>
          <w:szCs w:val="52"/>
          <w:highlight w:val="none"/>
          <w:lang w:val="en-US" w:eastAsia="zh-CN"/>
        </w:rPr>
      </w:pPr>
      <w:r>
        <w:rPr>
          <w:rFonts w:ascii="仿宋_GB2312" w:eastAsia="仿宋_GB2312" w:hAnsi="宋体" w:hint="eastAsia"/>
          <w:b/>
          <w:sz w:val="52"/>
          <w:szCs w:val="52"/>
          <w:highlight w:val="none"/>
          <w:lang w:val="en-US" w:eastAsia="zh-CN"/>
        </w:rPr>
        <w:t>厂区废弃金属回收项目</w:t>
      </w:r>
    </w:p>
    <w:p w14:paraId="659FFE53">
      <w:pPr>
        <w:pStyle w:val="style0"/>
        <w:jc w:val="center"/>
        <w:rPr>
          <w:rFonts w:ascii="仿宋_GB2312" w:eastAsia="仿宋_GB2312" w:hAnsi="宋体" w:hint="eastAsia"/>
          <w:b/>
          <w:sz w:val="52"/>
          <w:szCs w:val="52"/>
          <w:highlight w:val="none"/>
          <w:lang w:eastAsia="zh-CN"/>
        </w:rPr>
      </w:pPr>
      <w:r>
        <w:rPr>
          <w:rFonts w:ascii="仿宋_GB2312" w:eastAsia="仿宋_GB2312" w:hAnsi="宋体" w:hint="eastAsia"/>
          <w:b/>
          <w:sz w:val="52"/>
          <w:szCs w:val="52"/>
          <w:highlight w:val="none"/>
          <w:lang w:eastAsia="zh-CN"/>
        </w:rPr>
        <w:t>挂网</w:t>
      </w:r>
      <w:r>
        <w:rPr>
          <w:rFonts w:ascii="仿宋_GB2312" w:eastAsia="仿宋_GB2312" w:hAnsi="宋体" w:hint="eastAsia"/>
          <w:b/>
          <w:sz w:val="52"/>
          <w:szCs w:val="52"/>
          <w:highlight w:val="none"/>
        </w:rPr>
        <w:t>文件</w:t>
      </w:r>
    </w:p>
    <w:p w14:paraId="52FF4260">
      <w:pPr>
        <w:pStyle w:val="style0"/>
        <w:jc w:val="center"/>
        <w:rPr>
          <w:rFonts w:ascii="仿宋" w:cs="仿宋" w:eastAsia="仿宋" w:hAnsi="仿宋" w:hint="eastAsia"/>
          <w:b/>
          <w:sz w:val="48"/>
          <w:szCs w:val="48"/>
        </w:rPr>
      </w:pPr>
    </w:p>
    <w:p w14:paraId="133227F3">
      <w:pPr>
        <w:pStyle w:val="style0"/>
        <w:spacing w:lineRule="auto" w:line="360"/>
        <w:rPr>
          <w:rFonts w:ascii="仿宋" w:cs="仿宋" w:eastAsia="仿宋" w:hAnsi="仿宋" w:hint="eastAsia"/>
          <w:sz w:val="40"/>
          <w:szCs w:val="48"/>
        </w:rPr>
      </w:pPr>
    </w:p>
    <w:p w14:paraId="517E9780">
      <w:pPr>
        <w:pStyle w:val="style0"/>
        <w:spacing w:lineRule="auto" w:line="360"/>
        <w:rPr>
          <w:rFonts w:ascii="仿宋" w:cs="仿宋" w:eastAsia="仿宋" w:hAnsi="仿宋" w:hint="eastAsia"/>
          <w:sz w:val="40"/>
          <w:szCs w:val="48"/>
        </w:rPr>
      </w:pPr>
    </w:p>
    <w:p w14:paraId="1858A337">
      <w:pPr>
        <w:pStyle w:val="style0"/>
        <w:spacing w:lineRule="auto" w:line="360"/>
        <w:rPr>
          <w:rFonts w:ascii="仿宋" w:cs="仿宋" w:eastAsia="仿宋" w:hAnsi="仿宋" w:hint="eastAsia"/>
          <w:sz w:val="40"/>
          <w:szCs w:val="48"/>
          <w:highlight w:val="none"/>
        </w:rPr>
      </w:pPr>
    </w:p>
    <w:p w14:paraId="6CE4C974">
      <w:pPr>
        <w:pStyle w:val="style0"/>
        <w:spacing w:lineRule="auto" w:line="360"/>
        <w:jc w:val="center"/>
        <w:rPr>
          <w:rFonts w:ascii="仿宋" w:cs="仿宋" w:eastAsia="仿宋" w:hAnsi="仿宋" w:hint="eastAsia"/>
          <w:sz w:val="32"/>
          <w:szCs w:val="32"/>
          <w:highlight w:val="none"/>
          <w:u w:val="single"/>
          <w:lang w:val="en-US" w:eastAsia="zh-CN"/>
        </w:rPr>
      </w:pPr>
      <w:r>
        <w:rPr>
          <w:rFonts w:ascii="仿宋" w:cs="仿宋" w:eastAsia="仿宋" w:hAnsi="仿宋" w:hint="eastAsia"/>
          <w:sz w:val="32"/>
          <w:szCs w:val="32"/>
          <w:highlight w:val="none"/>
        </w:rPr>
        <w:t>采购编号：</w:t>
      </w:r>
      <w:r>
        <w:rPr>
          <w:rFonts w:ascii="仿宋" w:cs="仿宋" w:eastAsia="仿宋" w:hAnsi="仿宋" w:hint="eastAsia"/>
          <w:sz w:val="32"/>
          <w:szCs w:val="32"/>
          <w:highlight w:val="none"/>
          <w:u w:val="single"/>
          <w:lang w:val="en-US" w:eastAsia="zh-CN"/>
        </w:rPr>
        <w:t xml:space="preserve"> </w:t>
      </w:r>
      <w:bookmarkStart w:id="1" w:name="OLE_LINK1"/>
      <w:r>
        <w:rPr>
          <w:rFonts w:ascii="仿宋" w:cs="仿宋" w:eastAsia="仿宋" w:hAnsi="仿宋" w:hint="eastAsia"/>
          <w:sz w:val="32"/>
          <w:szCs w:val="32"/>
          <w:highlight w:val="none"/>
          <w:u w:val="single"/>
          <w:lang w:val="en-US" w:eastAsia="zh-CN"/>
        </w:rPr>
        <w:t>SX-ZH-HS-</w:t>
      </w:r>
      <w:bookmarkEnd w:id="1"/>
      <w:r>
        <w:rPr>
          <w:rFonts w:ascii="仿宋" w:cs="仿宋" w:eastAsia="仿宋" w:hAnsi="仿宋" w:hint="eastAsia"/>
          <w:sz w:val="32"/>
          <w:szCs w:val="32"/>
          <w:highlight w:val="none"/>
          <w:u w:val="single"/>
          <w:lang w:val="en-US" w:eastAsia="zh-CN"/>
        </w:rPr>
        <w:t xml:space="preserve">2609006  </w:t>
      </w:r>
    </w:p>
    <w:bookmarkStart w:id="2" w:name="OLE_LINK52"/>
    <w:bookmarkStart w:id="3" w:name="OLE_LINK53"/>
    <w:p w14:paraId="619BC30A">
      <w:pPr>
        <w:pStyle w:val="style0"/>
        <w:spacing w:lineRule="auto" w:line="360"/>
        <w:ind w:firstLine="80" w:firstLineChars="25"/>
        <w:jc w:val="center"/>
        <w:rPr>
          <w:rFonts w:ascii="仿宋" w:cs="仿宋" w:eastAsia="仿宋" w:hAnsi="仿宋" w:hint="eastAsia"/>
          <w:sz w:val="84"/>
          <w:highlight w:val="none"/>
        </w:rPr>
      </w:pPr>
      <w:r>
        <w:rPr>
          <w:rFonts w:ascii="仿宋" w:cs="仿宋" w:eastAsia="仿宋" w:hAnsi="仿宋" w:hint="eastAsia"/>
          <w:sz w:val="32"/>
          <w:szCs w:val="32"/>
          <w:highlight w:val="none"/>
        </w:rPr>
        <w:t>项目名称：</w:t>
      </w:r>
      <w:bookmarkEnd w:id="2"/>
      <w:bookmarkEnd w:id="3"/>
      <w:r>
        <w:rPr>
          <w:rFonts w:ascii="仿宋" w:cs="仿宋" w:eastAsia="仿宋" w:hAnsi="仿宋" w:hint="eastAsia"/>
          <w:sz w:val="32"/>
          <w:szCs w:val="32"/>
          <w:highlight w:val="none"/>
          <w:u w:val="single"/>
          <w:lang w:val="en-US" w:eastAsia="zh-CN"/>
        </w:rPr>
        <w:t>厂区废弃金属回收项目</w:t>
      </w:r>
    </w:p>
    <w:p w14:paraId="379DFA08">
      <w:pPr>
        <w:pStyle w:val="style0"/>
        <w:rPr>
          <w:rFonts w:ascii="仿宋" w:cs="仿宋" w:eastAsia="仿宋" w:hAnsi="仿宋" w:hint="eastAsia"/>
          <w:sz w:val="84"/>
        </w:rPr>
      </w:pPr>
    </w:p>
    <w:p w14:paraId="35399FB6">
      <w:pPr>
        <w:pStyle w:val="style0"/>
        <w:rPr>
          <w:rFonts w:ascii="仿宋" w:cs="仿宋" w:eastAsia="仿宋" w:hAnsi="仿宋" w:hint="eastAsia"/>
          <w:sz w:val="84"/>
        </w:rPr>
      </w:pPr>
    </w:p>
    <w:p w14:paraId="7158776F">
      <w:pPr>
        <w:pStyle w:val="style0"/>
        <w:rPr>
          <w:rFonts w:ascii="仿宋" w:cs="仿宋" w:eastAsia="仿宋" w:hAnsi="仿宋" w:hint="eastAsia"/>
          <w:sz w:val="84"/>
        </w:rPr>
      </w:pPr>
    </w:p>
    <w:p w14:paraId="5CEDDC98">
      <w:pPr>
        <w:pStyle w:val="style0"/>
        <w:snapToGrid w:val="false"/>
        <w:spacing w:lineRule="auto" w:line="480"/>
        <w:jc w:val="center"/>
        <w:rPr>
          <w:rFonts w:ascii="仿宋" w:cs="仿宋" w:eastAsia="仿宋" w:hAnsi="仿宋" w:hint="eastAsia"/>
          <w:sz w:val="32"/>
          <w:szCs w:val="32"/>
          <w:lang w:eastAsia="zh-CN"/>
        </w:rPr>
      </w:pPr>
      <w:r>
        <w:rPr>
          <w:rFonts w:ascii="仿宋" w:cs="仿宋" w:eastAsia="仿宋" w:hAnsi="仿宋" w:hint="eastAsia"/>
          <w:sz w:val="32"/>
          <w:szCs w:val="32"/>
          <w:lang w:eastAsia="zh-CN"/>
        </w:rPr>
        <w:t>绍兴市再生能源发展有限公司</w:t>
      </w:r>
    </w:p>
    <w:p w14:paraId="04407B9F">
      <w:pPr>
        <w:pStyle w:val="style0"/>
        <w:spacing w:lineRule="auto" w:line="360"/>
        <w:jc w:val="center"/>
        <w:rPr>
          <w:rFonts w:ascii="仿宋" w:cs="仿宋" w:eastAsia="仿宋" w:hAnsi="仿宋" w:hint="eastAsia"/>
          <w:sz w:val="32"/>
          <w:szCs w:val="32"/>
        </w:rPr>
      </w:pPr>
      <w:r>
        <w:rPr>
          <w:rFonts w:ascii="仿宋" w:cs="仿宋" w:eastAsia="仿宋" w:hAnsi="仿宋" w:hint="eastAsia"/>
          <w:sz w:val="32"/>
          <w:szCs w:val="32"/>
          <w:lang w:eastAsia="zh-CN"/>
        </w:rPr>
        <w:t>二〇二六</w:t>
      </w:r>
      <w:r>
        <w:rPr>
          <w:rFonts w:ascii="仿宋" w:cs="仿宋" w:eastAsia="仿宋" w:hAnsi="仿宋" w:hint="eastAsia"/>
          <w:sz w:val="32"/>
          <w:szCs w:val="32"/>
        </w:rPr>
        <w:t>年</w:t>
      </w:r>
      <w:r>
        <w:rPr>
          <w:rFonts w:ascii="仿宋" w:cs="仿宋" w:eastAsia="仿宋" w:hAnsi="仿宋" w:hint="eastAsia"/>
          <w:sz w:val="32"/>
          <w:szCs w:val="32"/>
          <w:lang w:val="en-US" w:eastAsia="zh-CN"/>
        </w:rPr>
        <w:t>九</w:t>
      </w:r>
      <w:r>
        <w:rPr>
          <w:rFonts w:ascii="仿宋" w:cs="仿宋" w:eastAsia="仿宋" w:hAnsi="仿宋" w:hint="eastAsia"/>
          <w:sz w:val="32"/>
          <w:szCs w:val="32"/>
        </w:rPr>
        <w:t>月</w:t>
      </w:r>
      <w:r>
        <w:rPr>
          <w:rFonts w:ascii="仿宋" w:cs="仿宋" w:eastAsia="仿宋" w:hAnsi="仿宋" w:hint="eastAsia"/>
          <w:sz w:val="32"/>
          <w:szCs w:val="32"/>
        </w:rPr>
        <w:br w:type="page"/>
      </w:r>
      <w:r>
        <w:rPr>
          <w:rFonts w:ascii="仿宋" w:cs="仿宋" w:eastAsia="仿宋" w:hAnsi="仿宋" w:hint="eastAsia"/>
          <w:sz w:val="52"/>
          <w:szCs w:val="32"/>
        </w:rPr>
        <w:t>目录</w:t>
      </w:r>
    </w:p>
    <w:p w14:paraId="21391136">
      <w:pPr>
        <w:pStyle w:val="style19"/>
        <w:tabs>
          <w:tab w:val="right" w:leader="dot" w:pos="9070"/>
        </w:tabs>
        <w:rPr>
          <w:rFonts w:ascii="Times New Roman" w:cs="Times New Roman" w:eastAsia="仿宋" w:hAnsi="Times New Roman" w:hint="eastAsia"/>
          <w:b w:val="false"/>
          <w:bCs/>
          <w:sz w:val="32"/>
          <w:szCs w:val="32"/>
        </w:rPr>
      </w:pP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TOC \o "1-1" \h \u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 HYPERLINK \l _Toc12107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lang w:eastAsia="zh-CN"/>
        </w:rPr>
        <w:t>绍兴市再生能源发展有限公司</w:t>
      </w:r>
      <w:r>
        <w:rPr>
          <w:rFonts w:ascii="Times New Roman" w:cs="Times New Roman" w:eastAsia="仿宋" w:hAnsi="Times New Roman" w:hint="default"/>
          <w:b w:val="false"/>
          <w:bCs/>
          <w:sz w:val="32"/>
          <w:szCs w:val="32"/>
        </w:rPr>
        <w:tab/>
      </w:r>
      <w:r>
        <w:rPr>
          <w:rFonts w:ascii="Times New Roman" w:cs="Times New Roman" w:eastAsia="仿宋" w:hAnsi="Times New Roman" w:hint="default"/>
          <w:b w:val="false"/>
          <w:bCs/>
          <w:sz w:val="32"/>
          <w:szCs w:val="32"/>
        </w:rPr>
        <w:fldChar w:fldCharType="begin"/>
      </w:r>
      <w:r>
        <w:rPr>
          <w:rFonts w:ascii="Times New Roman" w:cs="Times New Roman" w:eastAsia="仿宋" w:hAnsi="Times New Roman" w:hint="default"/>
          <w:b w:val="false"/>
          <w:bCs/>
          <w:sz w:val="32"/>
          <w:szCs w:val="32"/>
        </w:rPr>
        <w:instrText xml:space="preserve"> PAGEREF _Toc12107 \h </w:instrText>
      </w:r>
      <w:r>
        <w:rPr>
          <w:rFonts w:ascii="Times New Roman" w:cs="Times New Roman" w:eastAsia="仿宋" w:hAnsi="Times New Roman" w:hint="default"/>
          <w:b w:val="false"/>
          <w:bCs/>
          <w:sz w:val="32"/>
          <w:szCs w:val="32"/>
        </w:rPr>
        <w:fldChar w:fldCharType="separate"/>
      </w:r>
      <w:r>
        <w:rPr>
          <w:rFonts w:ascii="Times New Roman" w:cs="Times New Roman" w:eastAsia="仿宋" w:hAnsi="Times New Roman" w:hint="default"/>
          <w:b w:val="false"/>
          <w:bCs/>
          <w:sz w:val="32"/>
          <w:szCs w:val="32"/>
        </w:rPr>
        <w:t>1</w:t>
      </w:r>
      <w:r>
        <w:rPr>
          <w:rFonts w:ascii="Times New Roman" w:cs="Times New Roman" w:eastAsia="仿宋" w:hAnsi="Times New Roman" w:hint="default"/>
          <w:b w:val="false"/>
          <w:bCs/>
          <w:sz w:val="32"/>
          <w:szCs w:val="32"/>
        </w:rPr>
        <w:fldChar w:fldCharType="end"/>
      </w:r>
      <w:r>
        <w:rPr>
          <w:rFonts w:ascii="Times New Roman" w:cs="Times New Roman" w:eastAsia="仿宋" w:hAnsi="Times New Roman" w:hint="eastAsia"/>
          <w:b w:val="false"/>
          <w:bCs/>
          <w:sz w:val="32"/>
          <w:szCs w:val="32"/>
        </w:rPr>
        <w:fldChar w:fldCharType="end"/>
      </w:r>
    </w:p>
    <w:p w14:paraId="258E62A0">
      <w:pPr>
        <w:pStyle w:val="style19"/>
        <w:tabs>
          <w:tab w:val="right" w:leader="dot" w:pos="9070"/>
        </w:tabs>
        <w:rPr>
          <w:rFonts w:ascii="Times New Roman" w:cs="Times New Roman" w:eastAsia="仿宋" w:hAnsi="Times New Roman" w:hint="eastAsia"/>
          <w:b w:val="false"/>
          <w:bCs/>
          <w:sz w:val="32"/>
          <w:szCs w:val="32"/>
        </w:rPr>
      </w:pP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 HYPERLINK \l _Toc25386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lang w:val="en-US" w:eastAsia="zh-CN"/>
        </w:rPr>
        <w:t>第一部分   公告</w:t>
      </w:r>
      <w:r>
        <w:rPr>
          <w:rFonts w:ascii="Times New Roman" w:cs="Times New Roman" w:eastAsia="仿宋" w:hAnsi="Times New Roman" w:hint="eastAsia"/>
          <w:b w:val="false"/>
          <w:bCs/>
          <w:sz w:val="32"/>
          <w:szCs w:val="32"/>
        </w:rPr>
        <w:tab/>
      </w: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 PAGEREF _Toc25386 \h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rPr>
        <w:t>3</w:t>
      </w:r>
      <w:r>
        <w:rPr>
          <w:rFonts w:ascii="Times New Roman" w:cs="Times New Roman" w:eastAsia="仿宋" w:hAnsi="Times New Roman" w:hint="eastAsia"/>
          <w:b w:val="false"/>
          <w:bCs/>
          <w:sz w:val="32"/>
          <w:szCs w:val="32"/>
        </w:rPr>
        <w:fldChar w:fldCharType="end"/>
      </w:r>
      <w:r>
        <w:rPr>
          <w:rFonts w:ascii="Times New Roman" w:cs="Times New Roman" w:eastAsia="仿宋" w:hAnsi="Times New Roman" w:hint="eastAsia"/>
          <w:b w:val="false"/>
          <w:bCs/>
          <w:sz w:val="32"/>
          <w:szCs w:val="32"/>
        </w:rPr>
        <w:fldChar w:fldCharType="end"/>
      </w:r>
    </w:p>
    <w:p w14:paraId="09185423">
      <w:pPr>
        <w:pStyle w:val="style19"/>
        <w:tabs>
          <w:tab w:val="right" w:leader="dot" w:pos="9070"/>
        </w:tabs>
        <w:rPr>
          <w:rFonts w:ascii="Times New Roman" w:cs="Times New Roman" w:eastAsia="仿宋" w:hAnsi="Times New Roman" w:hint="eastAsia"/>
          <w:b w:val="false"/>
          <w:bCs/>
          <w:sz w:val="32"/>
          <w:szCs w:val="32"/>
        </w:rPr>
      </w:pP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 HYPERLINK \l _Toc12282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rPr>
        <w:t>第</w:t>
      </w:r>
      <w:r>
        <w:rPr>
          <w:rFonts w:ascii="Times New Roman" w:cs="Times New Roman" w:eastAsia="仿宋" w:hAnsi="Times New Roman" w:hint="eastAsia"/>
          <w:b w:val="false"/>
          <w:bCs/>
          <w:sz w:val="32"/>
          <w:szCs w:val="32"/>
          <w:lang w:val="en-US" w:eastAsia="zh-CN"/>
        </w:rPr>
        <w:t>二</w:t>
      </w:r>
      <w:r>
        <w:rPr>
          <w:rFonts w:ascii="Times New Roman" w:cs="Times New Roman" w:eastAsia="仿宋" w:hAnsi="Times New Roman" w:hint="eastAsia"/>
          <w:b w:val="false"/>
          <w:bCs/>
          <w:sz w:val="32"/>
          <w:szCs w:val="32"/>
        </w:rPr>
        <w:t xml:space="preserve">部分 </w:t>
      </w:r>
      <w:r>
        <w:rPr>
          <w:rFonts w:cs="Times New Roman" w:eastAsia="仿宋" w:hint="eastAsia"/>
          <w:b w:val="false"/>
          <w:bCs/>
          <w:sz w:val="32"/>
          <w:szCs w:val="32"/>
          <w:lang w:val="en-US" w:eastAsia="zh-CN"/>
        </w:rPr>
        <w:t xml:space="preserve">  须知</w:t>
      </w:r>
      <w:r>
        <w:rPr>
          <w:rFonts w:ascii="Times New Roman" w:cs="Times New Roman" w:eastAsia="仿宋" w:hAnsi="Times New Roman" w:hint="eastAsia"/>
          <w:b w:val="false"/>
          <w:bCs/>
          <w:sz w:val="32"/>
          <w:szCs w:val="32"/>
        </w:rPr>
        <w:tab/>
      </w:r>
      <w:r>
        <w:rPr>
          <w:rFonts w:cs="Times New Roman" w:eastAsia="仿宋" w:hint="eastAsia"/>
          <w:b w:val="false"/>
          <w:bCs/>
          <w:sz w:val="32"/>
          <w:szCs w:val="32"/>
          <w:lang w:val="en-US" w:eastAsia="zh-CN"/>
        </w:rPr>
        <w:t>5</w:t>
      </w:r>
      <w:r>
        <w:rPr>
          <w:rFonts w:ascii="Times New Roman" w:cs="Times New Roman" w:eastAsia="仿宋" w:hAnsi="Times New Roman" w:hint="eastAsia"/>
          <w:b w:val="false"/>
          <w:bCs/>
          <w:sz w:val="32"/>
          <w:szCs w:val="32"/>
        </w:rPr>
        <w:fldChar w:fldCharType="end"/>
      </w:r>
    </w:p>
    <w:p w14:paraId="7A1CDB32">
      <w:pPr>
        <w:pStyle w:val="style19"/>
        <w:tabs>
          <w:tab w:val="right" w:leader="dot" w:pos="9070"/>
        </w:tabs>
        <w:rPr>
          <w:rFonts w:ascii="Times New Roman" w:cs="Times New Roman" w:eastAsia="仿宋" w:hAnsi="Times New Roman" w:hint="eastAsia"/>
          <w:b w:val="false"/>
          <w:bCs/>
          <w:sz w:val="32"/>
          <w:szCs w:val="32"/>
        </w:rPr>
      </w:pP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 HYPERLINK \l _Toc24972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rPr>
        <w:t>第三部分   报价文件格式</w:t>
      </w:r>
      <w:r>
        <w:rPr>
          <w:rFonts w:ascii="Times New Roman" w:cs="Times New Roman" w:eastAsia="仿宋" w:hAnsi="Times New Roman" w:hint="eastAsia"/>
          <w:b w:val="false"/>
          <w:bCs/>
          <w:sz w:val="32"/>
          <w:szCs w:val="32"/>
        </w:rPr>
        <w:tab/>
      </w:r>
      <w:r>
        <w:rPr>
          <w:rFonts w:ascii="Times New Roman" w:cs="Times New Roman" w:eastAsia="仿宋" w:hAnsi="Times New Roman" w:hint="eastAsia"/>
          <w:b w:val="false"/>
          <w:bCs/>
          <w:sz w:val="32"/>
          <w:szCs w:val="32"/>
        </w:rPr>
        <w:fldChar w:fldCharType="begin"/>
      </w:r>
      <w:r>
        <w:rPr>
          <w:rFonts w:ascii="Times New Roman" w:cs="Times New Roman" w:eastAsia="仿宋" w:hAnsi="Times New Roman" w:hint="eastAsia"/>
          <w:b w:val="false"/>
          <w:bCs/>
          <w:sz w:val="32"/>
          <w:szCs w:val="32"/>
        </w:rPr>
        <w:instrText xml:space="preserve"> PAGEREF _Toc24972 \h </w:instrText>
      </w:r>
      <w:r>
        <w:rPr>
          <w:rFonts w:ascii="Times New Roman" w:cs="Times New Roman" w:eastAsia="仿宋" w:hAnsi="Times New Roman" w:hint="eastAsia"/>
          <w:b w:val="false"/>
          <w:bCs/>
          <w:sz w:val="32"/>
          <w:szCs w:val="32"/>
        </w:rPr>
        <w:fldChar w:fldCharType="separate"/>
      </w:r>
      <w:r>
        <w:rPr>
          <w:rFonts w:ascii="Times New Roman" w:cs="Times New Roman" w:eastAsia="仿宋" w:hAnsi="Times New Roman" w:hint="eastAsia"/>
          <w:b w:val="false"/>
          <w:bCs/>
          <w:sz w:val="32"/>
          <w:szCs w:val="32"/>
        </w:rPr>
        <w:t>8</w:t>
      </w:r>
      <w:r>
        <w:rPr>
          <w:rFonts w:ascii="Times New Roman" w:cs="Times New Roman" w:eastAsia="仿宋" w:hAnsi="Times New Roman" w:hint="eastAsia"/>
          <w:b w:val="false"/>
          <w:bCs/>
          <w:sz w:val="32"/>
          <w:szCs w:val="32"/>
        </w:rPr>
        <w:fldChar w:fldCharType="end"/>
      </w:r>
      <w:r>
        <w:rPr>
          <w:rFonts w:ascii="Times New Roman" w:cs="Times New Roman" w:eastAsia="仿宋" w:hAnsi="Times New Roman" w:hint="eastAsia"/>
          <w:b w:val="false"/>
          <w:bCs/>
          <w:sz w:val="32"/>
          <w:szCs w:val="32"/>
        </w:rPr>
        <w:fldChar w:fldCharType="end"/>
      </w:r>
    </w:p>
    <w:p w14:paraId="49419028">
      <w:pPr>
        <w:pStyle w:val="style19"/>
        <w:tabs>
          <w:tab w:val="right" w:leader="dot" w:pos="9070"/>
        </w:tabs>
        <w:rPr>
          <w:rFonts w:ascii="Times New Roman" w:cs="Times New Roman" w:eastAsia="仿宋" w:hAnsi="Times New Roman" w:hint="eastAsia"/>
          <w:b w:val="false"/>
          <w:bCs/>
          <w:sz w:val="32"/>
          <w:szCs w:val="32"/>
        </w:rPr>
      </w:pPr>
      <w:r>
        <w:rPr>
          <w:rFonts w:ascii="Times New Roman" w:cs="Times New Roman" w:eastAsia="仿宋" w:hAnsi="Times New Roman" w:hint="eastAsia"/>
          <w:b w:val="false"/>
          <w:bCs/>
          <w:sz w:val="32"/>
          <w:szCs w:val="32"/>
        </w:rPr>
        <w:fldChar w:fldCharType="end"/>
      </w:r>
    </w:p>
    <w:p w14:paraId="0555C8B2">
      <w:pPr>
        <w:pStyle w:val="style0"/>
        <w:rPr>
          <w:rFonts w:ascii="仿宋" w:cs="仿宋" w:eastAsia="仿宋" w:hAnsi="仿宋" w:hint="eastAsia"/>
          <w:sz w:val="36"/>
        </w:rPr>
      </w:pPr>
    </w:p>
    <w:p w14:paraId="6921F477">
      <w:pPr>
        <w:pStyle w:val="style0"/>
        <w:snapToGrid w:val="false"/>
        <w:jc w:val="center"/>
        <w:outlineLvl w:val="0"/>
        <w:rPr>
          <w:rFonts w:ascii="仿宋" w:cs="仿宋" w:eastAsia="仿宋" w:hAnsi="仿宋" w:hint="eastAsia"/>
          <w:snapToGrid w:val="false"/>
          <w:sz w:val="30"/>
          <w:szCs w:val="30"/>
        </w:rPr>
      </w:pPr>
      <w:r>
        <w:rPr>
          <w:rFonts w:ascii="仿宋" w:cs="仿宋" w:eastAsia="仿宋" w:hAnsi="仿宋" w:hint="eastAsia"/>
          <w:sz w:val="32"/>
          <w:szCs w:val="32"/>
        </w:rPr>
        <w:br w:type="page"/>
      </w:r>
      <w:bookmarkStart w:id="4" w:name="_Toc530583878"/>
      <w:bookmarkStart w:id="5" w:name="_Toc25386"/>
      <w:bookmarkStart w:id="6" w:name="_Toc530583921"/>
      <w:r>
        <w:rPr>
          <w:rFonts w:ascii="仿宋" w:cs="仿宋" w:eastAsia="仿宋" w:hAnsi="仿宋" w:hint="eastAsia"/>
          <w:b/>
          <w:snapToGrid w:val="false"/>
          <w:color w:val="000000"/>
          <w:kern w:val="44"/>
          <w:sz w:val="44"/>
          <w:szCs w:val="44"/>
          <w:lang w:val="en-US" w:bidi="ar-SA" w:eastAsia="zh-CN"/>
        </w:rPr>
        <w:t>第一部分   公告</w:t>
      </w:r>
      <w:bookmarkEnd w:id="4"/>
      <w:bookmarkEnd w:id="5"/>
      <w:bookmarkEnd w:id="6"/>
    </w:p>
    <w:p w14:paraId="6E66C16C">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0" w:firstLineChars="200"/>
        <w:jc w:val="left"/>
        <w:textAlignment w:val="auto"/>
        <w:rPr>
          <w:rFonts w:ascii="仿宋" w:cs="仿宋" w:eastAsia="仿宋" w:hAnsi="仿宋" w:hint="eastAsia"/>
          <w:sz w:val="30"/>
          <w:szCs w:val="30"/>
        </w:rPr>
      </w:pPr>
      <w:r>
        <w:rPr>
          <w:rFonts w:ascii="仿宋" w:cs="仿宋" w:eastAsia="仿宋" w:hAnsi="仿宋" w:hint="eastAsia"/>
          <w:sz w:val="30"/>
          <w:szCs w:val="30"/>
          <w:lang w:eastAsia="zh-CN"/>
        </w:rPr>
        <w:t>绍兴市再生能源发展有限公司</w:t>
      </w:r>
      <w:r>
        <w:rPr>
          <w:rFonts w:ascii="仿宋" w:cs="仿宋" w:eastAsia="仿宋" w:hAnsi="仿宋" w:hint="eastAsia"/>
          <w:sz w:val="30"/>
          <w:szCs w:val="30"/>
        </w:rPr>
        <w:t>因日常生产需要，需</w:t>
      </w:r>
      <w:r>
        <w:rPr>
          <w:rFonts w:ascii="仿宋" w:cs="仿宋" w:eastAsia="仿宋" w:hAnsi="仿宋" w:hint="eastAsia"/>
          <w:sz w:val="30"/>
          <w:szCs w:val="30"/>
          <w:lang w:eastAsia="zh-CN"/>
        </w:rPr>
        <w:t>对公司内</w:t>
      </w:r>
      <w:r>
        <w:rPr>
          <w:rFonts w:ascii="仿宋" w:cs="仿宋" w:eastAsia="仿宋" w:hAnsi="仿宋" w:hint="eastAsia"/>
          <w:sz w:val="30"/>
          <w:szCs w:val="30"/>
          <w:lang w:val="en-US" w:eastAsia="zh-CN"/>
        </w:rPr>
        <w:t>厂区废弃金属回收项目进行询价</w:t>
      </w:r>
      <w:r>
        <w:rPr>
          <w:rFonts w:ascii="仿宋" w:cs="仿宋" w:eastAsia="仿宋" w:hAnsi="仿宋" w:hint="eastAsia"/>
          <w:sz w:val="30"/>
          <w:szCs w:val="30"/>
        </w:rPr>
        <w:t>，欢迎符合要求的供应商积极参与。</w:t>
      </w:r>
    </w:p>
    <w:p w14:paraId="383256B3">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outlineLvl w:val="1"/>
        <w:rPr>
          <w:rFonts w:ascii="仿宋_GB2312" w:eastAsia="仿宋_GB2312" w:hint="eastAsia"/>
          <w:b/>
          <w:bCs/>
          <w:sz w:val="30"/>
          <w:szCs w:val="30"/>
          <w:lang w:eastAsia="zh-CN"/>
        </w:rPr>
      </w:pPr>
      <w:r>
        <w:rPr>
          <w:rFonts w:ascii="仿宋_GB2312" w:eastAsia="仿宋_GB2312" w:hint="eastAsia"/>
          <w:b/>
          <w:bCs/>
          <w:sz w:val="30"/>
          <w:szCs w:val="30"/>
          <w:lang w:eastAsia="zh-CN"/>
        </w:rPr>
        <w:t>一、采购内容及相关说明。</w:t>
      </w:r>
    </w:p>
    <w:p w14:paraId="6A7A1A7D">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0" w:firstLineChars="200"/>
        <w:jc w:val="left"/>
        <w:textAlignment w:val="auto"/>
        <w:rPr>
          <w:rFonts w:ascii="仿宋" w:cs="仿宋" w:eastAsia="仿宋" w:hAnsi="仿宋" w:hint="eastAsia"/>
          <w:sz w:val="30"/>
          <w:szCs w:val="30"/>
          <w:lang w:val="en-US" w:eastAsia="zh-CN"/>
        </w:rPr>
      </w:pPr>
      <w:r>
        <w:rPr>
          <w:rFonts w:ascii="仿宋" w:cs="仿宋" w:eastAsia="仿宋" w:hAnsi="仿宋" w:hint="eastAsia"/>
          <w:sz w:val="30"/>
          <w:szCs w:val="30"/>
        </w:rPr>
        <w:t>1.项目编号：</w:t>
      </w:r>
      <w:r>
        <w:rPr>
          <w:rFonts w:ascii="仿宋" w:cs="仿宋" w:eastAsia="仿宋" w:hAnsi="仿宋" w:hint="eastAsia"/>
          <w:sz w:val="30"/>
          <w:szCs w:val="30"/>
          <w:lang w:val="en-US" w:eastAsia="zh-CN"/>
        </w:rPr>
        <w:t xml:space="preserve">SX-ZH-HS-2609006  </w:t>
      </w:r>
    </w:p>
    <w:p w14:paraId="571EEE08">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0" w:firstLineChars="200"/>
        <w:jc w:val="left"/>
        <w:textAlignment w:val="auto"/>
        <w:rPr>
          <w:rFonts w:ascii="仿宋" w:cs="仿宋" w:eastAsia="仿宋" w:hAnsi="仿宋" w:hint="eastAsia"/>
          <w:sz w:val="30"/>
          <w:szCs w:val="30"/>
        </w:rPr>
      </w:pPr>
      <w:r>
        <w:rPr>
          <w:rFonts w:ascii="仿宋" w:cs="仿宋" w:eastAsia="仿宋" w:hAnsi="仿宋" w:hint="eastAsia"/>
          <w:sz w:val="30"/>
          <w:szCs w:val="30"/>
        </w:rPr>
        <w:t>2.内容：</w:t>
      </w:r>
    </w:p>
    <w:tbl>
      <w:tblPr>
        <w:tblStyle w:val="style105"/>
        <w:tblW w:w="4289" w:type="pct"/>
        <w:jc w:val="center"/>
        <w:tblCellMar>
          <w:top w:w="0" w:type="dxa"/>
          <w:left w:w="108" w:type="dxa"/>
          <w:bottom w:w="0" w:type="dxa"/>
          <w:right w:w="108" w:type="dxa"/>
        </w:tblCellMar>
      </w:tblPr>
      <w:tblGrid>
        <w:gridCol w:w="887"/>
        <w:gridCol w:w="1972"/>
        <w:gridCol w:w="2891"/>
        <w:gridCol w:w="906"/>
        <w:gridCol w:w="1304"/>
      </w:tblGrid>
      <w:tr w14:paraId="69744A34">
        <w:trPr>
          <w:trHeight w:val="90" w:hRule="atLeast"/>
          <w:jc w:val="center"/>
        </w:trPr>
        <w:tc>
          <w:tcPr>
            <w:tcW w:w="557" w:type="pct"/>
            <w:tcBorders>
              <w:top w:val="single" w:sz="4" w:space="0" w:color="000000"/>
              <w:left w:val="single" w:sz="4" w:space="0" w:color="000000"/>
              <w:bottom w:val="single" w:sz="4" w:space="0" w:color="000000"/>
              <w:right w:val="single" w:sz="4" w:space="0" w:color="000000"/>
            </w:tcBorders>
            <w:noWrap/>
            <w:vAlign w:val="center"/>
          </w:tcPr>
          <w:p w14:paraId="41F1A2F2">
            <w:pPr>
              <w:pStyle w:val="style0"/>
              <w:keepNext w:val="false"/>
              <w:keepLines w:val="false"/>
              <w:pageBreakBefore w:val="false"/>
              <w:widowControl/>
              <w:suppressLineNumbers w:val="false"/>
              <w:kinsoku/>
              <w:wordWrap/>
              <w:overflowPunct/>
              <w:topLinePunct w:val="false"/>
              <w:autoSpaceDE/>
              <w:autoSpaceDN/>
              <w:bidi w:val="false"/>
              <w:adjustRightInd/>
              <w:snapToGrid/>
              <w:jc w:val="center"/>
              <w:textAlignment w:val="center"/>
              <w:rPr>
                <w:rFonts w:ascii="仿宋" w:cs="仿宋" w:eastAsia="仿宋" w:hAnsi="仿宋" w:hint="eastAsia"/>
                <w:i w:val="false"/>
                <w:iCs w:val="false"/>
                <w:color w:val="auto"/>
                <w:sz w:val="24"/>
                <w:szCs w:val="24"/>
                <w:highlight w:val="none"/>
                <w:u w:val="none"/>
              </w:rPr>
            </w:pPr>
            <w:r>
              <w:rPr>
                <w:rFonts w:ascii="仿宋" w:cs="仿宋" w:eastAsia="仿宋" w:hAnsi="仿宋" w:hint="eastAsia"/>
                <w:i w:val="false"/>
                <w:iCs w:val="false"/>
                <w:color w:val="auto"/>
                <w:kern w:val="0"/>
                <w:sz w:val="24"/>
                <w:szCs w:val="24"/>
                <w:highlight w:val="none"/>
                <w:u w:val="none"/>
                <w:lang w:val="en-US" w:eastAsia="zh-CN"/>
              </w:rPr>
              <w:t>序号</w:t>
            </w:r>
          </w:p>
        </w:tc>
        <w:tc>
          <w:tcPr>
            <w:tcW w:w="1238" w:type="pct"/>
            <w:tcBorders>
              <w:top w:val="single" w:sz="4" w:space="0" w:color="000000"/>
              <w:left w:val="single" w:sz="4" w:space="0" w:color="000000"/>
              <w:bottom w:val="single" w:sz="4" w:space="0" w:color="000000"/>
              <w:right w:val="single" w:sz="4" w:space="0" w:color="000000"/>
            </w:tcBorders>
            <w:noWrap/>
            <w:vAlign w:val="center"/>
          </w:tcPr>
          <w:p w14:paraId="4B86D4F0">
            <w:pPr>
              <w:pStyle w:val="style0"/>
              <w:keepNext w:val="false"/>
              <w:keepLines w:val="false"/>
              <w:pageBreakBefore w:val="false"/>
              <w:widowControl/>
              <w:suppressLineNumbers w:val="false"/>
              <w:kinsoku/>
              <w:wordWrap/>
              <w:overflowPunct/>
              <w:topLinePunct w:val="false"/>
              <w:autoSpaceDE/>
              <w:autoSpaceDN/>
              <w:bidi w:val="false"/>
              <w:adjustRightInd/>
              <w:snapToGrid/>
              <w:jc w:val="center"/>
              <w:textAlignment w:val="center"/>
              <w:rPr>
                <w:rFonts w:ascii="仿宋" w:cs="仿宋" w:eastAsia="仿宋" w:hAnsi="仿宋" w:hint="eastAsia"/>
                <w:i w:val="false"/>
                <w:iCs w:val="false"/>
                <w:color w:val="auto"/>
                <w:sz w:val="24"/>
                <w:szCs w:val="24"/>
                <w:highlight w:val="none"/>
                <w:u w:val="none"/>
                <w:lang w:val="en-US"/>
              </w:rPr>
            </w:pPr>
            <w:r>
              <w:rPr>
                <w:rFonts w:ascii="仿宋" w:cs="仿宋" w:eastAsia="仿宋" w:hAnsi="仿宋" w:hint="eastAsia"/>
                <w:i w:val="false"/>
                <w:iCs w:val="false"/>
                <w:color w:val="auto"/>
                <w:kern w:val="0"/>
                <w:sz w:val="24"/>
                <w:szCs w:val="24"/>
                <w:highlight w:val="none"/>
                <w:u w:val="none"/>
                <w:lang w:val="en-US" w:eastAsia="zh-CN"/>
              </w:rPr>
              <w:t>物资名称</w:t>
            </w:r>
          </w:p>
        </w:tc>
        <w:tc>
          <w:tcPr>
            <w:tcW w:w="1815" w:type="pct"/>
            <w:tcBorders>
              <w:top w:val="single" w:sz="4" w:space="0" w:color="000000"/>
              <w:left w:val="single" w:sz="4" w:space="0" w:color="000000"/>
              <w:bottom w:val="single" w:sz="4" w:space="0" w:color="000000"/>
              <w:right w:val="single" w:sz="4" w:space="0" w:color="000000"/>
            </w:tcBorders>
            <w:noWrap/>
            <w:vAlign w:val="center"/>
          </w:tcPr>
          <w:p w14:paraId="49C5937D">
            <w:pPr>
              <w:pStyle w:val="style0"/>
              <w:keepNext w:val="false"/>
              <w:keepLines w:val="false"/>
              <w:pageBreakBefore w:val="false"/>
              <w:widowControl/>
              <w:suppressLineNumbers w:val="false"/>
              <w:tabs>
                <w:tab w:val="left" w:leader="none" w:pos="222"/>
              </w:tabs>
              <w:kinsoku/>
              <w:wordWrap/>
              <w:overflowPunct/>
              <w:topLinePunct w:val="false"/>
              <w:autoSpaceDE/>
              <w:autoSpaceDN/>
              <w:bidi w:val="false"/>
              <w:adjustRightInd/>
              <w:snapToGrid/>
              <w:jc w:val="center"/>
              <w:textAlignment w:val="center"/>
              <w:rPr>
                <w:rFonts w:ascii="仿宋" w:cs="仿宋" w:eastAsia="仿宋" w:hAnsi="仿宋" w:hint="eastAsia"/>
                <w:i w:val="false"/>
                <w:iCs w:val="false"/>
                <w:color w:val="auto"/>
                <w:kern w:val="0"/>
                <w:sz w:val="24"/>
                <w:szCs w:val="24"/>
                <w:highlight w:val="none"/>
                <w:u w:val="none"/>
                <w:lang w:val="en-US" w:eastAsia="zh-CN"/>
              </w:rPr>
            </w:pPr>
            <w:r>
              <w:rPr>
                <w:rFonts w:ascii="仿宋" w:cs="仿宋" w:eastAsia="仿宋" w:hAnsi="仿宋" w:hint="eastAsia"/>
                <w:i w:val="false"/>
                <w:iCs w:val="false"/>
                <w:color w:val="auto"/>
                <w:kern w:val="0"/>
                <w:sz w:val="24"/>
                <w:szCs w:val="24"/>
                <w:highlight w:val="none"/>
                <w:u w:val="none"/>
                <w:lang w:val="en-US" w:eastAsia="zh-CN"/>
              </w:rPr>
              <w:t>型号规格</w:t>
            </w:r>
          </w:p>
        </w:tc>
        <w:tc>
          <w:tcPr>
            <w:tcW w:w="569" w:type="pct"/>
            <w:tcBorders>
              <w:top w:val="single" w:sz="4" w:space="0" w:color="000000"/>
              <w:left w:val="single" w:sz="4" w:space="0" w:color="000000"/>
              <w:bottom w:val="single" w:sz="4" w:space="0" w:color="000000"/>
              <w:right w:val="single" w:sz="4" w:space="0" w:color="000000"/>
            </w:tcBorders>
            <w:noWrap/>
            <w:vAlign w:val="center"/>
          </w:tcPr>
          <w:p w14:paraId="76F6BCDD">
            <w:pPr>
              <w:pStyle w:val="style0"/>
              <w:keepNext w:val="false"/>
              <w:keepLines w:val="false"/>
              <w:pageBreakBefore w:val="false"/>
              <w:widowControl/>
              <w:suppressLineNumbers w:val="false"/>
              <w:kinsoku/>
              <w:wordWrap/>
              <w:overflowPunct/>
              <w:topLinePunct w:val="false"/>
              <w:autoSpaceDE/>
              <w:autoSpaceDN/>
              <w:bidi w:val="false"/>
              <w:adjustRightInd/>
              <w:snapToGrid/>
              <w:jc w:val="center"/>
              <w:textAlignment w:val="center"/>
              <w:rPr>
                <w:rFonts w:ascii="仿宋" w:cs="仿宋" w:eastAsia="仿宋" w:hAnsi="仿宋" w:hint="eastAsia"/>
                <w:i w:val="false"/>
                <w:iCs w:val="false"/>
                <w:color w:val="auto"/>
                <w:sz w:val="24"/>
                <w:szCs w:val="24"/>
                <w:highlight w:val="none"/>
                <w:u w:val="none"/>
              </w:rPr>
            </w:pPr>
            <w:r>
              <w:rPr>
                <w:rFonts w:ascii="仿宋" w:cs="仿宋" w:eastAsia="仿宋" w:hAnsi="仿宋" w:hint="eastAsia"/>
                <w:i w:val="false"/>
                <w:iCs w:val="false"/>
                <w:color w:val="auto"/>
                <w:kern w:val="0"/>
                <w:sz w:val="24"/>
                <w:szCs w:val="24"/>
                <w:highlight w:val="none"/>
                <w:u w:val="none"/>
                <w:lang w:val="en-US" w:eastAsia="zh-CN"/>
              </w:rPr>
              <w:t>预估数量</w:t>
            </w:r>
          </w:p>
        </w:tc>
        <w:tc>
          <w:tcPr>
            <w:tcW w:w="819" w:type="pct"/>
            <w:tcBorders>
              <w:top w:val="single" w:sz="4" w:space="0" w:color="000000"/>
              <w:left w:val="single" w:sz="4" w:space="0" w:color="000000"/>
              <w:bottom w:val="single" w:sz="4" w:space="0" w:color="000000"/>
              <w:right w:val="single" w:sz="4" w:space="0" w:color="000000"/>
            </w:tcBorders>
            <w:noWrap/>
            <w:vAlign w:val="center"/>
          </w:tcPr>
          <w:p w14:paraId="449A6AE9">
            <w:pPr>
              <w:pStyle w:val="style0"/>
              <w:keepNext w:val="false"/>
              <w:keepLines w:val="false"/>
              <w:pageBreakBefore w:val="false"/>
              <w:widowControl/>
              <w:suppressLineNumbers w:val="false"/>
              <w:kinsoku/>
              <w:wordWrap/>
              <w:overflowPunct/>
              <w:topLinePunct w:val="false"/>
              <w:autoSpaceDE/>
              <w:autoSpaceDN/>
              <w:bidi w:val="false"/>
              <w:adjustRightInd/>
              <w:snapToGrid/>
              <w:jc w:val="center"/>
              <w:textAlignment w:val="center"/>
              <w:rPr>
                <w:rFonts w:ascii="仿宋" w:cs="仿宋" w:eastAsia="仿宋" w:hAnsi="仿宋" w:hint="eastAsia"/>
                <w:i w:val="false"/>
                <w:iCs w:val="false"/>
                <w:color w:val="auto"/>
                <w:sz w:val="24"/>
                <w:szCs w:val="24"/>
                <w:highlight w:val="none"/>
                <w:u w:val="none"/>
              </w:rPr>
            </w:pPr>
            <w:r>
              <w:rPr>
                <w:rFonts w:ascii="仿宋" w:cs="仿宋" w:eastAsia="仿宋" w:hAnsi="仿宋" w:hint="eastAsia"/>
                <w:i w:val="false"/>
                <w:iCs w:val="false"/>
                <w:color w:val="auto"/>
                <w:kern w:val="0"/>
                <w:sz w:val="24"/>
                <w:szCs w:val="24"/>
                <w:highlight w:val="none"/>
                <w:u w:val="none"/>
                <w:lang w:val="en-US" w:eastAsia="zh-CN"/>
              </w:rPr>
              <w:t>单位</w:t>
            </w:r>
          </w:p>
        </w:tc>
      </w:tr>
      <w:tr w14:paraId="15DB7AC8">
        <w:tblPrEx/>
        <w:trPr>
          <w:trHeight w:val="561" w:hRule="atLeast"/>
          <w:jc w:val="center"/>
        </w:trPr>
        <w:tc>
          <w:tcPr>
            <w:tcW w:w="557" w:type="pct"/>
            <w:tcBorders>
              <w:top w:val="single" w:sz="4" w:space="0" w:color="000000"/>
              <w:left w:val="single" w:sz="4" w:space="0" w:color="000000"/>
              <w:bottom w:val="single" w:sz="4" w:space="0" w:color="000000"/>
              <w:right w:val="single" w:sz="4" w:space="0" w:color="000000"/>
            </w:tcBorders>
            <w:noWrap/>
            <w:vAlign w:val="center"/>
          </w:tcPr>
          <w:p w14:paraId="371A7BFD">
            <w:pPr>
              <w:pStyle w:val="style0"/>
              <w:keepNext w:val="false"/>
              <w:keepLines w:val="false"/>
              <w:widowControl/>
              <w:suppressLineNumbers w:val="false"/>
              <w:jc w:val="center"/>
              <w:textAlignment w:val="center"/>
              <w:rPr>
                <w:rFonts w:ascii="仿宋" w:cs="仿宋" w:eastAsia="仿宋" w:hAnsi="仿宋" w:hint="default"/>
                <w:i w:val="false"/>
                <w:iCs w:val="false"/>
                <w:color w:val="auto"/>
                <w:kern w:val="0"/>
                <w:sz w:val="22"/>
                <w:szCs w:val="22"/>
                <w:highlight w:val="none"/>
                <w:u w:val="none"/>
                <w:lang w:val="en-US" w:eastAsia="zh-CN"/>
              </w:rPr>
            </w:pPr>
            <w:r>
              <w:rPr>
                <w:rFonts w:ascii="仿宋" w:cs="仿宋" w:eastAsia="仿宋" w:hAnsi="仿宋" w:hint="eastAsia"/>
                <w:i w:val="false"/>
                <w:iCs w:val="false"/>
                <w:color w:val="auto"/>
                <w:kern w:val="0"/>
                <w:sz w:val="22"/>
                <w:szCs w:val="22"/>
                <w:highlight w:val="none"/>
                <w:u w:val="none"/>
                <w:lang w:val="en-US" w:eastAsia="zh-CN"/>
              </w:rPr>
              <w:t>1</w:t>
            </w:r>
          </w:p>
        </w:tc>
        <w:tc>
          <w:tcPr>
            <w:tcW w:w="1238" w:type="pct"/>
            <w:tcBorders>
              <w:top w:val="single" w:sz="4" w:space="0" w:color="000000"/>
              <w:left w:val="single" w:sz="4" w:space="0" w:color="000000"/>
              <w:bottom w:val="single" w:sz="4" w:space="0" w:color="000000"/>
              <w:right w:val="single" w:sz="4" w:space="0" w:color="000000"/>
            </w:tcBorders>
            <w:vAlign w:val="center"/>
          </w:tcPr>
          <w:p w14:paraId="0D6FCA89">
            <w:pPr>
              <w:pStyle w:val="style0"/>
              <w:keepNext w:val="false"/>
              <w:keepLines w:val="false"/>
              <w:widowControl/>
              <w:suppressLineNumbers w:val="false"/>
              <w:jc w:val="center"/>
              <w:textAlignment w:val="center"/>
              <w:rPr>
                <w:rFonts w:ascii="仿宋" w:cs="仿宋" w:eastAsia="仿宋" w:hAnsi="仿宋" w:hint="eastAsia"/>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废铁</w:t>
            </w:r>
          </w:p>
        </w:tc>
        <w:tc>
          <w:tcPr>
            <w:tcW w:w="1815" w:type="pct"/>
            <w:tcBorders>
              <w:top w:val="single" w:sz="4" w:space="0" w:color="000000"/>
              <w:left w:val="single" w:sz="4" w:space="0" w:color="000000"/>
              <w:bottom w:val="single" w:sz="4" w:space="0" w:color="000000"/>
              <w:right w:val="single" w:sz="4" w:space="0" w:color="000000"/>
            </w:tcBorders>
            <w:vAlign w:val="center"/>
          </w:tcPr>
          <w:p w14:paraId="0D11C5FC">
            <w:pPr>
              <w:pStyle w:val="style0"/>
              <w:keepNext w:val="false"/>
              <w:keepLines w:val="false"/>
              <w:widowControl/>
              <w:suppressLineNumbers w:val="false"/>
              <w:jc w:val="center"/>
              <w:textAlignment w:val="center"/>
              <w:rPr>
                <w:rFonts w:ascii="仿宋" w:cs="仿宋" w:eastAsia="仿宋" w:hAnsi="仿宋" w:hint="default"/>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7B0FB628">
            <w:pPr>
              <w:pStyle w:val="style0"/>
              <w:keepNext w:val="false"/>
              <w:keepLines w:val="false"/>
              <w:widowControl/>
              <w:suppressLineNumbers w:val="false"/>
              <w:jc w:val="center"/>
              <w:textAlignment w:val="center"/>
              <w:rPr>
                <w:rFonts w:ascii="仿宋" w:cs="仿宋" w:eastAsia="仿宋" w:hAnsi="仿宋" w:hint="default"/>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50</w:t>
            </w:r>
          </w:p>
        </w:tc>
        <w:tc>
          <w:tcPr>
            <w:tcW w:w="819" w:type="pct"/>
            <w:tcBorders>
              <w:top w:val="single" w:sz="4" w:space="0" w:color="000000"/>
              <w:left w:val="single" w:sz="4" w:space="0" w:color="000000"/>
              <w:bottom w:val="single" w:sz="4" w:space="0" w:color="000000"/>
              <w:right w:val="single" w:sz="4" w:space="0" w:color="000000"/>
            </w:tcBorders>
            <w:vAlign w:val="center"/>
          </w:tcPr>
          <w:p w14:paraId="637E5C51">
            <w:pPr>
              <w:pStyle w:val="style0"/>
              <w:keepNext w:val="false"/>
              <w:keepLines w:val="false"/>
              <w:widowControl/>
              <w:suppressLineNumbers w:val="false"/>
              <w:jc w:val="center"/>
              <w:textAlignment w:val="center"/>
              <w:rPr>
                <w:rFonts w:ascii="仿宋" w:cs="仿宋" w:eastAsia="仿宋" w:hAnsi="仿宋" w:hint="eastAsia"/>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吨</w:t>
            </w:r>
          </w:p>
        </w:tc>
      </w:tr>
      <w:tr w14:paraId="43949AF0">
        <w:tblPrEx/>
        <w:trPr>
          <w:trHeight w:val="561" w:hRule="atLeast"/>
          <w:jc w:val="center"/>
        </w:trPr>
        <w:tc>
          <w:tcPr>
            <w:tcW w:w="557" w:type="pct"/>
            <w:tcBorders>
              <w:top w:val="single" w:sz="4" w:space="0" w:color="000000"/>
              <w:left w:val="single" w:sz="4" w:space="0" w:color="000000"/>
              <w:bottom w:val="single" w:sz="4" w:space="0" w:color="000000"/>
              <w:right w:val="single" w:sz="4" w:space="0" w:color="000000"/>
            </w:tcBorders>
            <w:noWrap/>
            <w:vAlign w:val="center"/>
          </w:tcPr>
          <w:p w14:paraId="480CA3B2">
            <w:pPr>
              <w:pStyle w:val="style0"/>
              <w:keepNext w:val="false"/>
              <w:keepLines w:val="false"/>
              <w:widowControl/>
              <w:suppressLineNumbers w:val="false"/>
              <w:jc w:val="center"/>
              <w:textAlignment w:val="center"/>
              <w:rPr>
                <w:rFonts w:ascii="仿宋" w:cs="仿宋" w:eastAsia="仿宋" w:hAnsi="仿宋" w:hint="default"/>
                <w:i w:val="false"/>
                <w:iCs w:val="false"/>
                <w:color w:val="auto"/>
                <w:kern w:val="0"/>
                <w:sz w:val="22"/>
                <w:szCs w:val="22"/>
                <w:highlight w:val="none"/>
                <w:u w:val="none"/>
                <w:lang w:val="en-US" w:eastAsia="zh-CN"/>
              </w:rPr>
            </w:pPr>
            <w:r>
              <w:rPr>
                <w:rFonts w:ascii="仿宋" w:cs="仿宋" w:eastAsia="仿宋" w:hAnsi="仿宋" w:hint="eastAsia"/>
                <w:i w:val="false"/>
                <w:iCs w:val="false"/>
                <w:color w:val="auto"/>
                <w:kern w:val="0"/>
                <w:sz w:val="22"/>
                <w:szCs w:val="22"/>
                <w:highlight w:val="none"/>
                <w:u w:val="none"/>
                <w:lang w:val="en-US" w:eastAsia="zh-CN"/>
              </w:rPr>
              <w:t>2</w:t>
            </w:r>
          </w:p>
        </w:tc>
        <w:tc>
          <w:tcPr>
            <w:tcW w:w="1238" w:type="pct"/>
            <w:tcBorders>
              <w:top w:val="single" w:sz="4" w:space="0" w:color="000000"/>
              <w:left w:val="single" w:sz="4" w:space="0" w:color="000000"/>
              <w:bottom w:val="single" w:sz="4" w:space="0" w:color="000000"/>
              <w:right w:val="single" w:sz="4" w:space="0" w:color="000000"/>
            </w:tcBorders>
            <w:vAlign w:val="center"/>
          </w:tcPr>
          <w:p w14:paraId="4DDCD90F">
            <w:pPr>
              <w:pStyle w:val="style0"/>
              <w:keepNext w:val="false"/>
              <w:keepLines w:val="false"/>
              <w:widowControl/>
              <w:suppressLineNumbers w:val="false"/>
              <w:jc w:val="center"/>
              <w:textAlignment w:val="center"/>
              <w:rPr>
                <w:rFonts w:ascii="仿宋" w:cs="仿宋" w:eastAsia="仿宋" w:hAnsi="仿宋" w:hint="eastAsia"/>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废瓦</w:t>
            </w:r>
          </w:p>
        </w:tc>
        <w:tc>
          <w:tcPr>
            <w:tcW w:w="1815" w:type="pct"/>
            <w:tcBorders>
              <w:top w:val="single" w:sz="4" w:space="0" w:color="000000"/>
              <w:left w:val="single" w:sz="4" w:space="0" w:color="000000"/>
              <w:bottom w:val="single" w:sz="4" w:space="0" w:color="000000"/>
              <w:right w:val="single" w:sz="4" w:space="0" w:color="000000"/>
            </w:tcBorders>
            <w:vAlign w:val="center"/>
          </w:tcPr>
          <w:p w14:paraId="3E05CF74">
            <w:pPr>
              <w:pStyle w:val="style0"/>
              <w:keepNext w:val="false"/>
              <w:keepLines w:val="false"/>
              <w:widowControl/>
              <w:suppressLineNumbers w:val="false"/>
              <w:jc w:val="center"/>
              <w:textAlignment w:val="center"/>
              <w:rPr>
                <w:rFonts w:ascii="仿宋" w:cs="仿宋" w:eastAsia="仿宋" w:hAnsi="仿宋" w:hint="default"/>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w:t>
            </w:r>
          </w:p>
        </w:tc>
        <w:tc>
          <w:tcPr>
            <w:tcW w:w="569" w:type="pct"/>
            <w:tcBorders>
              <w:top w:val="single" w:sz="4" w:space="0" w:color="000000"/>
              <w:left w:val="single" w:sz="4" w:space="0" w:color="000000"/>
              <w:bottom w:val="single" w:sz="4" w:space="0" w:color="000000"/>
              <w:right w:val="single" w:sz="4" w:space="0" w:color="000000"/>
            </w:tcBorders>
            <w:vAlign w:val="center"/>
          </w:tcPr>
          <w:p w14:paraId="1E4C17B4">
            <w:pPr>
              <w:pStyle w:val="style0"/>
              <w:keepNext w:val="false"/>
              <w:keepLines w:val="false"/>
              <w:widowControl/>
              <w:suppressLineNumbers w:val="false"/>
              <w:jc w:val="center"/>
              <w:textAlignment w:val="center"/>
              <w:rPr>
                <w:rFonts w:ascii="仿宋" w:cs="仿宋" w:eastAsia="仿宋" w:hAnsi="仿宋" w:hint="default"/>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10</w:t>
            </w:r>
          </w:p>
        </w:tc>
        <w:tc>
          <w:tcPr>
            <w:tcW w:w="819" w:type="pct"/>
            <w:tcBorders>
              <w:top w:val="single" w:sz="4" w:space="0" w:color="000000"/>
              <w:left w:val="single" w:sz="4" w:space="0" w:color="000000"/>
              <w:bottom w:val="single" w:sz="4" w:space="0" w:color="000000"/>
              <w:right w:val="single" w:sz="4" w:space="0" w:color="000000"/>
            </w:tcBorders>
            <w:vAlign w:val="center"/>
          </w:tcPr>
          <w:p w14:paraId="49F03E4B">
            <w:pPr>
              <w:pStyle w:val="style0"/>
              <w:keepNext w:val="false"/>
              <w:keepLines w:val="false"/>
              <w:widowControl/>
              <w:suppressLineNumbers w:val="false"/>
              <w:jc w:val="center"/>
              <w:textAlignment w:val="center"/>
              <w:rPr>
                <w:rFonts w:ascii="仿宋" w:cs="仿宋" w:eastAsia="仿宋" w:hAnsi="仿宋" w:hint="eastAsia"/>
                <w:i w:val="false"/>
                <w:iCs w:val="false"/>
                <w:color w:val="000000"/>
                <w:kern w:val="0"/>
                <w:sz w:val="22"/>
                <w:szCs w:val="22"/>
                <w:highlight w:val="none"/>
                <w:u w:val="none"/>
                <w:lang w:val="en-US" w:eastAsia="zh-CN"/>
              </w:rPr>
            </w:pPr>
            <w:r>
              <w:rPr>
                <w:rFonts w:ascii="仿宋" w:cs="仿宋" w:eastAsia="仿宋" w:hAnsi="仿宋" w:hint="eastAsia"/>
                <w:i w:val="false"/>
                <w:iCs w:val="false"/>
                <w:color w:val="000000"/>
                <w:kern w:val="0"/>
                <w:sz w:val="22"/>
                <w:szCs w:val="22"/>
                <w:highlight w:val="none"/>
                <w:u w:val="none"/>
                <w:lang w:val="en-US" w:eastAsia="zh-CN"/>
              </w:rPr>
              <w:t>吨</w:t>
            </w:r>
          </w:p>
        </w:tc>
      </w:tr>
    </w:tbl>
    <w:p w14:paraId="7BBD5AF3">
      <w:pPr>
        <w:pStyle w:val="style0"/>
        <w:rPr>
          <w:rFonts w:hint="eastAsia"/>
          <w:highlight w:val="none"/>
        </w:rPr>
      </w:pPr>
    </w:p>
    <w:p w14:paraId="07AA582C">
      <w:pPr>
        <w:pStyle w:val="style78"/>
        <w:snapToGrid/>
        <w:spacing w:lineRule="auto" w:line="360"/>
        <w:rPr>
          <w:rFonts w:ascii="仿宋" w:cs="仿宋" w:eastAsia="仿宋" w:hAnsi="仿宋" w:hint="eastAsia"/>
          <w:sz w:val="30"/>
          <w:szCs w:val="30"/>
          <w:highlight w:val="none"/>
          <w:lang w:val="en-US" w:eastAsia="zh-CN"/>
        </w:rPr>
      </w:pPr>
      <w:r>
        <w:rPr>
          <w:rFonts w:ascii="仿宋" w:cs="仿宋" w:eastAsia="仿宋" w:hAnsi="仿宋" w:hint="eastAsia"/>
          <w:sz w:val="30"/>
          <w:szCs w:val="30"/>
          <w:highlight w:val="none"/>
          <w:lang w:val="en-US" w:eastAsia="zh-CN"/>
        </w:rPr>
        <w:t>3.本次厂区废弃金属回收项目废铁报价不得低于1472元/吨，废瓦报价不得低于1539元/吨，否则做无效报价处理。</w:t>
      </w:r>
    </w:p>
    <w:p w14:paraId="3DBB0E24">
      <w:pPr>
        <w:pStyle w:val="style78"/>
        <w:snapToGrid/>
        <w:spacing w:lineRule="auto" w:line="360"/>
        <w:rPr>
          <w:rFonts w:ascii="仿宋" w:cs="仿宋" w:eastAsia="仿宋" w:hAnsi="仿宋" w:hint="default"/>
          <w:sz w:val="30"/>
          <w:szCs w:val="30"/>
          <w:lang w:val="en-US" w:eastAsia="zh-CN"/>
        </w:rPr>
      </w:pPr>
      <w:r>
        <w:rPr>
          <w:rFonts w:ascii="仿宋" w:cs="仿宋" w:eastAsia="仿宋" w:hAnsi="仿宋" w:hint="eastAsia"/>
          <w:sz w:val="30"/>
          <w:szCs w:val="30"/>
          <w:lang w:val="en-US" w:eastAsia="zh-CN"/>
        </w:rPr>
        <w:t>4.本次询价开标采用线下开标方式，参与本项目人员须在本招标文件规定时间内到厂由采购人组织集中看现场废铁，后一并</w:t>
      </w:r>
      <w:r>
        <w:rPr>
          <w:rFonts w:ascii="仿宋" w:cs="仿宋" w:eastAsia="仿宋" w:hAnsi="仿宋" w:hint="eastAsia"/>
          <w:sz w:val="30"/>
          <w:szCs w:val="30"/>
          <w:highlight w:val="none"/>
          <w:lang w:val="en-US" w:eastAsia="zh-CN"/>
        </w:rPr>
        <w:t>在四楼培训室分别进行报价，参与本项目人员须自备</w:t>
      </w:r>
      <w:r>
        <w:rPr>
          <w:rFonts w:ascii="仿宋" w:cs="仿宋" w:eastAsia="仿宋" w:hAnsi="仿宋" w:hint="eastAsia"/>
          <w:b/>
          <w:bCs/>
          <w:sz w:val="30"/>
          <w:szCs w:val="30"/>
          <w:highlight w:val="none"/>
          <w:lang w:val="en-US" w:eastAsia="zh-CN"/>
        </w:rPr>
        <w:t>身份证复印件（正反面）两份并签字</w:t>
      </w:r>
      <w:r>
        <w:rPr>
          <w:rFonts w:ascii="仿宋" w:cs="仿宋" w:eastAsia="仿宋" w:hAnsi="仿宋" w:hint="eastAsia"/>
          <w:sz w:val="30"/>
          <w:szCs w:val="30"/>
          <w:lang w:val="en-US" w:eastAsia="zh-CN"/>
        </w:rPr>
        <w:t>，若未满足以上要求，做无效报价处理。</w:t>
      </w:r>
    </w:p>
    <w:p w14:paraId="1437BFE6">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outlineLvl w:val="1"/>
        <w:rPr>
          <w:rFonts w:ascii="仿宋_GB2312" w:eastAsia="仿宋_GB2312" w:hint="eastAsia"/>
          <w:b/>
          <w:bCs/>
          <w:sz w:val="30"/>
          <w:szCs w:val="30"/>
          <w:lang w:eastAsia="zh-CN"/>
        </w:rPr>
      </w:pPr>
      <w:r>
        <w:rPr>
          <w:rFonts w:ascii="仿宋_GB2312" w:eastAsia="仿宋_GB2312" w:hint="eastAsia"/>
          <w:b/>
          <w:bCs/>
          <w:sz w:val="30"/>
          <w:szCs w:val="30"/>
          <w:lang w:eastAsia="zh-CN"/>
        </w:rPr>
        <w:t>二、供应商要求。</w:t>
      </w:r>
    </w:p>
    <w:p w14:paraId="19A7E53E">
      <w:pPr>
        <w:pStyle w:val="style78"/>
        <w:snapToGrid/>
        <w:spacing w:lineRule="auto" w:line="360"/>
        <w:rPr>
          <w:rFonts w:ascii="仿宋" w:cs="仿宋" w:eastAsia="仿宋" w:hAnsi="仿宋" w:hint="eastAsia"/>
          <w:sz w:val="30"/>
          <w:szCs w:val="30"/>
          <w:highlight w:val="none"/>
          <w:lang w:val="en-US" w:eastAsia="zh-CN"/>
        </w:rPr>
      </w:pPr>
      <w:r>
        <w:rPr>
          <w:rFonts w:ascii="仿宋" w:cs="仿宋" w:eastAsia="仿宋" w:hAnsi="仿宋" w:hint="eastAsia"/>
          <w:sz w:val="30"/>
          <w:szCs w:val="30"/>
          <w:highlight w:val="none"/>
          <w:lang w:val="en-US" w:eastAsia="zh-CN"/>
        </w:rPr>
        <w:t xml:space="preserve">1.报价单位负责人为同一人或者存在控股、管理关系的不同单位，不得同时参加本项目。  </w:t>
      </w:r>
    </w:p>
    <w:p w14:paraId="1ADFA4F5">
      <w:pPr>
        <w:pStyle w:val="style78"/>
        <w:snapToGrid/>
        <w:spacing w:lineRule="auto" w:line="360"/>
        <w:rPr>
          <w:rFonts w:hint="default"/>
          <w:highlight w:val="none"/>
          <w:lang w:val="en-US" w:eastAsia="zh-CN"/>
        </w:rPr>
      </w:pPr>
      <w:r>
        <w:rPr>
          <w:rFonts w:ascii="仿宋" w:cs="仿宋" w:eastAsia="仿宋" w:hAnsi="仿宋" w:hint="eastAsia"/>
          <w:sz w:val="30"/>
          <w:szCs w:val="30"/>
          <w:highlight w:val="none"/>
          <w:lang w:val="en-US" w:eastAsia="zh-CN"/>
        </w:rPr>
        <w:t>2.本项目不接受联合体报价。</w:t>
      </w:r>
    </w:p>
    <w:bookmarkStart w:id="7" w:name="_Toc530583923"/>
    <w:bookmarkStart w:id="8" w:name="_Toc530583880"/>
    <w:p w14:paraId="31202C61">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outlineLvl w:val="1"/>
        <w:rPr>
          <w:rFonts w:ascii="仿宋_GB2312" w:eastAsia="仿宋_GB2312" w:hint="eastAsia"/>
          <w:b/>
          <w:bCs/>
          <w:sz w:val="30"/>
          <w:szCs w:val="30"/>
        </w:rPr>
      </w:pPr>
      <w:r>
        <w:rPr>
          <w:rFonts w:ascii="仿宋_GB2312" w:eastAsia="仿宋_GB2312" w:hint="eastAsia"/>
          <w:b/>
          <w:bCs/>
          <w:sz w:val="30"/>
          <w:szCs w:val="30"/>
          <w:lang w:eastAsia="zh-CN"/>
        </w:rPr>
        <w:t>三</w:t>
      </w:r>
      <w:r>
        <w:rPr>
          <w:rFonts w:ascii="仿宋_GB2312" w:eastAsia="仿宋_GB2312" w:hint="eastAsia"/>
          <w:b/>
          <w:bCs/>
          <w:sz w:val="30"/>
          <w:szCs w:val="30"/>
        </w:rPr>
        <w:t>、</w:t>
      </w:r>
      <w:r>
        <w:rPr>
          <w:rFonts w:ascii="仿宋_GB2312" w:eastAsia="仿宋_GB2312" w:hint="eastAsia"/>
          <w:b/>
          <w:bCs/>
          <w:sz w:val="30"/>
          <w:szCs w:val="30"/>
          <w:lang w:eastAsia="zh-CN"/>
        </w:rPr>
        <w:t>开标</w:t>
      </w:r>
      <w:r>
        <w:rPr>
          <w:rFonts w:ascii="仿宋_GB2312" w:eastAsia="仿宋_GB2312" w:hint="eastAsia"/>
          <w:b/>
          <w:bCs/>
          <w:sz w:val="30"/>
          <w:szCs w:val="30"/>
        </w:rPr>
        <w:t>时间及递交方式。</w:t>
      </w:r>
    </w:p>
    <w:p w14:paraId="7735B2F3">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eastAsia="仿宋_GB2312" w:hint="eastAsia"/>
          <w:sz w:val="30"/>
          <w:szCs w:val="30"/>
        </w:rPr>
      </w:pPr>
      <w:r>
        <w:rPr>
          <w:rFonts w:ascii="仿宋_GB2312" w:eastAsia="仿宋_GB2312" w:hint="eastAsia"/>
          <w:sz w:val="30"/>
          <w:szCs w:val="30"/>
        </w:rPr>
        <w:t>1.时间：202</w:t>
      </w:r>
      <w:r>
        <w:rPr>
          <w:rFonts w:ascii="仿宋_GB2312" w:eastAsia="仿宋_GB2312" w:hint="eastAsia"/>
          <w:sz w:val="30"/>
          <w:szCs w:val="30"/>
          <w:lang w:val="en-US" w:eastAsia="zh-CN"/>
        </w:rPr>
        <w:t>6</w:t>
      </w:r>
      <w:r>
        <w:rPr>
          <w:rFonts w:ascii="仿宋_GB2312" w:eastAsia="仿宋_GB2312" w:hint="eastAsia"/>
          <w:sz w:val="30"/>
          <w:szCs w:val="30"/>
        </w:rPr>
        <w:t>年</w:t>
      </w:r>
      <w:r>
        <w:rPr>
          <w:rFonts w:ascii="仿宋_GB2312" w:eastAsia="仿宋_GB2312" w:hint="default"/>
          <w:sz w:val="30"/>
          <w:szCs w:val="30"/>
          <w:lang w:val="en-US"/>
        </w:rPr>
        <w:t>9</w:t>
      </w:r>
      <w:r>
        <w:rPr>
          <w:rFonts w:ascii="仿宋_GB2312" w:eastAsia="仿宋_GB2312" w:hint="eastAsia"/>
          <w:sz w:val="30"/>
          <w:szCs w:val="30"/>
          <w:lang w:val="en-US" w:eastAsia="zh-CN"/>
        </w:rPr>
        <w:t>月</w:t>
      </w:r>
      <w:r>
        <w:rPr>
          <w:rFonts w:ascii="仿宋_GB2312" w:eastAsia="仿宋_GB2312" w:hint="default"/>
          <w:sz w:val="30"/>
          <w:szCs w:val="30"/>
          <w:lang w:val="en-US" w:eastAsia="zh-CN"/>
        </w:rPr>
        <w:t>14</w:t>
      </w:r>
      <w:r>
        <w:rPr>
          <w:rFonts w:ascii="仿宋_GB2312" w:eastAsia="仿宋_GB2312" w:hint="eastAsia"/>
          <w:sz w:val="30"/>
          <w:szCs w:val="30"/>
          <w:lang w:val="en-US" w:eastAsia="zh-CN"/>
        </w:rPr>
        <w:t>日</w:t>
      </w:r>
      <w:r>
        <w:rPr>
          <w:rFonts w:ascii="仿宋_GB2312" w:eastAsia="仿宋_GB2312" w:hint="eastAsia"/>
          <w:sz w:val="30"/>
          <w:szCs w:val="30"/>
        </w:rPr>
        <w:t>。</w:t>
      </w:r>
    </w:p>
    <w:p w14:paraId="0CD2B13A">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eastAsia="仿宋_GB2312" w:hint="eastAsia"/>
          <w:sz w:val="30"/>
          <w:szCs w:val="30"/>
        </w:rPr>
      </w:pPr>
      <w:r>
        <w:rPr>
          <w:rFonts w:ascii="仿宋_GB2312" w:eastAsia="仿宋_GB2312" w:hint="eastAsia"/>
          <w:sz w:val="30"/>
          <w:szCs w:val="30"/>
        </w:rPr>
        <w:t>2.地点：</w:t>
      </w:r>
      <w:r>
        <w:rPr>
          <w:rFonts w:ascii="仿宋_GB2312" w:eastAsia="仿宋_GB2312" w:hint="eastAsia"/>
          <w:sz w:val="30"/>
          <w:szCs w:val="30"/>
          <w:lang w:eastAsia="zh-CN"/>
        </w:rPr>
        <w:t>浙江省绍兴市柯桥区钱滨线二线海塘绍兴市再生能源发展有限公司。</w:t>
      </w:r>
    </w:p>
    <w:p w14:paraId="01827482">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eastAsia="仿宋_GB2312" w:hint="eastAsia"/>
          <w:sz w:val="30"/>
          <w:szCs w:val="30"/>
        </w:rPr>
      </w:pPr>
      <w:r>
        <w:rPr>
          <w:rFonts w:ascii="仿宋_GB2312" w:eastAsia="仿宋_GB2312" w:hint="eastAsia"/>
          <w:sz w:val="30"/>
          <w:szCs w:val="30"/>
        </w:rPr>
        <w:t>3.</w:t>
      </w:r>
      <w:r>
        <w:rPr>
          <w:rFonts w:ascii="仿宋_GB2312" w:eastAsia="仿宋_GB2312" w:hint="eastAsia"/>
          <w:sz w:val="30"/>
          <w:szCs w:val="30"/>
          <w:lang w:eastAsia="zh-CN"/>
        </w:rPr>
        <w:t>报价方式</w:t>
      </w:r>
      <w:r>
        <w:rPr>
          <w:rFonts w:ascii="仿宋_GB2312" w:eastAsia="仿宋_GB2312" w:hint="eastAsia"/>
          <w:sz w:val="30"/>
          <w:szCs w:val="30"/>
        </w:rPr>
        <w:t>：</w:t>
      </w:r>
    </w:p>
    <w:p w14:paraId="69476E1C">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eastAsia="仿宋_GB2312" w:hint="eastAsia"/>
          <w:sz w:val="30"/>
          <w:szCs w:val="30"/>
        </w:rPr>
      </w:pPr>
      <w:r>
        <w:rPr>
          <w:rFonts w:ascii="仿宋_GB2312" w:eastAsia="仿宋_GB2312" w:hint="eastAsia"/>
          <w:sz w:val="30"/>
          <w:szCs w:val="30"/>
          <w:lang w:eastAsia="zh-CN"/>
        </w:rPr>
        <w:t>（</w:t>
      </w:r>
      <w:r>
        <w:rPr>
          <w:rFonts w:ascii="仿宋_GB2312" w:eastAsia="仿宋_GB2312" w:hint="eastAsia"/>
          <w:sz w:val="30"/>
          <w:szCs w:val="30"/>
          <w:lang w:val="en-US" w:eastAsia="zh-CN"/>
        </w:rPr>
        <w:t>1</w:t>
      </w:r>
      <w:r>
        <w:rPr>
          <w:rFonts w:ascii="仿宋_GB2312" w:eastAsia="仿宋_GB2312" w:hint="eastAsia"/>
          <w:sz w:val="30"/>
          <w:szCs w:val="30"/>
          <w:lang w:eastAsia="zh-CN"/>
        </w:rPr>
        <w:t>）本次询价开标采用线</w:t>
      </w:r>
      <w:r>
        <w:rPr>
          <w:rFonts w:ascii="仿宋_GB2312" w:eastAsia="仿宋_GB2312" w:hint="eastAsia"/>
          <w:sz w:val="30"/>
          <w:szCs w:val="30"/>
          <w:lang w:val="en-US" w:eastAsia="zh-CN"/>
        </w:rPr>
        <w:t>下开标</w:t>
      </w:r>
      <w:r>
        <w:rPr>
          <w:rFonts w:ascii="仿宋_GB2312" w:eastAsia="仿宋_GB2312" w:hint="eastAsia"/>
          <w:sz w:val="30"/>
          <w:szCs w:val="30"/>
          <w:lang w:eastAsia="zh-CN"/>
        </w:rPr>
        <w:t>方式，</w:t>
      </w:r>
      <w:r>
        <w:rPr>
          <w:rFonts w:ascii="仿宋_GB2312" w:eastAsia="仿宋_GB2312" w:hint="eastAsia"/>
          <w:sz w:val="30"/>
          <w:szCs w:val="30"/>
          <w:lang w:val="en-US" w:eastAsia="zh-CN"/>
        </w:rPr>
        <w:t>2026年</w:t>
      </w:r>
      <w:r>
        <w:rPr>
          <w:rFonts w:ascii="仿宋_GB2312" w:eastAsia="仿宋_GB2312" w:hint="default"/>
          <w:sz w:val="30"/>
          <w:szCs w:val="30"/>
          <w:lang w:val="en-US" w:eastAsia="zh-CN"/>
        </w:rPr>
        <w:t>9</w:t>
      </w:r>
      <w:r>
        <w:rPr>
          <w:rFonts w:ascii="仿宋_GB2312" w:eastAsia="仿宋_GB2312" w:hint="eastAsia"/>
          <w:sz w:val="30"/>
          <w:szCs w:val="30"/>
          <w:lang w:val="en-US" w:eastAsia="zh-CN"/>
        </w:rPr>
        <w:t>月</w:t>
      </w:r>
      <w:r>
        <w:rPr>
          <w:rFonts w:ascii="仿宋_GB2312" w:eastAsia="仿宋_GB2312" w:hint="default"/>
          <w:sz w:val="30"/>
          <w:szCs w:val="30"/>
          <w:lang w:val="en-US" w:eastAsia="zh-CN"/>
        </w:rPr>
        <w:t>14</w:t>
      </w:r>
      <w:r>
        <w:rPr>
          <w:rFonts w:ascii="仿宋_GB2312" w:eastAsia="仿宋_GB2312" w:hint="eastAsia"/>
          <w:sz w:val="30"/>
          <w:szCs w:val="30"/>
          <w:lang w:val="en-US" w:eastAsia="zh-CN"/>
        </w:rPr>
        <w:t>日上午</w:t>
      </w:r>
      <w:r>
        <w:rPr>
          <w:rFonts w:ascii="仿宋_GB2312" w:eastAsia="仿宋_GB2312" w:hint="default"/>
          <w:sz w:val="30"/>
          <w:szCs w:val="30"/>
          <w:lang w:val="en-US" w:eastAsia="zh-CN"/>
        </w:rPr>
        <w:t>10</w:t>
      </w:r>
      <w:r>
        <w:rPr>
          <w:rFonts w:ascii="仿宋_GB2312" w:eastAsia="仿宋_GB2312" w:hint="eastAsia"/>
          <w:sz w:val="30"/>
          <w:szCs w:val="30"/>
          <w:lang w:val="en-US" w:eastAsia="zh-CN"/>
        </w:rPr>
        <w:t>：</w:t>
      </w:r>
      <w:r>
        <w:rPr>
          <w:rFonts w:ascii="仿宋_GB2312" w:eastAsia="仿宋_GB2312" w:hint="default"/>
          <w:sz w:val="30"/>
          <w:szCs w:val="30"/>
          <w:lang w:val="en-US" w:eastAsia="zh-CN"/>
        </w:rPr>
        <w:t>00</w:t>
      </w:r>
      <w:r>
        <w:rPr>
          <w:rFonts w:ascii="仿宋_GB2312" w:eastAsia="仿宋_GB2312" w:hint="eastAsia"/>
          <w:sz w:val="30"/>
          <w:szCs w:val="30"/>
          <w:lang w:val="en-US" w:eastAsia="zh-CN"/>
        </w:rPr>
        <w:t>分集中看现场废铁，后一并在四楼培训室分别进行报价</w:t>
      </w:r>
      <w:r>
        <w:rPr>
          <w:rFonts w:ascii="仿宋_GB2312" w:eastAsia="仿宋_GB2312" w:hint="eastAsia"/>
          <w:sz w:val="30"/>
          <w:szCs w:val="30"/>
        </w:rPr>
        <w:t>。</w:t>
      </w:r>
    </w:p>
    <w:p w14:paraId="69EA963F">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outlineLvl w:val="1"/>
        <w:rPr>
          <w:rFonts w:ascii="仿宋_GB2312" w:cs="Times New Roman" w:eastAsia="仿宋_GB2312" w:hAnsi="Times New Roman" w:hint="eastAsia"/>
          <w:b/>
          <w:bCs/>
          <w:sz w:val="30"/>
          <w:szCs w:val="30"/>
          <w:lang w:val="en-US" w:eastAsia="zh-CN"/>
        </w:rPr>
      </w:pPr>
      <w:r>
        <w:rPr>
          <w:rFonts w:ascii="仿宋_GB2312" w:cs="Times New Roman" w:eastAsia="仿宋_GB2312" w:hAnsi="Times New Roman" w:hint="eastAsia"/>
          <w:b/>
          <w:bCs/>
          <w:sz w:val="30"/>
          <w:szCs w:val="30"/>
          <w:lang w:val="en-US" w:eastAsia="zh-CN"/>
        </w:rPr>
        <w:t>四、技术规范</w:t>
      </w:r>
      <w:r>
        <w:rPr>
          <w:rFonts w:ascii="仿宋_GB2312" w:eastAsia="仿宋_GB2312" w:hint="eastAsia"/>
          <w:b/>
          <w:bCs/>
          <w:sz w:val="30"/>
          <w:szCs w:val="30"/>
        </w:rPr>
        <w:t>。</w:t>
      </w:r>
    </w:p>
    <w:p w14:paraId="1BAFDEFC">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cs="Times New Roman" w:eastAsia="仿宋_GB2312" w:hAnsi="Times New Roman" w:hint="eastAsia"/>
          <w:sz w:val="30"/>
          <w:szCs w:val="30"/>
          <w:lang w:val="en-US" w:eastAsia="zh-CN"/>
        </w:rPr>
      </w:pPr>
      <w:r>
        <w:rPr>
          <w:rFonts w:ascii="仿宋_GB2312" w:cs="Times New Roman" w:eastAsia="仿宋_GB2312" w:hAnsi="Times New Roman" w:hint="eastAsia"/>
          <w:sz w:val="30"/>
          <w:szCs w:val="30"/>
          <w:lang w:val="en-US" w:eastAsia="zh-CN"/>
        </w:rPr>
        <w:t>1.报价人如对招标文件中废弃金属的种类、预估数量、堆放地点、看货方式或提货要求存在疑义，应在投标前向本公司进行咨询确认。开标后本公司不再回答相关问题。报价人需在合同签订之前，向采购人指定账户缴纳履约保证金（押金）人民币10,000元（大写：壹万元整）。若报价人中标后以货物实际情况与预期不符为由拒绝履行合同或拒绝支付货款，则由报价人自行承担全部责任，且本公司有权没收其履约保证金。</w:t>
      </w:r>
    </w:p>
    <w:p w14:paraId="5AE7D10E">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cs="Times New Roman" w:eastAsia="仿宋_GB2312" w:hAnsi="Times New Roman" w:hint="eastAsia"/>
          <w:sz w:val="30"/>
          <w:szCs w:val="30"/>
          <w:lang w:val="en-US" w:eastAsia="zh-CN"/>
        </w:rPr>
      </w:pPr>
      <w:r>
        <w:rPr>
          <w:rFonts w:ascii="仿宋_GB2312" w:cs="Times New Roman" w:eastAsia="仿宋_GB2312" w:hint="eastAsia"/>
          <w:sz w:val="30"/>
          <w:szCs w:val="30"/>
          <w:lang w:val="en-US" w:eastAsia="zh-CN"/>
        </w:rPr>
        <w:t>2.本项目严格采用“现场看货、现状出售”的方式进行交易。报价人必须在招标文件规定的时间内，前往采购人指定地点参与集中现场踏勘，对标的物（包括但不限于金属种类、规格型号、锈蚀程度、杂质含量、堆放现状等）进行全面查验。报价人一旦提交报价文件，即视为已充分了解并接受货物的实物现状，完全认可采购人对货物数量及质量的描述，并自愿承担由此产生的一切风险。预估数量仅作为报价参考，不作为最终结算依据，最终结算重量以实际出库过磅重量为准。 报价人不得在成交后以货物现状、质量瑕疵或实际数量与预估不符等为由提出异议、拒收货物或要求调整价格。</w:t>
      </w:r>
    </w:p>
    <w:p w14:paraId="6E0CCEBB">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cs="Times New Roman" w:eastAsia="仿宋_GB2312" w:hAnsi="Times New Roman" w:hint="default"/>
          <w:sz w:val="30"/>
          <w:szCs w:val="30"/>
          <w:lang w:val="en-US" w:eastAsia="zh-CN"/>
        </w:rPr>
      </w:pPr>
      <w:r>
        <w:rPr>
          <w:rFonts w:ascii="仿宋_GB2312" w:cs="Times New Roman" w:eastAsia="仿宋_GB2312" w:hint="eastAsia"/>
          <w:sz w:val="30"/>
          <w:szCs w:val="30"/>
          <w:lang w:val="en-US" w:eastAsia="zh-CN"/>
        </w:rPr>
        <w:t>3</w:t>
      </w:r>
      <w:r>
        <w:rPr>
          <w:rFonts w:ascii="仿宋_GB2312" w:cs="Times New Roman" w:eastAsia="仿宋_GB2312" w:hAnsi="Times New Roman" w:hint="eastAsia"/>
          <w:sz w:val="30"/>
          <w:szCs w:val="30"/>
          <w:lang w:val="en-US" w:eastAsia="zh-CN"/>
        </w:rPr>
        <w:t>.联系人：</w:t>
      </w:r>
      <w:r>
        <w:rPr>
          <w:rFonts w:ascii="仿宋_GB2312" w:cs="Times New Roman" w:eastAsia="仿宋_GB2312" w:hint="eastAsia"/>
          <w:sz w:val="30"/>
          <w:szCs w:val="30"/>
          <w:lang w:val="en-US" w:eastAsia="zh-CN"/>
        </w:rPr>
        <w:t>杨</w:t>
      </w:r>
      <w:r>
        <w:rPr>
          <w:rFonts w:ascii="仿宋_GB2312" w:cs="Times New Roman" w:eastAsia="仿宋_GB2312" w:hAnsi="Times New Roman" w:hint="eastAsia"/>
          <w:sz w:val="30"/>
          <w:szCs w:val="30"/>
          <w:lang w:val="en-US" w:eastAsia="zh-CN"/>
        </w:rPr>
        <w:t>工    联系电话：18</w:t>
      </w:r>
      <w:r>
        <w:rPr>
          <w:rFonts w:ascii="仿宋_GB2312" w:cs="Times New Roman" w:eastAsia="仿宋_GB2312" w:hint="eastAsia"/>
          <w:sz w:val="30"/>
          <w:szCs w:val="30"/>
          <w:lang w:val="en-US" w:eastAsia="zh-CN"/>
        </w:rPr>
        <w:t>857591913</w:t>
      </w:r>
    </w:p>
    <w:p w14:paraId="67FB8046">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outlineLvl w:val="1"/>
        <w:rPr>
          <w:rFonts w:ascii="仿宋_GB2312" w:eastAsia="仿宋_GB2312" w:hint="eastAsia"/>
          <w:b/>
          <w:bCs/>
          <w:sz w:val="30"/>
          <w:szCs w:val="30"/>
        </w:rPr>
      </w:pPr>
      <w:r>
        <w:rPr>
          <w:rFonts w:ascii="仿宋_GB2312" w:eastAsia="仿宋_GB2312" w:hint="eastAsia"/>
          <w:b/>
          <w:bCs/>
          <w:sz w:val="30"/>
          <w:szCs w:val="30"/>
          <w:lang w:eastAsia="zh-CN"/>
        </w:rPr>
        <w:t>五</w:t>
      </w:r>
      <w:r>
        <w:rPr>
          <w:rFonts w:ascii="仿宋_GB2312" w:eastAsia="仿宋_GB2312" w:hint="eastAsia"/>
          <w:b/>
          <w:bCs/>
          <w:sz w:val="30"/>
          <w:szCs w:val="30"/>
        </w:rPr>
        <w:t>、质疑。</w:t>
      </w:r>
    </w:p>
    <w:p w14:paraId="6C81090D">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ascii="仿宋_GB2312" w:eastAsia="仿宋_GB2312" w:hint="eastAsia"/>
          <w:sz w:val="30"/>
          <w:szCs w:val="30"/>
        </w:rPr>
      </w:pPr>
      <w:r>
        <w:rPr>
          <w:rFonts w:ascii="仿宋_GB2312" w:eastAsia="仿宋_GB2312" w:hint="eastAsia"/>
          <w:sz w:val="30"/>
          <w:szCs w:val="30"/>
          <w:lang w:eastAsia="zh-CN"/>
        </w:rPr>
        <w:t>报价人</w:t>
      </w:r>
      <w:r>
        <w:rPr>
          <w:rFonts w:ascii="仿宋_GB2312" w:eastAsia="仿宋_GB2312" w:hint="eastAsia"/>
          <w:sz w:val="30"/>
          <w:szCs w:val="30"/>
        </w:rPr>
        <w:t>如认为询价文件使自身的合法权益受到损害的，应于自</w:t>
      </w:r>
      <w:r>
        <w:rPr>
          <w:rFonts w:ascii="仿宋_GB2312" w:eastAsia="仿宋_GB2312" w:hint="eastAsia"/>
          <w:sz w:val="30"/>
          <w:szCs w:val="30"/>
          <w:lang w:eastAsia="zh-CN"/>
        </w:rPr>
        <w:t>公告</w:t>
      </w:r>
      <w:r>
        <w:rPr>
          <w:rFonts w:ascii="仿宋_GB2312" w:eastAsia="仿宋_GB2312" w:hint="eastAsia"/>
          <w:sz w:val="30"/>
          <w:szCs w:val="30"/>
        </w:rPr>
        <w:t>之日起1日内以书面形式向采购人提出质疑。逾期视作无异议。</w:t>
      </w:r>
    </w:p>
    <w:p w14:paraId="483B6D10">
      <w:pPr>
        <w:pStyle w:val="style0"/>
        <w:keepNext w:val="false"/>
        <w:keepLines w:val="false"/>
        <w:pageBreakBefore w:val="false"/>
        <w:widowControl w:val="false"/>
        <w:numPr>
          <w:ilvl w:val="0"/>
          <w:numId w:val="2"/>
        </w:numPr>
        <w:kinsoku/>
        <w:wordWrap/>
        <w:overflowPunct/>
        <w:topLinePunct w:val="false"/>
        <w:autoSpaceDE/>
        <w:autoSpaceDN/>
        <w:bidi w:val="false"/>
        <w:adjustRightInd/>
        <w:snapToGrid w:val="false"/>
        <w:spacing w:lineRule="auto" w:line="360"/>
        <w:ind w:firstLine="585"/>
        <w:jc w:val="left"/>
        <w:textAlignment w:val="auto"/>
        <w:outlineLvl w:val="1"/>
        <w:rPr>
          <w:rFonts w:ascii="仿宋_GB2312" w:eastAsia="仿宋_GB2312" w:hint="eastAsia"/>
          <w:b/>
          <w:bCs/>
          <w:sz w:val="30"/>
          <w:szCs w:val="30"/>
          <w:lang w:eastAsia="zh-CN"/>
        </w:rPr>
      </w:pPr>
      <w:r>
        <w:rPr>
          <w:rFonts w:ascii="仿宋_GB2312" w:eastAsia="仿宋_GB2312" w:hint="eastAsia"/>
          <w:b/>
          <w:bCs/>
          <w:sz w:val="30"/>
          <w:szCs w:val="30"/>
          <w:lang w:eastAsia="zh-CN"/>
        </w:rPr>
        <w:t>其他</w:t>
      </w:r>
      <w:r>
        <w:rPr>
          <w:rFonts w:ascii="仿宋_GB2312" w:eastAsia="仿宋_GB2312" w:hint="eastAsia"/>
          <w:b/>
          <w:bCs/>
          <w:sz w:val="30"/>
          <w:szCs w:val="30"/>
        </w:rPr>
        <w:t>。</w:t>
      </w:r>
    </w:p>
    <w:p w14:paraId="2E58BB05">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rPr>
          <w:rFonts w:hint="default"/>
          <w:lang w:val="en-US" w:eastAsia="zh-CN"/>
        </w:rPr>
      </w:pPr>
      <w:r>
        <w:rPr>
          <w:rFonts w:ascii="仿宋_GB2312" w:cs="Times New Roman" w:eastAsia="仿宋_GB2312" w:hAnsi="Times New Roman" w:hint="eastAsia"/>
          <w:sz w:val="30"/>
          <w:szCs w:val="30"/>
          <w:lang w:val="en-US" w:eastAsia="zh-CN"/>
        </w:rPr>
        <w:t>本项目未委托任何招标代理进行对外询价，且禁止第三方平台用于相关经济项目活动。若未经本公司授权，直接对本项目进行二次利用，产生的相关纠纷，本公司保留追责权利。</w:t>
      </w:r>
    </w:p>
    <w:p w14:paraId="62C16CA8">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left"/>
        <w:textAlignment w:val="auto"/>
        <w:outlineLvl w:val="1"/>
        <w:rPr>
          <w:rFonts w:ascii="仿宋_GB2312" w:eastAsia="仿宋_GB2312" w:hint="eastAsia"/>
          <w:sz w:val="30"/>
          <w:szCs w:val="30"/>
        </w:rPr>
      </w:pPr>
      <w:r>
        <w:rPr>
          <w:rFonts w:ascii="仿宋_GB2312" w:eastAsia="仿宋_GB2312" w:hint="eastAsia"/>
          <w:b/>
          <w:bCs/>
          <w:sz w:val="30"/>
          <w:szCs w:val="30"/>
          <w:lang w:eastAsia="zh-CN"/>
        </w:rPr>
        <w:t>七</w:t>
      </w:r>
      <w:r>
        <w:rPr>
          <w:rFonts w:ascii="仿宋_GB2312" w:eastAsia="仿宋_GB2312" w:hint="eastAsia"/>
          <w:b/>
          <w:bCs/>
          <w:sz w:val="30"/>
          <w:szCs w:val="30"/>
        </w:rPr>
        <w:t>、监督部门</w:t>
      </w:r>
      <w:r>
        <w:rPr>
          <w:rFonts w:ascii="仿宋_GB2312" w:eastAsia="仿宋_GB2312" w:hint="eastAsia"/>
          <w:b/>
          <w:bCs/>
          <w:sz w:val="30"/>
          <w:szCs w:val="30"/>
          <w:lang w:val="en-US" w:eastAsia="zh-CN"/>
        </w:rPr>
        <w:t xml:space="preserve">  </w:t>
      </w:r>
      <w:r>
        <w:rPr>
          <w:rFonts w:ascii="仿宋_GB2312" w:cs="Times New Roman" w:eastAsia="仿宋_GB2312" w:hAnsi="Times New Roman" w:hint="eastAsia"/>
          <w:sz w:val="30"/>
          <w:szCs w:val="30"/>
          <w:lang w:val="en-US" w:eastAsia="zh-CN"/>
        </w:rPr>
        <w:t>联系电话：</w:t>
      </w:r>
      <w:r>
        <w:rPr>
          <w:rFonts w:ascii="仿宋_GB2312" w:cs="Times New Roman" w:eastAsia="仿宋_GB2312" w:hint="eastAsia"/>
          <w:color w:val="auto"/>
          <w:sz w:val="30"/>
          <w:szCs w:val="30"/>
          <w:lang w:val="en-US" w:eastAsia="zh-CN"/>
        </w:rPr>
        <w:t>0575-85791902</w:t>
      </w:r>
    </w:p>
    <w:p w14:paraId="7336D46D">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right"/>
        <w:textAlignment w:val="auto"/>
        <w:rPr>
          <w:rFonts w:ascii="仿宋_GB2312" w:eastAsia="仿宋_GB2312" w:hint="eastAsia"/>
          <w:sz w:val="30"/>
          <w:szCs w:val="30"/>
          <w:lang w:eastAsia="zh-CN"/>
        </w:rPr>
      </w:pPr>
      <w:r>
        <w:rPr>
          <w:rFonts w:ascii="仿宋_GB2312" w:eastAsia="仿宋_GB2312" w:hint="eastAsia"/>
          <w:sz w:val="30"/>
          <w:szCs w:val="30"/>
          <w:lang w:eastAsia="zh-CN"/>
        </w:rPr>
        <w:t>绍兴市再生能源发展有限公司</w:t>
      </w:r>
    </w:p>
    <w:p w14:paraId="0C5AC8FA">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585"/>
        <w:jc w:val="center"/>
        <w:textAlignment w:val="auto"/>
        <w:rPr>
          <w:rFonts w:ascii="仿宋_GB2312" w:eastAsia="仿宋_GB2312"/>
          <w:snapToGrid w:val="false"/>
          <w:sz w:val="30"/>
          <w:szCs w:val="30"/>
        </w:rPr>
      </w:pPr>
      <w:r>
        <w:rPr>
          <w:rFonts w:ascii="仿宋_GB2312" w:eastAsia="仿宋_GB2312" w:hint="eastAsia"/>
          <w:sz w:val="30"/>
          <w:szCs w:val="30"/>
          <w:lang w:val="en-US" w:eastAsia="zh-CN"/>
        </w:rPr>
        <w:t xml:space="preserve">                                        2026</w:t>
      </w:r>
      <w:r>
        <w:rPr>
          <w:rFonts w:ascii="仿宋_GB2312" w:eastAsia="仿宋_GB2312" w:hint="default"/>
          <w:sz w:val="30"/>
          <w:szCs w:val="30"/>
          <w:lang w:val="en-US"/>
        </w:rPr>
        <w:t>年9</w:t>
      </w:r>
      <w:r>
        <w:rPr>
          <w:rFonts w:ascii="仿宋_GB2312" w:eastAsia="仿宋_GB2312" w:hint="eastAsia"/>
          <w:sz w:val="30"/>
          <w:szCs w:val="30"/>
          <w:lang w:val="en-US" w:eastAsia="zh-CN"/>
        </w:rPr>
        <w:t>月</w:t>
      </w:r>
      <w:r>
        <w:rPr>
          <w:rFonts w:ascii="仿宋_GB2312" w:eastAsia="仿宋_GB2312" w:hint="default"/>
          <w:sz w:val="30"/>
          <w:szCs w:val="30"/>
          <w:lang w:val="en-US" w:eastAsia="zh-CN"/>
        </w:rPr>
        <w:t>10</w:t>
      </w:r>
      <w:r>
        <w:rPr>
          <w:rFonts w:ascii="仿宋_GB2312" w:eastAsia="仿宋_GB2312" w:hint="eastAsia"/>
          <w:sz w:val="30"/>
          <w:szCs w:val="30"/>
        </w:rPr>
        <w:t>日</w:t>
      </w:r>
      <w:bookmarkStart w:id="9" w:name="_GoBack"/>
      <w:bookmarkEnd w:id="9"/>
      <w:r>
        <w:rPr>
          <w:rFonts w:ascii="仿宋_GB2312" w:eastAsia="仿宋_GB2312" w:hint="eastAsia"/>
          <w:sz w:val="30"/>
          <w:szCs w:val="30"/>
        </w:rPr>
        <w:br w:type="page"/>
      </w:r>
      <w:bookmarkStart w:id="10" w:name="_Toc530583922"/>
      <w:bookmarkStart w:id="11" w:name="_Toc530583879"/>
      <w:r>
        <w:rPr>
          <w:rFonts w:ascii="仿宋" w:cs="仿宋" w:eastAsia="仿宋" w:hAnsi="仿宋" w:hint="eastAsia"/>
          <w:b/>
          <w:snapToGrid w:val="false"/>
          <w:color w:val="000000"/>
          <w:kern w:val="44"/>
          <w:sz w:val="44"/>
          <w:szCs w:val="44"/>
          <w:lang w:val="en-US" w:bidi="ar-SA" w:eastAsia="zh-CN"/>
        </w:rPr>
        <w:t>第二部分   须知</w:t>
      </w:r>
      <w:bookmarkEnd w:id="10"/>
      <w:bookmarkEnd w:id="11"/>
    </w:p>
    <w:p w14:paraId="139FFD1C">
      <w:pPr>
        <w:pStyle w:val="style0"/>
        <w:pageBreakBefore w:val="false"/>
        <w:kinsoku/>
        <w:wordWrap/>
        <w:topLinePunct w:val="false"/>
        <w:bidi w:val="false"/>
        <w:snapToGrid w:val="false"/>
        <w:spacing w:lineRule="auto" w:line="360"/>
        <w:ind w:right="-176" w:rightChars="-84" w:firstLine="600"/>
        <w:outlineLvl w:val="1"/>
        <w:rPr>
          <w:rFonts w:ascii="仿宋_GB2312" w:eastAsia="仿宋_GB2312" w:hint="eastAsia"/>
          <w:b/>
          <w:bCs/>
          <w:sz w:val="30"/>
          <w:szCs w:val="30"/>
        </w:rPr>
      </w:pPr>
      <w:r>
        <w:rPr>
          <w:rFonts w:ascii="仿宋_GB2312" w:eastAsia="仿宋_GB2312" w:hint="eastAsia"/>
          <w:b/>
          <w:bCs/>
          <w:sz w:val="30"/>
          <w:szCs w:val="30"/>
        </w:rPr>
        <w:t>一、适用范围。</w:t>
      </w:r>
    </w:p>
    <w:p w14:paraId="2322E8E0">
      <w:pPr>
        <w:pStyle w:val="style0"/>
        <w:pageBreakBefore w:val="false"/>
        <w:kinsoku/>
        <w:wordWrap/>
        <w:topLinePunct w:val="false"/>
        <w:bidi w:val="false"/>
        <w:snapToGrid w:val="false"/>
        <w:spacing w:lineRule="auto" w:line="360"/>
        <w:rPr>
          <w:rFonts w:ascii="仿宋_GB2312" w:eastAsia="仿宋_GB2312" w:hAnsi="宋体"/>
          <w:sz w:val="30"/>
          <w:szCs w:val="30"/>
        </w:rPr>
      </w:pPr>
      <w:r>
        <w:rPr>
          <w:rFonts w:ascii="仿宋_GB2312" w:eastAsia="仿宋_GB2312" w:hAnsi="宋体" w:hint="eastAsia"/>
          <w:sz w:val="30"/>
          <w:szCs w:val="30"/>
        </w:rPr>
        <w:t xml:space="preserve">    仅适用于本次询价采购所叙述的货物和服务。</w:t>
      </w:r>
    </w:p>
    <w:p w14:paraId="3A7E1AED">
      <w:pPr>
        <w:pStyle w:val="style0"/>
        <w:pageBreakBefore w:val="false"/>
        <w:kinsoku/>
        <w:wordWrap/>
        <w:topLinePunct w:val="false"/>
        <w:bidi w:val="false"/>
        <w:snapToGrid w:val="false"/>
        <w:spacing w:lineRule="auto" w:line="360"/>
        <w:ind w:left="1" w:firstLine="774" w:firstLineChars="257"/>
        <w:outlineLvl w:val="1"/>
        <w:rPr>
          <w:rFonts w:ascii="仿宋_GB2312" w:eastAsia="仿宋_GB2312" w:hint="eastAsia"/>
          <w:b/>
          <w:bCs/>
          <w:sz w:val="30"/>
          <w:szCs w:val="30"/>
          <w:lang w:val="en-US" w:eastAsia="zh-CN"/>
        </w:rPr>
      </w:pPr>
      <w:r>
        <w:rPr>
          <w:rFonts w:ascii="仿宋_GB2312" w:eastAsia="仿宋_GB2312" w:hint="eastAsia"/>
          <w:b/>
          <w:bCs/>
          <w:sz w:val="30"/>
          <w:szCs w:val="30"/>
          <w:lang w:val="en-US" w:eastAsia="zh-CN"/>
        </w:rPr>
        <w:t>二、报价。</w:t>
      </w:r>
    </w:p>
    <w:p w14:paraId="16886DD4">
      <w:pPr>
        <w:pStyle w:val="style0"/>
        <w:pageBreakBefore w:val="false"/>
        <w:kinsoku/>
        <w:wordWrap/>
        <w:topLinePunct w:val="false"/>
        <w:bidi w:val="false"/>
        <w:snapToGrid w:val="false"/>
        <w:spacing w:lineRule="auto" w:line="360"/>
        <w:ind w:firstLine="600" w:firstLineChars="200"/>
        <w:rPr>
          <w:rFonts w:ascii="仿宋_GB2312" w:eastAsia="仿宋_GB2312" w:hAnsi="宋体" w:hint="eastAsia"/>
          <w:sz w:val="30"/>
          <w:szCs w:val="30"/>
        </w:rPr>
      </w:pPr>
      <w:r>
        <w:rPr>
          <w:rFonts w:ascii="仿宋_GB2312" w:eastAsia="仿宋_GB2312" w:hAnsi="宋体" w:hint="eastAsia"/>
          <w:sz w:val="30"/>
          <w:szCs w:val="30"/>
        </w:rPr>
        <w:t>（一）本项目以人民币为结算货币。</w:t>
      </w:r>
    </w:p>
    <w:p w14:paraId="11F0D0CA">
      <w:pPr>
        <w:pStyle w:val="style0"/>
        <w:pageBreakBefore w:val="false"/>
        <w:kinsoku/>
        <w:wordWrap/>
        <w:topLinePunct w:val="false"/>
        <w:bidi w:val="false"/>
        <w:snapToGrid w:val="false"/>
        <w:spacing w:lineRule="auto" w:line="360"/>
        <w:ind w:firstLine="600" w:firstLineChars="200"/>
        <w:rPr>
          <w:rFonts w:ascii="仿宋_GB2312" w:eastAsia="仿宋_GB2312" w:hAnsi="宋体"/>
          <w:sz w:val="30"/>
          <w:szCs w:val="30"/>
        </w:rPr>
      </w:pPr>
      <w:r>
        <w:rPr>
          <w:rFonts w:ascii="仿宋_GB2312" w:eastAsia="仿宋_GB2312" w:hAnsi="宋体" w:hint="eastAsia"/>
          <w:sz w:val="30"/>
          <w:szCs w:val="30"/>
        </w:rPr>
        <w:t>（</w:t>
      </w:r>
      <w:r>
        <w:rPr>
          <w:rFonts w:ascii="仿宋_GB2312" w:eastAsia="仿宋_GB2312" w:hAnsi="宋体" w:hint="eastAsia"/>
          <w:sz w:val="30"/>
          <w:szCs w:val="30"/>
          <w:lang w:eastAsia="zh-CN"/>
        </w:rPr>
        <w:t>二</w:t>
      </w:r>
      <w:r>
        <w:rPr>
          <w:rFonts w:ascii="仿宋_GB2312" w:eastAsia="仿宋_GB2312" w:hAnsi="宋体" w:hint="eastAsia"/>
          <w:sz w:val="30"/>
          <w:szCs w:val="30"/>
        </w:rPr>
        <w:t>）</w:t>
      </w:r>
      <w:r>
        <w:rPr>
          <w:rFonts w:ascii="仿宋_GB2312" w:eastAsia="仿宋_GB2312" w:hAnsi="宋体" w:hint="eastAsia"/>
          <w:sz w:val="30"/>
          <w:szCs w:val="30"/>
          <w:lang w:val="en-US" w:eastAsia="zh-CN"/>
        </w:rPr>
        <w:t>报价人</w:t>
      </w:r>
      <w:r>
        <w:rPr>
          <w:rFonts w:ascii="仿宋_GB2312" w:eastAsia="仿宋_GB2312" w:hAnsi="宋体" w:hint="eastAsia"/>
          <w:sz w:val="30"/>
          <w:szCs w:val="30"/>
        </w:rPr>
        <w:t>报价应为一次性报价。如果出现同一报价人提交两份及以上报价文件，则该报价人报价无效。本项目设最低限价，报价人报价低于最低限价的，作无效报价处理。报价人报价应包括运输费和税费等一切费用，不得另行计费。</w:t>
      </w:r>
    </w:p>
    <w:p w14:paraId="77B2ABDD">
      <w:pPr>
        <w:pStyle w:val="style0"/>
        <w:pageBreakBefore w:val="false"/>
        <w:kinsoku/>
        <w:wordWrap/>
        <w:topLinePunct w:val="false"/>
        <w:bidi w:val="false"/>
        <w:snapToGrid w:val="false"/>
        <w:spacing w:lineRule="auto" w:line="360"/>
        <w:ind w:left="1" w:firstLine="774" w:firstLineChars="257"/>
        <w:outlineLvl w:val="1"/>
        <w:rPr>
          <w:rFonts w:ascii="仿宋_GB2312" w:eastAsia="仿宋_GB2312" w:hint="eastAsia"/>
          <w:b/>
          <w:bCs/>
          <w:sz w:val="30"/>
          <w:szCs w:val="30"/>
          <w:lang w:val="en-US" w:eastAsia="zh-CN"/>
        </w:rPr>
      </w:pPr>
      <w:r>
        <w:rPr>
          <w:rFonts w:ascii="仿宋_GB2312" w:eastAsia="仿宋_GB2312" w:hint="eastAsia"/>
          <w:b/>
          <w:bCs/>
          <w:sz w:val="30"/>
          <w:szCs w:val="30"/>
          <w:lang w:val="en-US" w:eastAsia="zh-CN"/>
        </w:rPr>
        <w:t>三、询价过程。</w:t>
      </w:r>
    </w:p>
    <w:p w14:paraId="56F9CD43">
      <w:pPr>
        <w:pStyle w:val="style0"/>
        <w:pageBreakBefore w:val="false"/>
        <w:kinsoku/>
        <w:wordWrap/>
        <w:topLinePunct w:val="false"/>
        <w:bidi w:val="false"/>
        <w:snapToGrid w:val="false"/>
        <w:spacing w:lineRule="auto" w:line="360"/>
        <w:jc w:val="left"/>
        <w:rPr>
          <w:rFonts w:ascii="仿宋_GB2312" w:eastAsia="仿宋_GB2312"/>
          <w:sz w:val="30"/>
          <w:szCs w:val="30"/>
        </w:rPr>
      </w:pPr>
      <w:r>
        <w:rPr>
          <w:rFonts w:ascii="仿宋_GB2312" w:eastAsia="仿宋_GB2312" w:hint="eastAsia"/>
          <w:sz w:val="30"/>
          <w:szCs w:val="30"/>
        </w:rPr>
        <w:t xml:space="preserve">    （一）</w:t>
      </w:r>
      <w:r>
        <w:rPr>
          <w:rFonts w:ascii="仿宋_GB2312" w:eastAsia="仿宋_GB2312" w:hint="eastAsia"/>
          <w:sz w:val="30"/>
          <w:szCs w:val="30"/>
          <w:lang w:val="en-US" w:eastAsia="zh-CN"/>
        </w:rPr>
        <w:t>采购人</w:t>
      </w:r>
      <w:r>
        <w:rPr>
          <w:rFonts w:ascii="仿宋_GB2312" w:eastAsia="仿宋_GB2312" w:hint="eastAsia"/>
          <w:sz w:val="30"/>
          <w:szCs w:val="30"/>
        </w:rPr>
        <w:t>组织3人</w:t>
      </w:r>
      <w:r>
        <w:rPr>
          <w:rFonts w:ascii="仿宋_GB2312" w:eastAsia="仿宋_GB2312" w:hint="eastAsia"/>
          <w:sz w:val="30"/>
          <w:szCs w:val="30"/>
          <w:lang w:eastAsia="zh-CN"/>
        </w:rPr>
        <w:t>或</w:t>
      </w:r>
      <w:r>
        <w:rPr>
          <w:rFonts w:ascii="仿宋_GB2312" w:eastAsia="仿宋_GB2312" w:hint="eastAsia"/>
          <w:sz w:val="30"/>
          <w:szCs w:val="30"/>
          <w:lang w:val="en-US" w:eastAsia="zh-CN"/>
        </w:rPr>
        <w:t>3人以上</w:t>
      </w:r>
      <w:r>
        <w:rPr>
          <w:rFonts w:ascii="仿宋_GB2312" w:eastAsia="仿宋_GB2312" w:hint="eastAsia"/>
          <w:sz w:val="30"/>
          <w:szCs w:val="30"/>
        </w:rPr>
        <w:t>组成询价评审小组。</w:t>
      </w:r>
    </w:p>
    <w:p w14:paraId="71D74AE0">
      <w:pPr>
        <w:pStyle w:val="style0"/>
        <w:pageBreakBefore w:val="false"/>
        <w:kinsoku/>
        <w:wordWrap/>
        <w:topLinePunct w:val="false"/>
        <w:bidi w:val="false"/>
        <w:snapToGrid w:val="false"/>
        <w:spacing w:lineRule="auto" w:line="360"/>
        <w:ind w:firstLine="600" w:firstLineChars="200"/>
        <w:jc w:val="left"/>
        <w:rPr>
          <w:rFonts w:ascii="仿宋_GB2312" w:eastAsia="仿宋_GB2312"/>
          <w:sz w:val="30"/>
          <w:szCs w:val="30"/>
        </w:rPr>
      </w:pPr>
      <w:r>
        <w:rPr>
          <w:rFonts w:ascii="仿宋_GB2312" w:eastAsia="仿宋_GB2312" w:hint="eastAsia"/>
          <w:sz w:val="30"/>
          <w:szCs w:val="30"/>
        </w:rPr>
        <w:t>（二）</w:t>
      </w:r>
      <w:r>
        <w:rPr>
          <w:rFonts w:ascii="仿宋_GB2312" w:eastAsia="仿宋_GB2312" w:hint="eastAsia"/>
          <w:sz w:val="30"/>
          <w:szCs w:val="30"/>
          <w:lang w:val="en-US" w:eastAsia="zh-CN"/>
        </w:rPr>
        <w:t>采购人</w:t>
      </w:r>
      <w:r>
        <w:rPr>
          <w:rFonts w:ascii="仿宋_GB2312" w:eastAsia="仿宋_GB2312" w:hint="eastAsia"/>
          <w:sz w:val="30"/>
          <w:szCs w:val="30"/>
        </w:rPr>
        <w:t>在询价文件规定的时间和地点</w:t>
      </w:r>
      <w:r>
        <w:rPr>
          <w:rFonts w:ascii="仿宋_GB2312" w:eastAsia="仿宋_GB2312" w:hint="eastAsia"/>
          <w:sz w:val="30"/>
          <w:szCs w:val="30"/>
          <w:lang w:eastAsia="zh-CN"/>
        </w:rPr>
        <w:t>进行开标</w:t>
      </w:r>
      <w:r>
        <w:rPr>
          <w:rFonts w:ascii="仿宋_GB2312" w:eastAsia="仿宋_GB2312" w:hint="eastAsia"/>
          <w:sz w:val="30"/>
          <w:szCs w:val="30"/>
        </w:rPr>
        <w:t>。</w:t>
      </w:r>
    </w:p>
    <w:p w14:paraId="1BF02B07">
      <w:pPr>
        <w:pStyle w:val="style0"/>
        <w:pageBreakBefore w:val="false"/>
        <w:kinsoku/>
        <w:wordWrap/>
        <w:topLinePunct w:val="false"/>
        <w:bidi w:val="false"/>
        <w:snapToGrid w:val="false"/>
        <w:spacing w:lineRule="auto" w:line="360"/>
        <w:ind w:firstLine="602" w:firstLineChars="200"/>
        <w:jc w:val="left"/>
        <w:outlineLvl w:val="1"/>
        <w:rPr>
          <w:rFonts w:ascii="仿宋_GB2312" w:eastAsia="仿宋_GB2312"/>
          <w:b/>
          <w:bCs/>
          <w:sz w:val="30"/>
          <w:szCs w:val="30"/>
        </w:rPr>
      </w:pPr>
      <w:r>
        <w:rPr>
          <w:rFonts w:ascii="仿宋_GB2312" w:eastAsia="仿宋_GB2312" w:hint="eastAsia"/>
          <w:b/>
          <w:bCs/>
          <w:sz w:val="30"/>
          <w:szCs w:val="30"/>
          <w:lang w:eastAsia="zh-CN"/>
        </w:rPr>
        <w:t>四、</w:t>
      </w:r>
      <w:r>
        <w:rPr>
          <w:rFonts w:ascii="仿宋_GB2312" w:eastAsia="仿宋_GB2312" w:hint="eastAsia"/>
          <w:b/>
          <w:bCs/>
          <w:sz w:val="30"/>
          <w:szCs w:val="30"/>
        </w:rPr>
        <w:t>成交原则与方法。</w:t>
      </w:r>
    </w:p>
    <w:p w14:paraId="0009E4CA">
      <w:pPr>
        <w:pStyle w:val="style0"/>
        <w:pageBreakBefore w:val="false"/>
        <w:kinsoku/>
        <w:wordWrap/>
        <w:topLinePunct w:val="false"/>
        <w:bidi w:val="false"/>
        <w:snapToGrid w:val="false"/>
        <w:spacing w:lineRule="auto" w:line="360"/>
        <w:ind w:firstLine="600" w:firstLineChars="200"/>
        <w:jc w:val="left"/>
        <w:rPr>
          <w:rFonts w:ascii="仿宋_GB2312" w:eastAsia="仿宋_GB2312"/>
          <w:sz w:val="30"/>
          <w:szCs w:val="30"/>
        </w:rPr>
      </w:pPr>
      <w:r>
        <w:rPr>
          <w:rFonts w:ascii="仿宋_GB2312" w:eastAsia="仿宋_GB2312" w:hint="eastAsia"/>
          <w:sz w:val="30"/>
          <w:szCs w:val="30"/>
        </w:rPr>
        <w:t>（一）</w:t>
      </w:r>
      <w:r>
        <w:rPr>
          <w:rFonts w:ascii="仿宋_GB2312" w:eastAsia="仿宋_GB2312" w:hint="eastAsia"/>
          <w:sz w:val="30"/>
          <w:szCs w:val="30"/>
          <w:lang w:val="en-US" w:eastAsia="zh-CN"/>
        </w:rPr>
        <w:t>本公司</w:t>
      </w:r>
      <w:r>
        <w:rPr>
          <w:rFonts w:ascii="仿宋_GB2312" w:eastAsia="仿宋_GB2312" w:hint="eastAsia"/>
          <w:sz w:val="30"/>
          <w:szCs w:val="30"/>
        </w:rPr>
        <w:t>组织评审小组对各单位的报价资料进行审核，在满足要求的前提下，按经评审通过后总金额</w:t>
      </w:r>
      <w:r>
        <w:rPr>
          <w:rFonts w:ascii="仿宋_GB2312" w:eastAsia="仿宋_GB2312" w:hint="eastAsia"/>
          <w:sz w:val="30"/>
          <w:szCs w:val="30"/>
          <w:lang w:eastAsia="zh-CN"/>
        </w:rPr>
        <w:t>最高价</w:t>
      </w:r>
      <w:r>
        <w:rPr>
          <w:rFonts w:ascii="仿宋_GB2312" w:eastAsia="仿宋_GB2312" w:hint="eastAsia"/>
          <w:sz w:val="30"/>
          <w:szCs w:val="30"/>
        </w:rPr>
        <w:t>成交的原则确定</w:t>
      </w:r>
      <w:r>
        <w:rPr>
          <w:rFonts w:ascii="仿宋_GB2312" w:eastAsia="仿宋_GB2312" w:hint="eastAsia"/>
          <w:sz w:val="30"/>
          <w:szCs w:val="30"/>
          <w:lang w:val="en-US" w:eastAsia="zh-CN"/>
        </w:rPr>
        <w:t>中标单位，</w:t>
      </w:r>
      <w:r>
        <w:rPr>
          <w:rFonts w:ascii="仿宋_GB2312" w:eastAsia="仿宋_GB2312" w:hint="eastAsia"/>
          <w:sz w:val="30"/>
          <w:szCs w:val="30"/>
        </w:rPr>
        <w:t>若出现税率不一致的情况，以除税</w:t>
      </w:r>
      <w:r>
        <w:rPr>
          <w:rFonts w:ascii="仿宋_GB2312" w:eastAsia="仿宋_GB2312" w:hint="eastAsia"/>
          <w:sz w:val="30"/>
          <w:szCs w:val="30"/>
          <w:lang w:eastAsia="zh-CN"/>
        </w:rPr>
        <w:t>总金额</w:t>
      </w:r>
      <w:r>
        <w:rPr>
          <w:rFonts w:ascii="仿宋_GB2312" w:eastAsia="仿宋_GB2312" w:hint="eastAsia"/>
          <w:sz w:val="30"/>
          <w:szCs w:val="30"/>
        </w:rPr>
        <w:t>相对比。如果出现相同总金额最</w:t>
      </w:r>
      <w:r>
        <w:rPr>
          <w:rFonts w:ascii="仿宋_GB2312" w:eastAsia="仿宋_GB2312" w:hint="eastAsia"/>
          <w:sz w:val="30"/>
          <w:szCs w:val="30"/>
          <w:lang w:eastAsia="zh-CN"/>
        </w:rPr>
        <w:t>高</w:t>
      </w:r>
      <w:r>
        <w:rPr>
          <w:rFonts w:ascii="仿宋_GB2312" w:eastAsia="仿宋_GB2312" w:hint="eastAsia"/>
          <w:sz w:val="30"/>
          <w:szCs w:val="30"/>
        </w:rPr>
        <w:t>报价情况时，总金额最</w:t>
      </w:r>
      <w:r>
        <w:rPr>
          <w:rFonts w:ascii="仿宋_GB2312" w:eastAsia="仿宋_GB2312" w:hint="eastAsia"/>
          <w:sz w:val="30"/>
          <w:szCs w:val="30"/>
          <w:lang w:eastAsia="zh-CN"/>
        </w:rPr>
        <w:t>高</w:t>
      </w:r>
      <w:r>
        <w:rPr>
          <w:rFonts w:ascii="仿宋_GB2312" w:eastAsia="仿宋_GB2312" w:hint="eastAsia"/>
          <w:sz w:val="30"/>
          <w:szCs w:val="30"/>
        </w:rPr>
        <w:t>报价相同的</w:t>
      </w:r>
      <w:r>
        <w:rPr>
          <w:rFonts w:ascii="仿宋_GB2312" w:eastAsia="仿宋_GB2312" w:hint="eastAsia"/>
          <w:sz w:val="30"/>
          <w:szCs w:val="30"/>
          <w:lang w:val="en-US" w:eastAsia="zh-CN"/>
        </w:rPr>
        <w:t>报价人</w:t>
      </w:r>
      <w:r>
        <w:rPr>
          <w:rFonts w:ascii="仿宋_GB2312" w:eastAsia="仿宋_GB2312" w:hint="eastAsia"/>
          <w:sz w:val="30"/>
          <w:szCs w:val="30"/>
        </w:rPr>
        <w:t>再进行一轮报价。如报价再相同，则抽签决定</w:t>
      </w:r>
      <w:r>
        <w:rPr>
          <w:rFonts w:ascii="仿宋_GB2312" w:eastAsia="仿宋_GB2312" w:hint="eastAsia"/>
          <w:sz w:val="30"/>
          <w:szCs w:val="30"/>
          <w:lang w:val="en-US" w:eastAsia="zh-CN"/>
        </w:rPr>
        <w:t>中标单位</w:t>
      </w:r>
      <w:r>
        <w:rPr>
          <w:rFonts w:ascii="仿宋_GB2312" w:eastAsia="仿宋_GB2312" w:hint="eastAsia"/>
          <w:sz w:val="30"/>
          <w:szCs w:val="30"/>
        </w:rPr>
        <w:t>。</w:t>
      </w:r>
    </w:p>
    <w:p w14:paraId="201BDA4C">
      <w:pPr>
        <w:pStyle w:val="style4097"/>
        <w:pageBreakBefore w:val="false"/>
        <w:widowControl w:val="false"/>
        <w:kinsoku/>
        <w:wordWrap/>
        <w:topLinePunct w:val="false"/>
        <w:bidi w:val="false"/>
        <w:snapToGrid w:val="false"/>
        <w:spacing w:lineRule="auto" w:line="360"/>
        <w:ind w:firstLine="601"/>
        <w:outlineLvl w:val="1"/>
        <w:rPr>
          <w:rFonts w:ascii="仿宋_GB2312" w:eastAsia="仿宋_GB2312" w:hint="eastAsia"/>
          <w:b/>
          <w:bCs/>
          <w:sz w:val="30"/>
          <w:szCs w:val="30"/>
          <w:lang w:eastAsia="zh-CN"/>
        </w:rPr>
      </w:pPr>
      <w:r>
        <w:rPr>
          <w:rFonts w:ascii="仿宋_GB2312" w:eastAsia="仿宋_GB2312" w:hint="eastAsia"/>
          <w:b/>
          <w:bCs/>
          <w:sz w:val="30"/>
          <w:szCs w:val="30"/>
          <w:lang w:eastAsia="zh-CN"/>
        </w:rPr>
        <w:t>五</w:t>
      </w:r>
      <w:r>
        <w:rPr>
          <w:rFonts w:ascii="仿宋_GB2312" w:eastAsia="仿宋_GB2312" w:hint="eastAsia"/>
          <w:b/>
          <w:bCs/>
          <w:sz w:val="30"/>
          <w:szCs w:val="30"/>
        </w:rPr>
        <w:t>、合同</w:t>
      </w:r>
      <w:r>
        <w:rPr>
          <w:rFonts w:ascii="仿宋_GB2312" w:eastAsia="仿宋_GB2312" w:hint="eastAsia"/>
          <w:b/>
          <w:bCs/>
          <w:sz w:val="30"/>
          <w:szCs w:val="30"/>
          <w:lang w:eastAsia="zh-CN"/>
        </w:rPr>
        <w:t>。</w:t>
      </w:r>
    </w:p>
    <w:p w14:paraId="1EC29599">
      <w:pPr>
        <w:pStyle w:val="style0"/>
        <w:pageBreakBefore w:val="false"/>
        <w:kinsoku/>
        <w:wordWrap/>
        <w:topLinePunct w:val="false"/>
        <w:bidi w:val="false"/>
        <w:snapToGrid w:val="false"/>
        <w:spacing w:lineRule="auto" w:line="360"/>
        <w:ind w:firstLine="600" w:firstLineChars="200"/>
        <w:jc w:val="left"/>
        <w:rPr>
          <w:rFonts w:ascii="仿宋_GB2312" w:eastAsia="仿宋_GB2312" w:hint="eastAsia"/>
          <w:sz w:val="30"/>
          <w:szCs w:val="30"/>
        </w:rPr>
      </w:pPr>
      <w:r>
        <w:rPr>
          <w:rFonts w:ascii="仿宋_GB2312" w:eastAsia="仿宋_GB2312" w:hint="eastAsia"/>
          <w:sz w:val="30"/>
          <w:szCs w:val="30"/>
        </w:rPr>
        <w:t>合同签订：</w:t>
      </w:r>
      <w:r>
        <w:rPr>
          <w:rFonts w:ascii="仿宋_GB2312" w:eastAsia="仿宋_GB2312" w:hint="eastAsia"/>
          <w:sz w:val="30"/>
          <w:szCs w:val="30"/>
          <w:lang w:val="en-US" w:eastAsia="zh-CN"/>
        </w:rPr>
        <w:t>报价人</w:t>
      </w:r>
      <w:r>
        <w:rPr>
          <w:rFonts w:ascii="仿宋_GB2312" w:eastAsia="仿宋_GB2312" w:hint="eastAsia"/>
          <w:sz w:val="30"/>
          <w:szCs w:val="30"/>
        </w:rPr>
        <w:t>按照上述第</w:t>
      </w:r>
      <w:r>
        <w:rPr>
          <w:rFonts w:ascii="仿宋_GB2312" w:eastAsia="仿宋_GB2312" w:hint="eastAsia"/>
          <w:sz w:val="30"/>
          <w:szCs w:val="30"/>
          <w:lang w:val="en-US" w:eastAsia="zh-CN"/>
        </w:rPr>
        <w:t>四</w:t>
      </w:r>
      <w:r>
        <w:rPr>
          <w:rFonts w:ascii="仿宋_GB2312" w:eastAsia="仿宋_GB2312" w:hint="eastAsia"/>
          <w:sz w:val="30"/>
          <w:szCs w:val="30"/>
        </w:rPr>
        <w:t>条规定确定</w:t>
      </w:r>
      <w:r>
        <w:rPr>
          <w:rFonts w:ascii="仿宋_GB2312" w:eastAsia="仿宋_GB2312" w:hint="eastAsia"/>
          <w:sz w:val="30"/>
          <w:szCs w:val="30"/>
          <w:lang w:val="en-US" w:eastAsia="zh-CN"/>
        </w:rPr>
        <w:t>中标单位</w:t>
      </w:r>
      <w:r>
        <w:rPr>
          <w:rFonts w:ascii="仿宋_GB2312" w:eastAsia="仿宋_GB2312" w:hint="eastAsia"/>
          <w:sz w:val="30"/>
          <w:szCs w:val="30"/>
        </w:rPr>
        <w:t>，并签订合同，签约单位为</w:t>
      </w:r>
      <w:r>
        <w:rPr>
          <w:rFonts w:ascii="仿宋_GB2312" w:eastAsia="仿宋_GB2312" w:hint="eastAsia"/>
          <w:sz w:val="30"/>
          <w:szCs w:val="30"/>
          <w:lang w:eastAsia="zh-CN"/>
        </w:rPr>
        <w:t>绍兴市再生能源发展有限公司</w:t>
      </w:r>
      <w:r>
        <w:rPr>
          <w:rFonts w:ascii="仿宋_GB2312" w:eastAsia="仿宋_GB2312" w:hint="eastAsia"/>
          <w:sz w:val="30"/>
          <w:szCs w:val="30"/>
        </w:rPr>
        <w:t>。</w:t>
      </w:r>
    </w:p>
    <w:p w14:paraId="6A5FC62D">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2" w:firstLineChars="200"/>
        <w:textAlignment w:val="auto"/>
        <w:outlineLvl w:val="1"/>
        <w:rPr>
          <w:rFonts w:ascii="仿宋" w:cs="仿宋" w:eastAsia="仿宋" w:hAnsi="仿宋" w:hint="eastAsia"/>
          <w:b/>
          <w:bCs/>
          <w:sz w:val="30"/>
          <w:szCs w:val="30"/>
        </w:rPr>
      </w:pPr>
      <w:r>
        <w:rPr>
          <w:rFonts w:ascii="仿宋" w:cs="仿宋" w:eastAsia="仿宋" w:hAnsi="仿宋" w:hint="eastAsia"/>
          <w:b/>
          <w:bCs/>
          <w:sz w:val="30"/>
          <w:szCs w:val="30"/>
          <w:lang w:eastAsia="zh-CN"/>
        </w:rPr>
        <w:t>六</w:t>
      </w:r>
      <w:r>
        <w:rPr>
          <w:rFonts w:ascii="仿宋" w:cs="仿宋" w:eastAsia="仿宋" w:hAnsi="仿宋" w:hint="eastAsia"/>
          <w:b/>
          <w:bCs/>
          <w:sz w:val="30"/>
          <w:szCs w:val="30"/>
        </w:rPr>
        <w:t>、其他。</w:t>
      </w:r>
    </w:p>
    <w:p w14:paraId="7604BB5F">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0" w:firstLineChars="200"/>
        <w:textAlignment w:val="auto"/>
        <w:rPr>
          <w:rFonts w:ascii="仿宋" w:cs="仿宋" w:eastAsia="仿宋" w:hAnsi="仿宋" w:hint="eastAsia"/>
          <w:sz w:val="30"/>
          <w:szCs w:val="30"/>
        </w:rPr>
      </w:pPr>
      <w:r>
        <w:rPr>
          <w:rFonts w:ascii="仿宋" w:cs="仿宋" w:eastAsia="仿宋" w:hAnsi="仿宋" w:hint="eastAsia"/>
          <w:sz w:val="30"/>
          <w:szCs w:val="30"/>
        </w:rPr>
        <w:t>（一）如果有证据证明各</w:t>
      </w:r>
      <w:r>
        <w:rPr>
          <w:rFonts w:ascii="仿宋" w:cs="仿宋" w:eastAsia="仿宋" w:hAnsi="仿宋" w:hint="eastAsia"/>
          <w:sz w:val="30"/>
          <w:szCs w:val="30"/>
          <w:lang w:eastAsia="zh-CN"/>
        </w:rPr>
        <w:t>报价人</w:t>
      </w:r>
      <w:r>
        <w:rPr>
          <w:rFonts w:ascii="仿宋" w:cs="仿宋" w:eastAsia="仿宋" w:hAnsi="仿宋" w:hint="eastAsia"/>
          <w:sz w:val="30"/>
          <w:szCs w:val="30"/>
        </w:rPr>
        <w:t>之间存在串通等舞弊、违法行为，</w:t>
      </w:r>
      <w:r>
        <w:rPr>
          <w:rFonts w:ascii="仿宋" w:cs="仿宋" w:eastAsia="仿宋" w:hAnsi="仿宋" w:hint="eastAsia"/>
          <w:sz w:val="30"/>
          <w:szCs w:val="30"/>
          <w:lang w:eastAsia="zh-CN"/>
        </w:rPr>
        <w:t>本公司</w:t>
      </w:r>
      <w:r>
        <w:rPr>
          <w:rFonts w:ascii="仿宋" w:cs="仿宋" w:eastAsia="仿宋" w:hAnsi="仿宋" w:hint="eastAsia"/>
          <w:sz w:val="30"/>
          <w:szCs w:val="30"/>
        </w:rPr>
        <w:t>有权拒绝存在此行为的</w:t>
      </w:r>
      <w:r>
        <w:rPr>
          <w:rFonts w:ascii="仿宋" w:cs="仿宋" w:eastAsia="仿宋" w:hAnsi="仿宋" w:hint="eastAsia"/>
          <w:sz w:val="30"/>
          <w:szCs w:val="30"/>
          <w:lang w:eastAsia="zh-CN"/>
        </w:rPr>
        <w:t>报价人</w:t>
      </w:r>
      <w:r>
        <w:rPr>
          <w:rFonts w:ascii="仿宋" w:cs="仿宋" w:eastAsia="仿宋" w:hAnsi="仿宋" w:hint="eastAsia"/>
          <w:sz w:val="30"/>
          <w:szCs w:val="30"/>
        </w:rPr>
        <w:t>报价。</w:t>
      </w:r>
    </w:p>
    <w:p w14:paraId="3C367A0A">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0" w:firstLineChars="200"/>
        <w:textAlignment w:val="auto"/>
        <w:rPr>
          <w:rFonts w:ascii="仿宋" w:cs="仿宋" w:eastAsia="仿宋" w:hAnsi="仿宋" w:hint="eastAsia"/>
          <w:sz w:val="30"/>
          <w:szCs w:val="30"/>
        </w:rPr>
      </w:pPr>
      <w:r>
        <w:rPr>
          <w:rFonts w:ascii="仿宋" w:cs="仿宋" w:eastAsia="仿宋" w:hAnsi="仿宋" w:hint="eastAsia"/>
          <w:sz w:val="30"/>
          <w:szCs w:val="30"/>
        </w:rPr>
        <w:t>（二）本询价文件未及事项，在签订合同时双方友好商定。</w:t>
      </w:r>
    </w:p>
    <w:p w14:paraId="6A507DF1">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360"/>
        <w:ind w:firstLine="600" w:firstLineChars="200"/>
        <w:textAlignment w:val="auto"/>
        <w:rPr>
          <w:rFonts w:ascii="仿宋" w:cs="仿宋" w:eastAsia="仿宋" w:hAnsi="仿宋" w:hint="eastAsia"/>
          <w:sz w:val="30"/>
          <w:szCs w:val="30"/>
        </w:rPr>
      </w:pPr>
      <w:r>
        <w:rPr>
          <w:rFonts w:ascii="仿宋" w:cs="仿宋" w:eastAsia="仿宋" w:hAnsi="仿宋" w:hint="eastAsia"/>
          <w:sz w:val="30"/>
          <w:szCs w:val="30"/>
        </w:rPr>
        <w:t>（三）凡涉及本次询价的解释权均属于</w:t>
      </w:r>
      <w:r>
        <w:rPr>
          <w:rFonts w:ascii="仿宋" w:cs="仿宋" w:eastAsia="仿宋" w:hAnsi="仿宋" w:hint="eastAsia"/>
          <w:sz w:val="30"/>
          <w:szCs w:val="30"/>
          <w:lang w:eastAsia="zh-CN"/>
        </w:rPr>
        <w:t>绍兴市再生能源发展有限公司</w:t>
      </w:r>
      <w:r>
        <w:rPr>
          <w:rFonts w:ascii="仿宋" w:cs="仿宋" w:eastAsia="仿宋" w:hAnsi="仿宋" w:hint="eastAsia"/>
          <w:sz w:val="30"/>
          <w:szCs w:val="30"/>
        </w:rPr>
        <w:t>。</w:t>
      </w:r>
    </w:p>
    <w:p w14:paraId="6BD434A3">
      <w:pPr>
        <w:pStyle w:val="style1"/>
        <w:numPr>
          <w:ilvl w:val="0"/>
          <w:numId w:val="0"/>
        </w:numPr>
        <w:jc w:val="center"/>
        <w:outlineLvl w:val="9"/>
        <w:rPr>
          <w:rFonts w:ascii="仿宋" w:cs="仿宋" w:eastAsia="仿宋" w:hAnsi="仿宋" w:hint="eastAsia"/>
          <w:snapToGrid w:val="false"/>
          <w:sz w:val="44"/>
          <w:szCs w:val="44"/>
        </w:rPr>
      </w:pPr>
    </w:p>
    <w:p w14:paraId="5108F7AF">
      <w:pPr>
        <w:pStyle w:val="style0"/>
        <w:rPr>
          <w:rFonts w:ascii="仿宋" w:cs="仿宋" w:eastAsia="仿宋" w:hAnsi="仿宋" w:hint="eastAsia"/>
          <w:snapToGrid w:val="false"/>
          <w:sz w:val="44"/>
          <w:szCs w:val="44"/>
        </w:rPr>
      </w:pPr>
    </w:p>
    <w:p w14:paraId="1ACF9921">
      <w:pPr>
        <w:pStyle w:val="style66"/>
        <w:rPr>
          <w:rFonts w:ascii="仿宋" w:cs="仿宋" w:eastAsia="仿宋" w:hAnsi="仿宋" w:hint="eastAsia"/>
          <w:snapToGrid w:val="false"/>
          <w:sz w:val="44"/>
          <w:szCs w:val="44"/>
        </w:rPr>
      </w:pPr>
    </w:p>
    <w:p w14:paraId="5677F180">
      <w:pPr>
        <w:pStyle w:val="style1"/>
        <w:numPr>
          <w:ilvl w:val="0"/>
          <w:numId w:val="0"/>
        </w:numPr>
        <w:jc w:val="both"/>
        <w:rPr>
          <w:rFonts w:ascii="仿宋" w:cs="仿宋" w:eastAsia="仿宋" w:hAnsi="仿宋" w:hint="eastAsia"/>
          <w:snapToGrid w:val="false"/>
          <w:sz w:val="44"/>
          <w:szCs w:val="44"/>
        </w:rPr>
      </w:pPr>
    </w:p>
    <w:p w14:paraId="4BFC861E">
      <w:pPr>
        <w:pStyle w:val="style0"/>
        <w:rPr>
          <w:rFonts w:ascii="仿宋" w:cs="仿宋" w:eastAsia="仿宋" w:hAnsi="仿宋" w:hint="eastAsia"/>
          <w:snapToGrid w:val="false"/>
          <w:sz w:val="44"/>
          <w:szCs w:val="44"/>
        </w:rPr>
      </w:pPr>
    </w:p>
    <w:p w14:paraId="694DD683">
      <w:pPr>
        <w:pStyle w:val="style78"/>
        <w:rPr>
          <w:rFonts w:hint="eastAsia"/>
        </w:rPr>
      </w:pPr>
    </w:p>
    <w:p w14:paraId="38EBAF5E">
      <w:pPr>
        <w:pStyle w:val="style78"/>
        <w:rPr>
          <w:rFonts w:hint="eastAsia"/>
        </w:rPr>
      </w:pPr>
    </w:p>
    <w:p w14:paraId="558BCE78">
      <w:pPr>
        <w:pStyle w:val="style78"/>
        <w:rPr>
          <w:rFonts w:hint="eastAsia"/>
        </w:rPr>
      </w:pPr>
    </w:p>
    <w:p w14:paraId="44EECF5C">
      <w:pPr>
        <w:pStyle w:val="style78"/>
        <w:rPr>
          <w:rFonts w:hint="eastAsia"/>
        </w:rPr>
      </w:pPr>
    </w:p>
    <w:p w14:paraId="6AEEB475">
      <w:pPr>
        <w:pStyle w:val="style78"/>
        <w:rPr>
          <w:rFonts w:hint="eastAsia"/>
        </w:rPr>
      </w:pPr>
    </w:p>
    <w:p w14:paraId="00C75337">
      <w:pPr>
        <w:pStyle w:val="style78"/>
        <w:rPr>
          <w:rFonts w:hint="eastAsia"/>
        </w:rPr>
      </w:pPr>
    </w:p>
    <w:p w14:paraId="5E8B4763">
      <w:pPr>
        <w:pStyle w:val="style78"/>
        <w:rPr>
          <w:rFonts w:hint="eastAsia"/>
        </w:rPr>
      </w:pPr>
    </w:p>
    <w:p w14:paraId="0A40157F">
      <w:pPr>
        <w:pStyle w:val="style78"/>
        <w:rPr>
          <w:rFonts w:hint="eastAsia"/>
        </w:rPr>
      </w:pPr>
    </w:p>
    <w:p w14:paraId="0020011C">
      <w:pPr>
        <w:pStyle w:val="style78"/>
        <w:rPr>
          <w:rFonts w:hint="eastAsia"/>
        </w:rPr>
      </w:pPr>
    </w:p>
    <w:bookmarkStart w:id="12" w:name="_Toc24972"/>
    <w:p w14:paraId="170A655F">
      <w:pPr>
        <w:pStyle w:val="style1"/>
        <w:numPr>
          <w:ilvl w:val="0"/>
          <w:numId w:val="0"/>
        </w:numPr>
        <w:ind w:leftChars="0"/>
        <w:jc w:val="center"/>
        <w:rPr>
          <w:rFonts w:ascii="仿宋" w:cs="仿宋" w:eastAsia="仿宋" w:hAnsi="仿宋" w:hint="eastAsia"/>
          <w:snapToGrid w:val="false"/>
          <w:sz w:val="44"/>
          <w:szCs w:val="44"/>
        </w:rPr>
      </w:pPr>
      <w:r>
        <w:rPr>
          <w:rFonts w:ascii="仿宋" w:cs="仿宋" w:eastAsia="仿宋" w:hAnsi="仿宋" w:hint="eastAsia"/>
          <w:snapToGrid w:val="false"/>
          <w:sz w:val="44"/>
          <w:szCs w:val="44"/>
        </w:rPr>
        <w:t xml:space="preserve">第三部分   </w:t>
      </w:r>
      <w:bookmarkEnd w:id="7"/>
      <w:bookmarkEnd w:id="8"/>
      <w:r>
        <w:rPr>
          <w:rFonts w:ascii="仿宋" w:cs="仿宋" w:eastAsia="仿宋" w:hAnsi="仿宋" w:hint="eastAsia"/>
          <w:snapToGrid w:val="false"/>
          <w:sz w:val="44"/>
          <w:szCs w:val="44"/>
        </w:rPr>
        <w:t xml:space="preserve">   </w:t>
      </w:r>
      <w:bookmarkStart w:id="13" w:name="_Toc12282"/>
      <w:r>
        <w:rPr>
          <w:rFonts w:ascii="仿宋" w:cs="仿宋" w:eastAsia="仿宋" w:hAnsi="仿宋" w:hint="eastAsia"/>
          <w:snapToGrid w:val="false"/>
          <w:sz w:val="44"/>
          <w:szCs w:val="44"/>
        </w:rPr>
        <w:t>报价文件格式</w:t>
      </w:r>
      <w:bookmarkEnd w:id="12"/>
      <w:bookmarkEnd w:id="13"/>
    </w:p>
    <w:bookmarkStart w:id="14" w:name="_Toc20284"/>
    <w:bookmarkStart w:id="15" w:name="_Toc1559"/>
    <w:p w14:paraId="6C45D942">
      <w:pPr>
        <w:pStyle w:val="style0"/>
        <w:jc w:val="left"/>
        <w:outlineLvl w:val="0"/>
        <w:rPr>
          <w:rStyle w:val="style4098"/>
          <w:rFonts w:ascii="仿宋" w:cs="仿宋" w:eastAsia="仿宋" w:hAnsi="仿宋" w:hint="eastAsia"/>
          <w:sz w:val="30"/>
          <w:lang w:eastAsia="zh-CN"/>
        </w:rPr>
      </w:pPr>
      <w:r>
        <w:rPr>
          <w:rStyle w:val="style4098"/>
          <w:rFonts w:ascii="仿宋" w:cs="仿宋" w:eastAsia="仿宋" w:hAnsi="仿宋" w:hint="eastAsia"/>
          <w:sz w:val="30"/>
          <w:lang w:eastAsia="zh-CN"/>
        </w:rPr>
        <w:t>附件一</w:t>
      </w:r>
      <w:bookmarkEnd w:id="14"/>
      <w:bookmarkEnd w:id="15"/>
    </w:p>
    <w:p w14:paraId="17C39F2C">
      <w:pPr>
        <w:pStyle w:val="style0"/>
        <w:spacing w:lineRule="auto" w:line="360"/>
        <w:jc w:val="center"/>
        <w:rPr>
          <w:rFonts w:ascii="仿宋_GB2312" w:eastAsia="仿宋_GB2312"/>
          <w:b/>
          <w:sz w:val="44"/>
        </w:rPr>
      </w:pPr>
      <w:r>
        <w:rPr>
          <w:rFonts w:ascii="仿宋_GB2312" w:eastAsia="仿宋_GB2312" w:hint="eastAsia"/>
          <w:b/>
          <w:sz w:val="44"/>
        </w:rPr>
        <w:t>报 价 一 览 表</w:t>
      </w:r>
    </w:p>
    <w:p w14:paraId="1B1585A5">
      <w:pPr>
        <w:pStyle w:val="style4099"/>
        <w:snapToGrid w:val="false"/>
        <w:spacing w:lineRule="auto" w:line="360"/>
        <w:jc w:val="left"/>
        <w:rPr>
          <w:rFonts w:ascii="仿宋_GB2312" w:eastAsia="仿宋_GB2312"/>
          <w:b w:val="false"/>
          <w:sz w:val="40"/>
          <w:szCs w:val="40"/>
        </w:rPr>
      </w:pPr>
      <w:r>
        <w:rPr>
          <w:rFonts w:ascii="仿宋" w:cs="仿宋" w:eastAsia="仿宋" w:hAnsi="仿宋" w:hint="eastAsia"/>
          <w:color w:val="auto"/>
          <w:kern w:val="2"/>
          <w:sz w:val="36"/>
          <w:szCs w:val="36"/>
          <w:highlight w:val="none"/>
          <w:lang w:val="en-US" w:bidi="ar-SA" w:eastAsia="zh-CN"/>
        </w:rPr>
        <w:t>绍兴市再生能源发展有限公司</w:t>
      </w:r>
      <w:r>
        <w:rPr>
          <w:rFonts w:ascii="仿宋_GB2312" w:eastAsia="仿宋_GB2312" w:hint="eastAsia"/>
          <w:b w:val="false"/>
          <w:sz w:val="40"/>
          <w:szCs w:val="40"/>
        </w:rPr>
        <w:t>：</w:t>
      </w:r>
    </w:p>
    <w:p w14:paraId="579F324D">
      <w:pPr>
        <w:pStyle w:val="style0"/>
        <w:snapToGrid w:val="false"/>
        <w:spacing w:lineRule="auto" w:line="360"/>
        <w:ind w:firstLine="600" w:firstLineChars="200"/>
        <w:jc w:val="left"/>
        <w:rPr>
          <w:rFonts w:ascii="仿宋" w:cs="仿宋" w:eastAsia="仿宋" w:hAnsi="仿宋" w:hint="eastAsia"/>
          <w:sz w:val="30"/>
          <w:szCs w:val="30"/>
        </w:rPr>
      </w:pPr>
      <w:r>
        <w:rPr>
          <w:rFonts w:ascii="仿宋" w:cs="仿宋" w:eastAsia="仿宋" w:hAnsi="仿宋" w:hint="eastAsia"/>
          <w:sz w:val="30"/>
          <w:szCs w:val="30"/>
        </w:rPr>
        <w:t>我公司</w:t>
      </w:r>
      <w:r>
        <w:rPr>
          <w:rFonts w:ascii="仿宋" w:cs="仿宋" w:eastAsia="仿宋" w:hAnsi="仿宋" w:hint="eastAsia"/>
          <w:sz w:val="30"/>
          <w:szCs w:val="30"/>
          <w:u w:val="single"/>
        </w:rPr>
        <w:t xml:space="preserve">                    </w:t>
      </w:r>
      <w:r>
        <w:rPr>
          <w:rFonts w:ascii="仿宋" w:cs="仿宋" w:eastAsia="仿宋" w:hAnsi="仿宋" w:hint="eastAsia"/>
          <w:sz w:val="30"/>
          <w:szCs w:val="30"/>
        </w:rPr>
        <w:t>根据贵单位询价要求，参加</w:t>
      </w:r>
      <w:r>
        <w:rPr>
          <w:rFonts w:ascii="仿宋" w:cs="仿宋" w:eastAsia="仿宋" w:hAnsi="仿宋" w:hint="eastAsia"/>
          <w:sz w:val="30"/>
          <w:szCs w:val="30"/>
          <w:u w:val="single"/>
        </w:rPr>
        <w:t xml:space="preserve"> </w:t>
      </w:r>
      <w:r>
        <w:rPr>
          <w:rFonts w:ascii="仿宋" w:cs="仿宋" w:eastAsia="仿宋" w:hAnsi="仿宋" w:hint="eastAsia"/>
          <w:sz w:val="30"/>
          <w:szCs w:val="30"/>
          <w:u w:val="single"/>
          <w:lang w:val="en-US" w:eastAsia="zh-CN"/>
        </w:rPr>
        <w:t>厂区废弃金属回收</w:t>
      </w:r>
      <w:r>
        <w:rPr>
          <w:rFonts w:ascii="仿宋" w:cs="仿宋" w:eastAsia="仿宋" w:hAnsi="仿宋" w:hint="eastAsia"/>
          <w:sz w:val="30"/>
          <w:szCs w:val="30"/>
        </w:rPr>
        <w:t>项目询价，项目编号</w:t>
      </w:r>
      <w:r>
        <w:rPr>
          <w:rFonts w:ascii="仿宋" w:cs="仿宋" w:eastAsia="仿宋" w:hAnsi="仿宋" w:hint="eastAsia"/>
          <w:sz w:val="30"/>
          <w:szCs w:val="30"/>
          <w:lang w:val="en-US" w:eastAsia="zh-CN"/>
        </w:rPr>
        <w:t>SX-ZH-HS-2609006</w:t>
      </w:r>
      <w:r>
        <w:rPr>
          <w:rFonts w:ascii="仿宋" w:cs="仿宋" w:eastAsia="仿宋" w:hAnsi="仿宋" w:hint="eastAsia"/>
          <w:sz w:val="30"/>
          <w:szCs w:val="30"/>
        </w:rPr>
        <w:t>，本次报价如下：</w:t>
      </w:r>
    </w:p>
    <w:p w14:paraId="4A575D95">
      <w:pPr>
        <w:pStyle w:val="style19"/>
        <w:rPr>
          <w:rFonts w:ascii="仿宋" w:cs="仿宋" w:eastAsia="仿宋" w:hAnsi="仿宋" w:hint="eastAsia"/>
          <w:sz w:val="30"/>
          <w:szCs w:val="30"/>
        </w:rPr>
      </w:pPr>
    </w:p>
    <w:tbl>
      <w:tblPr>
        <w:tblStyle w:val="style105"/>
        <w:tblpPr w:leftFromText="180" w:rightFromText="180" w:topFromText="0" w:bottomFromText="0" w:vertAnchor="text" w:horzAnchor="page" w:tblpXSpec="center" w:tblpY="339"/>
        <w:tblOverlap w:val="never"/>
        <w:tblW w:w="5306" w:type="pct"/>
        <w:jc w:val="center"/>
        <w:tblLayout w:type="fixed"/>
        <w:tblCellMar>
          <w:top w:w="0" w:type="dxa"/>
          <w:left w:w="0" w:type="dxa"/>
          <w:bottom w:w="0" w:type="dxa"/>
          <w:right w:w="0" w:type="dxa"/>
        </w:tblCellMar>
      </w:tblPr>
      <w:tblGrid>
        <w:gridCol w:w="995"/>
        <w:gridCol w:w="1405"/>
        <w:gridCol w:w="976"/>
        <w:gridCol w:w="1360"/>
        <w:gridCol w:w="1499"/>
        <w:gridCol w:w="1827"/>
        <w:gridCol w:w="1596"/>
      </w:tblGrid>
      <w:tr w14:paraId="4BFB76B3">
        <w:trPr>
          <w:trHeight w:val="593" w:hRule="atLeast"/>
          <w:jc w:val="center"/>
        </w:trPr>
        <w:tc>
          <w:tcPr>
            <w:tcW w:w="51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48BF4EC">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序号</w:t>
            </w:r>
          </w:p>
        </w:tc>
        <w:tc>
          <w:tcPr>
            <w:tcW w:w="72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0B23929">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物资名称</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51444CD">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单位</w:t>
            </w:r>
          </w:p>
        </w:tc>
        <w:tc>
          <w:tcPr>
            <w:tcW w:w="70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345A53D">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lang w:val="en-US" w:eastAsia="zh-CN"/>
              </w:rPr>
              <w:t>预估</w:t>
            </w:r>
            <w:r>
              <w:rPr>
                <w:rFonts w:ascii="仿宋" w:cs="仿宋" w:eastAsia="仿宋" w:hAnsi="仿宋" w:hint="eastAsia"/>
                <w:sz w:val="30"/>
                <w:szCs w:val="30"/>
              </w:rPr>
              <w:t>数量</w:t>
            </w:r>
          </w:p>
        </w:tc>
        <w:tc>
          <w:tcPr>
            <w:tcW w:w="7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854CCE9">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240"/>
              <w:jc w:val="center"/>
              <w:textAlignment w:val="auto"/>
              <w:rPr>
                <w:rFonts w:ascii="仿宋" w:cs="仿宋" w:eastAsia="仿宋" w:hAnsi="仿宋" w:hint="eastAsia"/>
                <w:sz w:val="30"/>
                <w:szCs w:val="30"/>
              </w:rPr>
            </w:pPr>
            <w:r>
              <w:rPr>
                <w:rFonts w:ascii="仿宋" w:cs="仿宋" w:eastAsia="仿宋" w:hAnsi="仿宋" w:hint="eastAsia"/>
                <w:sz w:val="30"/>
                <w:szCs w:val="30"/>
              </w:rPr>
              <w:t>单价</w:t>
            </w:r>
          </w:p>
          <w:p w14:paraId="460938DD">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240"/>
              <w:jc w:val="center"/>
              <w:textAlignment w:val="auto"/>
              <w:rPr>
                <w:rFonts w:ascii="仿宋" w:cs="仿宋" w:eastAsia="仿宋" w:hAnsi="仿宋" w:hint="eastAsia"/>
                <w:sz w:val="30"/>
                <w:szCs w:val="30"/>
              </w:rPr>
            </w:pPr>
            <w:r>
              <w:rPr>
                <w:rFonts w:ascii="仿宋" w:cs="仿宋" w:eastAsia="仿宋" w:hAnsi="仿宋" w:hint="eastAsia"/>
                <w:sz w:val="30"/>
                <w:szCs w:val="30"/>
                <w:lang w:eastAsia="zh-CN"/>
              </w:rPr>
              <w:t>（</w:t>
            </w:r>
            <w:r>
              <w:rPr>
                <w:rFonts w:ascii="仿宋" w:cs="仿宋" w:eastAsia="仿宋" w:hAnsi="仿宋" w:hint="eastAsia"/>
                <w:sz w:val="30"/>
                <w:szCs w:val="30"/>
              </w:rPr>
              <w:t>元</w:t>
            </w:r>
            <w:r>
              <w:rPr>
                <w:rFonts w:ascii="仿宋" w:cs="仿宋" w:eastAsia="仿宋" w:hAnsi="仿宋" w:hint="eastAsia"/>
                <w:sz w:val="30"/>
                <w:szCs w:val="30"/>
                <w:lang w:eastAsia="zh-CN"/>
              </w:rPr>
              <w:t>）</w:t>
            </w:r>
          </w:p>
        </w:tc>
        <w:tc>
          <w:tcPr>
            <w:tcW w:w="94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3245267">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240"/>
              <w:jc w:val="center"/>
              <w:textAlignment w:val="auto"/>
              <w:rPr>
                <w:rFonts w:ascii="仿宋" w:cs="仿宋" w:eastAsia="仿宋" w:hAnsi="仿宋" w:hint="eastAsia"/>
                <w:sz w:val="30"/>
                <w:szCs w:val="30"/>
              </w:rPr>
            </w:pPr>
            <w:r>
              <w:rPr>
                <w:rFonts w:ascii="仿宋" w:cs="仿宋" w:eastAsia="仿宋" w:hAnsi="仿宋" w:hint="eastAsia"/>
                <w:sz w:val="30"/>
                <w:szCs w:val="30"/>
              </w:rPr>
              <w:t>金额</w:t>
            </w:r>
          </w:p>
          <w:p w14:paraId="76595072">
            <w:pPr>
              <w:pStyle w:val="style0"/>
              <w:keepNext w:val="false"/>
              <w:keepLines w:val="false"/>
              <w:pageBreakBefore w:val="false"/>
              <w:widowControl w:val="false"/>
              <w:kinsoku/>
              <w:wordWrap/>
              <w:overflowPunct/>
              <w:topLinePunct w:val="false"/>
              <w:autoSpaceDE/>
              <w:autoSpaceDN/>
              <w:bidi w:val="false"/>
              <w:adjustRightInd/>
              <w:snapToGrid w:val="false"/>
              <w:spacing w:lineRule="auto" w:line="240"/>
              <w:jc w:val="center"/>
              <w:textAlignment w:val="auto"/>
              <w:rPr>
                <w:rFonts w:ascii="仿宋" w:cs="仿宋" w:eastAsia="仿宋" w:hAnsi="仿宋" w:hint="eastAsia"/>
                <w:sz w:val="30"/>
                <w:szCs w:val="30"/>
                <w:lang w:val="en-US" w:eastAsia="zh-CN"/>
              </w:rPr>
            </w:pPr>
            <w:r>
              <w:rPr>
                <w:rFonts w:ascii="仿宋" w:cs="仿宋" w:eastAsia="仿宋" w:hAnsi="仿宋" w:hint="eastAsia"/>
                <w:sz w:val="30"/>
                <w:szCs w:val="30"/>
                <w:lang w:eastAsia="zh-CN"/>
              </w:rPr>
              <w:t>（</w:t>
            </w:r>
            <w:r>
              <w:rPr>
                <w:rFonts w:ascii="仿宋" w:cs="仿宋" w:eastAsia="仿宋" w:hAnsi="仿宋" w:hint="eastAsia"/>
                <w:sz w:val="30"/>
                <w:szCs w:val="30"/>
                <w:lang w:val="en-US" w:eastAsia="zh-CN"/>
              </w:rPr>
              <w:t>元）</w:t>
            </w:r>
          </w:p>
        </w:tc>
        <w:tc>
          <w:tcPr>
            <w:tcW w:w="82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27D44902">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备注</w:t>
            </w:r>
          </w:p>
        </w:tc>
      </w:tr>
      <w:tr w14:paraId="46653F2B">
        <w:tblPrEx/>
        <w:trPr>
          <w:trHeight w:val="639" w:hRule="atLeast"/>
          <w:jc w:val="center"/>
        </w:trPr>
        <w:tc>
          <w:tcPr>
            <w:tcW w:w="515" w:type="pc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35AD8DBE">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1</w:t>
            </w:r>
          </w:p>
        </w:tc>
        <w:tc>
          <w:tcPr>
            <w:tcW w:w="72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0EBF0D80">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废铁</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3BD57EF8">
            <w:pPr>
              <w:pStyle w:val="style0"/>
              <w:snapToGrid w:val="false"/>
              <w:spacing w:lineRule="auto" w:line="360"/>
              <w:jc w:val="center"/>
              <w:rPr>
                <w:rFonts w:ascii="仿宋" w:cs="仿宋" w:eastAsia="仿宋" w:hAnsi="仿宋" w:hint="eastAsia"/>
                <w:sz w:val="30"/>
                <w:szCs w:val="30"/>
              </w:rPr>
            </w:pPr>
            <w:r>
              <w:rPr>
                <w:rFonts w:ascii="仿宋" w:cs="仿宋" w:eastAsia="仿宋" w:hAnsi="仿宋" w:hint="eastAsia"/>
                <w:sz w:val="30"/>
                <w:szCs w:val="30"/>
              </w:rPr>
              <w:t>吨</w:t>
            </w:r>
          </w:p>
        </w:tc>
        <w:tc>
          <w:tcPr>
            <w:tcW w:w="70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650AE66B">
            <w:pPr>
              <w:pStyle w:val="style0"/>
              <w:snapToGrid w:val="false"/>
              <w:spacing w:lineRule="auto" w:line="360"/>
              <w:jc w:val="center"/>
              <w:rPr>
                <w:rFonts w:ascii="仿宋" w:cs="仿宋" w:eastAsia="仿宋" w:hAnsi="仿宋" w:hint="default"/>
                <w:sz w:val="30"/>
                <w:szCs w:val="30"/>
                <w:highlight w:val="none"/>
                <w:lang w:val="en-US" w:eastAsia="zh-CN"/>
              </w:rPr>
            </w:pPr>
            <w:r>
              <w:rPr>
                <w:rFonts w:ascii="仿宋" w:cs="仿宋" w:eastAsia="仿宋" w:hAnsi="仿宋" w:hint="eastAsia"/>
                <w:sz w:val="30"/>
                <w:szCs w:val="30"/>
                <w:highlight w:val="none"/>
                <w:lang w:val="en-US" w:eastAsia="zh-CN"/>
              </w:rPr>
              <w:t>50</w:t>
            </w:r>
          </w:p>
        </w:tc>
        <w:tc>
          <w:tcPr>
            <w:tcW w:w="7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90C99B1">
            <w:pPr>
              <w:pStyle w:val="style0"/>
              <w:snapToGrid w:val="false"/>
              <w:spacing w:lineRule="auto" w:line="360"/>
              <w:ind w:firstLine="600" w:firstLineChars="200"/>
              <w:jc w:val="center"/>
              <w:rPr>
                <w:rFonts w:ascii="仿宋" w:cs="仿宋" w:eastAsia="仿宋" w:hAnsi="仿宋" w:hint="eastAsia"/>
                <w:sz w:val="30"/>
                <w:szCs w:val="30"/>
              </w:rPr>
            </w:pPr>
          </w:p>
        </w:tc>
        <w:tc>
          <w:tcPr>
            <w:tcW w:w="94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03D6358">
            <w:pPr>
              <w:pStyle w:val="style0"/>
              <w:snapToGrid w:val="false"/>
              <w:spacing w:lineRule="auto" w:line="360"/>
              <w:ind w:firstLine="600" w:firstLineChars="200"/>
              <w:jc w:val="center"/>
              <w:rPr>
                <w:rFonts w:ascii="仿宋" w:cs="仿宋" w:eastAsia="仿宋" w:hAnsi="仿宋" w:hint="eastAsia"/>
                <w:sz w:val="30"/>
                <w:szCs w:val="30"/>
              </w:rPr>
            </w:pPr>
          </w:p>
        </w:tc>
        <w:tc>
          <w:tcPr>
            <w:tcW w:w="826" w:type="pc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4575D0F0">
            <w:pPr>
              <w:pStyle w:val="style0"/>
              <w:snapToGrid w:val="false"/>
              <w:spacing w:lineRule="auto" w:line="360"/>
              <w:ind w:firstLine="600" w:firstLineChars="200"/>
              <w:jc w:val="center"/>
              <w:rPr>
                <w:rFonts w:ascii="仿宋" w:cs="仿宋" w:eastAsia="仿宋" w:hAnsi="仿宋" w:hint="eastAsia"/>
                <w:sz w:val="30"/>
                <w:szCs w:val="30"/>
              </w:rPr>
            </w:pPr>
          </w:p>
        </w:tc>
      </w:tr>
      <w:tr w14:paraId="0CA6949A">
        <w:tblPrEx/>
        <w:trPr>
          <w:trHeight w:val="699" w:hRule="atLeast"/>
          <w:jc w:val="center"/>
        </w:trPr>
        <w:tc>
          <w:tcPr>
            <w:tcW w:w="515" w:type="pc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203824E">
            <w:pPr>
              <w:pStyle w:val="style0"/>
              <w:snapToGrid w:val="false"/>
              <w:spacing w:lineRule="auto" w:line="360"/>
              <w:jc w:val="center"/>
              <w:rPr>
                <w:rFonts w:ascii="仿宋" w:cs="仿宋" w:eastAsia="仿宋" w:hAnsi="仿宋" w:hint="eastAsia"/>
                <w:sz w:val="30"/>
                <w:szCs w:val="30"/>
                <w:lang w:val="en-US" w:eastAsia="zh-CN"/>
              </w:rPr>
            </w:pPr>
            <w:r>
              <w:rPr>
                <w:rFonts w:ascii="仿宋" w:cs="仿宋" w:eastAsia="仿宋" w:hAnsi="仿宋" w:hint="eastAsia"/>
                <w:sz w:val="30"/>
                <w:szCs w:val="30"/>
                <w:lang w:val="en-US" w:eastAsia="zh-CN"/>
              </w:rPr>
              <w:t>2</w:t>
            </w:r>
          </w:p>
        </w:tc>
        <w:tc>
          <w:tcPr>
            <w:tcW w:w="727"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A55BE21">
            <w:pPr>
              <w:pStyle w:val="style0"/>
              <w:snapToGrid w:val="false"/>
              <w:spacing w:lineRule="auto" w:line="360"/>
              <w:jc w:val="center"/>
              <w:rPr>
                <w:rFonts w:ascii="仿宋" w:cs="仿宋" w:eastAsia="仿宋" w:hAnsi="仿宋" w:hint="eastAsia"/>
                <w:sz w:val="30"/>
                <w:szCs w:val="30"/>
                <w:lang w:eastAsia="zh-CN"/>
              </w:rPr>
            </w:pPr>
            <w:r>
              <w:rPr>
                <w:rFonts w:ascii="仿宋" w:cs="仿宋" w:eastAsia="仿宋" w:hAnsi="仿宋" w:hint="eastAsia"/>
                <w:sz w:val="30"/>
                <w:szCs w:val="30"/>
                <w:lang w:eastAsia="zh-CN"/>
              </w:rPr>
              <w:t>废瓦</w:t>
            </w:r>
          </w:p>
        </w:tc>
        <w:tc>
          <w:tcPr>
            <w:tcW w:w="50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48AE5475">
            <w:pPr>
              <w:pStyle w:val="style0"/>
              <w:snapToGrid w:val="false"/>
              <w:spacing w:lineRule="auto" w:line="360"/>
              <w:jc w:val="center"/>
              <w:rPr>
                <w:rFonts w:ascii="仿宋" w:cs="仿宋" w:eastAsia="仿宋" w:hAnsi="仿宋" w:hint="eastAsia"/>
                <w:sz w:val="30"/>
                <w:szCs w:val="30"/>
                <w:lang w:eastAsia="zh-CN"/>
              </w:rPr>
            </w:pPr>
            <w:r>
              <w:rPr>
                <w:rFonts w:ascii="仿宋" w:cs="仿宋" w:eastAsia="仿宋" w:hAnsi="仿宋" w:hint="eastAsia"/>
                <w:sz w:val="30"/>
                <w:szCs w:val="30"/>
                <w:lang w:eastAsia="zh-CN"/>
              </w:rPr>
              <w:t>吨</w:t>
            </w:r>
          </w:p>
        </w:tc>
        <w:tc>
          <w:tcPr>
            <w:tcW w:w="704"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5635B675">
            <w:pPr>
              <w:pStyle w:val="style0"/>
              <w:snapToGrid w:val="false"/>
              <w:spacing w:lineRule="auto" w:line="360"/>
              <w:jc w:val="center"/>
              <w:rPr>
                <w:rFonts w:ascii="仿宋" w:cs="仿宋" w:eastAsia="仿宋" w:hAnsi="仿宋" w:hint="default"/>
                <w:sz w:val="30"/>
                <w:szCs w:val="30"/>
                <w:highlight w:val="none"/>
                <w:lang w:val="en-US" w:eastAsia="zh-CN"/>
              </w:rPr>
            </w:pPr>
            <w:r>
              <w:rPr>
                <w:rFonts w:ascii="仿宋" w:cs="仿宋" w:eastAsia="仿宋" w:hAnsi="仿宋" w:hint="eastAsia"/>
                <w:sz w:val="30"/>
                <w:szCs w:val="30"/>
                <w:highlight w:val="none"/>
                <w:lang w:val="en-US" w:eastAsia="zh-CN"/>
              </w:rPr>
              <w:t>10</w:t>
            </w:r>
          </w:p>
        </w:tc>
        <w:tc>
          <w:tcPr>
            <w:tcW w:w="776"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1E8FAC83">
            <w:pPr>
              <w:pStyle w:val="style0"/>
              <w:snapToGrid w:val="false"/>
              <w:spacing w:lineRule="auto" w:line="360"/>
              <w:ind w:firstLine="600" w:firstLineChars="200"/>
              <w:jc w:val="center"/>
              <w:rPr>
                <w:rFonts w:ascii="仿宋" w:cs="仿宋" w:eastAsia="仿宋" w:hAnsi="仿宋" w:hint="eastAsia"/>
                <w:sz w:val="30"/>
                <w:szCs w:val="30"/>
              </w:rPr>
            </w:pPr>
          </w:p>
        </w:tc>
        <w:tc>
          <w:tcPr>
            <w:tcW w:w="945" w:type="pc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14:paraId="7AB614C8">
            <w:pPr>
              <w:pStyle w:val="style0"/>
              <w:snapToGrid w:val="false"/>
              <w:spacing w:lineRule="auto" w:line="360"/>
              <w:ind w:firstLine="600" w:firstLineChars="200"/>
              <w:jc w:val="center"/>
              <w:rPr>
                <w:rFonts w:ascii="仿宋" w:cs="仿宋" w:eastAsia="仿宋" w:hAnsi="仿宋" w:hint="eastAsia"/>
                <w:sz w:val="30"/>
                <w:szCs w:val="30"/>
              </w:rPr>
            </w:pPr>
          </w:p>
        </w:tc>
        <w:tc>
          <w:tcPr>
            <w:tcW w:w="826" w:type="pc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14:paraId="24D46B10">
            <w:pPr>
              <w:pStyle w:val="style0"/>
              <w:snapToGrid w:val="false"/>
              <w:spacing w:lineRule="auto" w:line="360"/>
              <w:ind w:firstLine="600" w:firstLineChars="200"/>
              <w:jc w:val="center"/>
              <w:rPr>
                <w:rFonts w:ascii="仿宋" w:cs="仿宋" w:eastAsia="仿宋" w:hAnsi="仿宋" w:hint="eastAsia"/>
                <w:sz w:val="30"/>
                <w:szCs w:val="30"/>
              </w:rPr>
            </w:pPr>
          </w:p>
        </w:tc>
      </w:tr>
    </w:tbl>
    <w:p w14:paraId="11EBDED7">
      <w:pPr>
        <w:pStyle w:val="style19"/>
        <w:spacing w:lineRule="auto" w:line="360"/>
        <w:rPr>
          <w:rFonts w:ascii="仿宋" w:cs="仿宋" w:eastAsia="仿宋" w:hAnsi="仿宋" w:hint="eastAsia"/>
          <w:bCs/>
          <w:caps w:val="false"/>
          <w:sz w:val="30"/>
          <w:szCs w:val="30"/>
        </w:rPr>
      </w:pPr>
      <w:r>
        <w:rPr>
          <w:rFonts w:ascii="仿宋" w:cs="仿宋" w:eastAsia="仿宋" w:hAnsi="仿宋" w:hint="eastAsia"/>
          <w:bCs/>
          <w:caps w:val="false"/>
          <w:sz w:val="30"/>
          <w:szCs w:val="30"/>
        </w:rPr>
        <w:t>备注：</w:t>
      </w:r>
    </w:p>
    <w:p w14:paraId="1ED677CB">
      <w:pPr>
        <w:pStyle w:val="style0"/>
        <w:numPr>
          <w:ilvl w:val="0"/>
          <w:numId w:val="0"/>
        </w:numPr>
        <w:snapToGrid w:val="false"/>
        <w:spacing w:lineRule="auto" w:line="360"/>
        <w:ind w:firstLine="600" w:firstLineChars="200"/>
        <w:rPr>
          <w:rFonts w:ascii="仿宋" w:cs="仿宋" w:eastAsia="仿宋" w:hAnsi="仿宋" w:hint="eastAsia"/>
          <w:kern w:val="2"/>
          <w:sz w:val="30"/>
          <w:szCs w:val="30"/>
          <w:lang w:val="en-US" w:bidi="ar-SA" w:eastAsia="zh-CN"/>
        </w:rPr>
      </w:pPr>
      <w:r>
        <w:rPr>
          <w:rFonts w:ascii="仿宋" w:cs="仿宋" w:eastAsia="仿宋" w:hAnsi="仿宋" w:hint="eastAsia"/>
          <w:kern w:val="2"/>
          <w:sz w:val="30"/>
          <w:szCs w:val="30"/>
          <w:lang w:val="en-US" w:bidi="ar-SA" w:eastAsia="zh-CN"/>
        </w:rPr>
        <w:t>1.本项目报价为一次性报价，报价包含废铁、废瓦的切割费、运输费、人工上车费及税费等一切费用。</w:t>
      </w:r>
    </w:p>
    <w:p w14:paraId="4A886ED3">
      <w:pPr>
        <w:pStyle w:val="style0"/>
        <w:numPr>
          <w:ilvl w:val="0"/>
          <w:numId w:val="0"/>
        </w:numPr>
        <w:snapToGrid w:val="false"/>
        <w:spacing w:lineRule="auto" w:line="360"/>
        <w:ind w:firstLine="600" w:firstLineChars="200"/>
        <w:rPr>
          <w:rFonts w:ascii="仿宋" w:cs="仿宋" w:eastAsia="仿宋" w:hAnsi="仿宋" w:hint="eastAsia"/>
          <w:sz w:val="30"/>
          <w:szCs w:val="30"/>
        </w:rPr>
      </w:pPr>
      <w:r>
        <w:rPr>
          <w:rFonts w:ascii="仿宋" w:cs="仿宋" w:eastAsia="仿宋" w:hAnsi="仿宋" w:hint="eastAsia"/>
          <w:kern w:val="2"/>
          <w:sz w:val="30"/>
          <w:szCs w:val="30"/>
          <w:lang w:val="en-US" w:bidi="ar-SA" w:eastAsia="zh-CN"/>
        </w:rPr>
        <w:t>2.最终结算以绍兴市再生能源发展有限公司实际过磅吨位为结算依据，单价不变。</w:t>
      </w:r>
    </w:p>
    <w:p w14:paraId="23BDC3B5">
      <w:pPr>
        <w:pStyle w:val="style0"/>
        <w:numPr>
          <w:ilvl w:val="0"/>
          <w:numId w:val="0"/>
        </w:numPr>
        <w:snapToGrid w:val="false"/>
        <w:spacing w:lineRule="auto" w:line="360"/>
        <w:ind w:firstLine="600" w:firstLineChars="200"/>
        <w:rPr>
          <w:rFonts w:ascii="仿宋_GB2312" w:eastAsia="仿宋_GB2312"/>
          <w:sz w:val="30"/>
          <w:szCs w:val="30"/>
        </w:rPr>
      </w:pPr>
      <w:r>
        <w:rPr>
          <w:rFonts w:ascii="仿宋_GB2312" w:cs="Times New Roman" w:eastAsia="仿宋_GB2312" w:hint="eastAsia"/>
          <w:kern w:val="2"/>
          <w:sz w:val="30"/>
          <w:szCs w:val="30"/>
          <w:lang w:val="en-US" w:bidi="ar-SA" w:eastAsia="zh-CN"/>
        </w:rPr>
        <w:t>3</w:t>
      </w:r>
      <w:r>
        <w:rPr>
          <w:rFonts w:ascii="仿宋_GB2312" w:cs="Times New Roman" w:eastAsia="仿宋_GB2312" w:hAnsi="Times New Roman"/>
          <w:kern w:val="2"/>
          <w:sz w:val="30"/>
          <w:szCs w:val="30"/>
          <w:lang w:val="en-US" w:bidi="ar-SA" w:eastAsia="zh-CN"/>
        </w:rPr>
        <w:t>.</w:t>
      </w:r>
      <w:r>
        <w:rPr>
          <w:rFonts w:ascii="仿宋" w:cs="仿宋" w:eastAsia="仿宋" w:hAnsi="仿宋" w:hint="eastAsia"/>
          <w:sz w:val="30"/>
          <w:szCs w:val="30"/>
          <w:lang w:val="en-US" w:eastAsia="zh-CN"/>
        </w:rPr>
        <w:t>本次厂区废弃金属回收项目废铁报价不得低</w:t>
      </w:r>
      <w:r>
        <w:rPr>
          <w:rFonts w:ascii="仿宋" w:cs="仿宋" w:eastAsia="仿宋" w:hAnsi="仿宋" w:hint="eastAsia"/>
          <w:sz w:val="30"/>
          <w:szCs w:val="30"/>
          <w:highlight w:val="none"/>
          <w:lang w:val="en-US" w:eastAsia="zh-CN"/>
        </w:rPr>
        <w:t>于1472元/吨，废瓦报价不得低于1539元/吨，否则做无效报价处理</w:t>
      </w:r>
      <w:r>
        <w:rPr>
          <w:rFonts w:ascii="仿宋_GB2312" w:eastAsia="仿宋_GB2312" w:hint="eastAsia"/>
          <w:sz w:val="30"/>
          <w:szCs w:val="30"/>
          <w:highlight w:val="none"/>
          <w:lang w:val="en-US" w:eastAsia="zh-CN"/>
        </w:rPr>
        <w:t>。</w:t>
      </w:r>
    </w:p>
    <w:p w14:paraId="6130137E">
      <w:pPr>
        <w:pStyle w:val="style19"/>
        <w:spacing w:lineRule="auto" w:line="360"/>
        <w:rPr>
          <w:rFonts w:ascii="仿宋_GB2312" w:eastAsia="仿宋_GB2312" w:hint="eastAsia"/>
          <w:b w:val="false"/>
          <w:sz w:val="30"/>
          <w:szCs w:val="30"/>
        </w:rPr>
      </w:pPr>
    </w:p>
    <w:p w14:paraId="32AA5B33">
      <w:pPr>
        <w:pStyle w:val="style0"/>
        <w:rPr>
          <w:rFonts w:ascii="仿宋" w:cs="仿宋" w:eastAsia="仿宋" w:hAnsi="仿宋" w:hint="eastAsia"/>
          <w:sz w:val="30"/>
          <w:szCs w:val="30"/>
          <w:lang w:val="en-US" w:eastAsia="zh-CN"/>
        </w:rPr>
      </w:pPr>
    </w:p>
    <w:p w14:paraId="37E6D43D">
      <w:pPr>
        <w:pStyle w:val="style4099"/>
        <w:snapToGrid w:val="false"/>
        <w:spacing w:lineRule="auto" w:line="360"/>
        <w:ind w:firstLine="600" w:firstLineChars="200"/>
        <w:jc w:val="left"/>
        <w:rPr>
          <w:rFonts w:ascii="仿宋" w:cs="仿宋" w:eastAsia="仿宋" w:hAnsi="仿宋" w:hint="eastAsia"/>
          <w:b w:val="false"/>
          <w:sz w:val="30"/>
          <w:szCs w:val="30"/>
          <w:lang w:val="en-US" w:eastAsia="zh-CN"/>
        </w:rPr>
      </w:pPr>
      <w:r>
        <w:rPr>
          <w:rFonts w:ascii="仿宋" w:cs="仿宋" w:eastAsia="仿宋" w:hAnsi="仿宋" w:hint="eastAsia"/>
          <w:b w:val="false"/>
          <w:sz w:val="30"/>
          <w:szCs w:val="30"/>
          <w:lang w:val="en-US" w:eastAsia="zh-CN"/>
        </w:rPr>
        <w:t>代表</w:t>
      </w:r>
      <w:r>
        <w:rPr>
          <w:rFonts w:ascii="仿宋" w:cs="仿宋" w:eastAsia="仿宋" w:hAnsi="仿宋" w:hint="eastAsia"/>
          <w:b w:val="false"/>
          <w:sz w:val="30"/>
          <w:szCs w:val="30"/>
        </w:rPr>
        <w:t>签字：</w:t>
      </w:r>
      <w:r>
        <w:rPr>
          <w:rFonts w:ascii="仿宋" w:cs="仿宋" w:eastAsia="仿宋" w:hAnsi="仿宋" w:hint="eastAsia"/>
          <w:b w:val="false"/>
          <w:sz w:val="30"/>
          <w:szCs w:val="30"/>
          <w:lang w:val="en-US" w:eastAsia="zh-CN"/>
        </w:rPr>
        <w:t xml:space="preserve">                 身份证号：</w:t>
      </w:r>
    </w:p>
    <w:p w14:paraId="1D962511">
      <w:pPr>
        <w:pStyle w:val="style0"/>
        <w:snapToGrid w:val="false"/>
        <w:spacing w:lineRule="auto" w:line="360"/>
        <w:ind w:firstLine="600" w:firstLineChars="200"/>
        <w:rPr>
          <w:rFonts w:ascii="仿宋" w:cs="仿宋" w:eastAsia="仿宋" w:hAnsi="仿宋" w:hint="eastAsia"/>
          <w:sz w:val="30"/>
          <w:szCs w:val="30"/>
        </w:rPr>
      </w:pPr>
      <w:r>
        <w:rPr>
          <w:rFonts w:ascii="仿宋" w:cs="仿宋" w:eastAsia="仿宋" w:hAnsi="仿宋" w:hint="eastAsia"/>
          <w:sz w:val="30"/>
          <w:szCs w:val="30"/>
        </w:rPr>
        <w:t>联系方式：</w:t>
      </w:r>
    </w:p>
    <w:p w14:paraId="56C0FBE4">
      <w:pPr>
        <w:pStyle w:val="style77"/>
        <w:ind w:left="0" w:leftChars="0" w:firstLine="0" w:firstLineChars="0"/>
        <w:rPr>
          <w:rFonts w:ascii="仿宋" w:cs="仿宋" w:eastAsia="仿宋" w:hAnsi="仿宋" w:hint="eastAsia"/>
          <w:sz w:val="30"/>
          <w:szCs w:val="30"/>
        </w:rPr>
      </w:pPr>
      <w:r>
        <w:rPr>
          <w:rFonts w:ascii="仿宋" w:cs="仿宋" w:eastAsia="仿宋" w:hAnsi="仿宋" w:hint="eastAsia"/>
          <w:sz w:val="30"/>
          <w:szCs w:val="30"/>
        </w:rPr>
        <w:t xml:space="preserve">           </w:t>
      </w:r>
      <w:r>
        <w:rPr>
          <w:rFonts w:ascii="仿宋" w:cs="仿宋" w:eastAsia="仿宋" w:hAnsi="仿宋" w:hint="eastAsia"/>
          <w:sz w:val="30"/>
          <w:szCs w:val="30"/>
          <w:lang w:val="en-US" w:eastAsia="zh-CN"/>
        </w:rPr>
        <w:t xml:space="preserve">                   </w:t>
      </w:r>
      <w:r>
        <w:rPr>
          <w:rFonts w:ascii="仿宋" w:cs="仿宋" w:eastAsia="仿宋" w:hAnsi="仿宋" w:hint="eastAsia"/>
          <w:sz w:val="30"/>
          <w:szCs w:val="30"/>
        </w:rPr>
        <w:t xml:space="preserve"> 日期： 202</w:t>
      </w:r>
      <w:r>
        <w:rPr>
          <w:rFonts w:ascii="仿宋" w:cs="仿宋" w:eastAsia="仿宋" w:hAnsi="仿宋" w:hint="eastAsia"/>
          <w:sz w:val="30"/>
          <w:szCs w:val="30"/>
          <w:lang w:val="en-US" w:eastAsia="zh-CN"/>
        </w:rPr>
        <w:t>6</w:t>
      </w:r>
      <w:r>
        <w:rPr>
          <w:rFonts w:ascii="仿宋" w:cs="仿宋" w:eastAsia="仿宋" w:hAnsi="仿宋" w:hint="eastAsia"/>
          <w:sz w:val="30"/>
          <w:szCs w:val="30"/>
        </w:rPr>
        <w:t>年  月   日</w:t>
      </w:r>
    </w:p>
    <w:sectPr>
      <w:footerReference w:type="default" r:id="rId2"/>
      <w:pgSz w:w="11906" w:h="16838" w:orient="portrait"/>
      <w:pgMar w:top="1701" w:right="1418" w:bottom="1134"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81"/>
    <w:family w:val="roman"/>
    <w:pitch w:val="default"/>
    <w:sig w:usb0="E0002EFF" w:usb1="C000785B" w:usb2="00000009" w:usb3="00000000" w:csb0="400001FF" w:csb1="FFFF0000"/>
  </w:font>
  <w:font w:name="宋体">
    <w:altName w:val="宋体"/>
    <w:panose1 w:val="02010600030001010101"/>
    <w:charset w:val="80"/>
    <w:family w:val="auto"/>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EFF" w:usb1="C000785B"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E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altName w:val="仿宋"/>
    <w:panose1 w:val="02010609060001010101"/>
    <w:charset w:val="86"/>
    <w:family w:val="auto"/>
    <w:pitch w:val="default"/>
    <w:sig w:usb0="800002BF" w:usb1="38CF7CFA" w:usb2="00000016" w:usb3="00000000" w:csb0="0004000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93DDD0A">
    <w:pPr>
      <w:pStyle w:val="style32"/>
      <w:framePr w:wrap="around" w:hAnchor="margin" w:vAnchor="text" w:xAlign="center" w:y="1"/>
      <w:rPr>
        <w:rStyle w:val="style41"/>
      </w:rPr>
    </w:pPr>
    <w:r>
      <w:rPr/>
      <w:fldChar w:fldCharType="begin"/>
    </w:r>
    <w:r>
      <w:rPr>
        <w:rStyle w:val="style41"/>
      </w:rPr>
      <w:instrText xml:space="preserve">PAGE  </w:instrText>
    </w:r>
    <w:r>
      <w:rPr/>
      <w:fldChar w:fldCharType="separate"/>
    </w:r>
    <w:r>
      <w:rPr>
        <w:rStyle w:val="style41"/>
      </w:rPr>
      <w:t>10</w:t>
    </w:r>
    <w:r>
      <w:rPr/>
      <w:fldChar w:fldCharType="end"/>
    </w:r>
  </w:p>
  <w:p w14:paraId="2963489C">
    <w:pPr>
      <w:pStyle w:val="style32"/>
      <w:jc w:val="right"/>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20"/>
    <w:lvl w:ilvl="0">
      <w:start w:val="1"/>
      <w:numFmt w:val="decimal"/>
      <w:pStyle w:val="style1"/>
      <w:isLgl/>
      <w:lvlText w:val="%1."/>
      <w:lvlJc w:val="left"/>
      <w:pPr>
        <w:tabs>
          <w:tab w:val="left" w:leader="none" w:pos="360"/>
        </w:tabs>
        <w:ind w:left="0" w:firstLine="0"/>
      </w:pPr>
      <w:rPr>
        <w:rFonts w:ascii="Arial" w:hAnsi="Arial" w:hint="default"/>
        <w:b/>
        <w:i w:val="false"/>
        <w:sz w:val="32"/>
      </w:rPr>
    </w:lvl>
    <w:lvl w:ilvl="1">
      <w:start w:val="1"/>
      <w:numFmt w:val="decimal"/>
      <w:lvlText w:val="%1.%2."/>
      <w:lvlJc w:val="left"/>
      <w:pPr>
        <w:tabs>
          <w:tab w:val="left" w:leader="none" w:pos="720"/>
        </w:tabs>
        <w:ind w:left="567" w:hanging="567"/>
      </w:pPr>
      <w:rPr>
        <w:rFonts w:hint="eastAsia"/>
      </w:rPr>
    </w:lvl>
    <w:lvl w:ilvl="2">
      <w:start w:val="1"/>
      <w:numFmt w:val="decimal"/>
      <w:lvlText w:val="%1.%2.%3."/>
      <w:lvlJc w:val="left"/>
      <w:pPr>
        <w:tabs>
          <w:tab w:val="left" w:leader="none" w:pos="1429"/>
        </w:tabs>
        <w:ind w:left="1429" w:hanging="709"/>
      </w:pPr>
      <w:rPr>
        <w:rFonts w:hint="eastAsia"/>
      </w:rPr>
    </w:lvl>
    <w:lvl w:ilvl="3">
      <w:start w:val="1"/>
      <w:numFmt w:val="decimal"/>
      <w:lvlText w:val="%1.%2.%3.%4."/>
      <w:lvlJc w:val="left"/>
      <w:pPr>
        <w:tabs>
          <w:tab w:val="left" w:leader="none" w:pos="851"/>
        </w:tabs>
        <w:ind w:left="851" w:hanging="851"/>
      </w:pPr>
      <w:rPr>
        <w:rFonts w:hint="eastAsia"/>
      </w:rPr>
    </w:lvl>
    <w:lvl w:ilvl="4">
      <w:start w:val="1"/>
      <w:numFmt w:val="decimal"/>
      <w:lvlText w:val="%1.%2.%3.%4.%5."/>
      <w:lvlJc w:val="left"/>
      <w:pPr>
        <w:tabs>
          <w:tab w:val="left" w:leader="none" w:pos="992"/>
        </w:tabs>
        <w:ind w:left="992" w:hanging="992"/>
      </w:pPr>
      <w:rPr>
        <w:rFonts w:hint="eastAsia"/>
      </w:rPr>
    </w:lvl>
    <w:lvl w:ilvl="5">
      <w:start w:val="1"/>
      <w:numFmt w:val="decimal"/>
      <w:lvlText w:val="%1.%2.%3.%4.%5.%6."/>
      <w:lvlJc w:val="left"/>
      <w:pPr>
        <w:tabs>
          <w:tab w:val="left" w:leader="none" w:pos="1134"/>
        </w:tabs>
        <w:ind w:left="1134" w:hanging="1134"/>
      </w:pPr>
      <w:rPr>
        <w:rFonts w:hint="eastAsia"/>
      </w:rPr>
    </w:lvl>
    <w:lvl w:ilvl="6">
      <w:start w:val="1"/>
      <w:numFmt w:val="decimal"/>
      <w:lvlText w:val="%1.%2.%3.%4.%5.%6.%7."/>
      <w:lvlJc w:val="left"/>
      <w:pPr>
        <w:tabs>
          <w:tab w:val="left" w:leader="none" w:pos="1276"/>
        </w:tabs>
        <w:ind w:left="1276" w:hanging="1276"/>
      </w:pPr>
      <w:rPr>
        <w:rFonts w:hint="eastAsia"/>
      </w:rPr>
    </w:lvl>
    <w:lvl w:ilvl="7">
      <w:start w:val="1"/>
      <w:numFmt w:val="decimal"/>
      <w:lvlText w:val="%1.%2.%3.%4.%5.%6.%7.%8."/>
      <w:lvlJc w:val="left"/>
      <w:pPr>
        <w:tabs>
          <w:tab w:val="left" w:leader="none" w:pos="1418"/>
        </w:tabs>
        <w:ind w:left="1418" w:hanging="1418"/>
      </w:pPr>
      <w:rPr>
        <w:rFonts w:hint="eastAsia"/>
      </w:rPr>
    </w:lvl>
    <w:lvl w:ilvl="8">
      <w:start w:val="1"/>
      <w:numFmt w:val="decimal"/>
      <w:lvlText w:val="%1.%2.%3.%4.%5.%6.%7.%8.%9."/>
      <w:lvlJc w:val="left"/>
      <w:pPr>
        <w:tabs>
          <w:tab w:val="left" w:leader="none" w:pos="1559"/>
        </w:tabs>
        <w:ind w:left="1559" w:hanging="1559"/>
      </w:pPr>
      <w:rPr>
        <w:rFonts w:hint="eastAsia"/>
      </w:rPr>
    </w:lvl>
  </w:abstractNum>
  <w:abstractNum w:abstractNumId="1">
    <w:nsid w:val="00000001"/>
    <w:multiLevelType w:val="singleLevel"/>
    <w:tmpl w:val="4CC8527C"/>
    <w:lvl w:ilvl="0">
      <w:start w:val="6"/>
      <w:numFmt w:val="chineseCounting"/>
      <w:suff w:val="nothing"/>
      <w:lvlText w:val="%1、"/>
      <w:lvlJc w:val="left"/>
      <w:pPr/>
      <w:rPr>
        <w:rFonts w:hint="eastAsia"/>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1"/>
  <w:displayVerticalDrawingGridEvery w:val="1"/>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19"/>
    <w:qFormat/>
    <w:uiPriority w:val="0"/>
    <w:pPr>
      <w:widowControl w:val="false"/>
      <w:jc w:val="both"/>
    </w:pPr>
    <w:rPr>
      <w:rFonts w:ascii="Times New Roman" w:cs="Times New Roman" w:eastAsia="宋体" w:hAnsi="Times New Roman"/>
      <w:kern w:val="2"/>
      <w:sz w:val="21"/>
      <w:lang w:val="en-US" w:bidi="ar-SA" w:eastAsia="zh-CN"/>
    </w:rPr>
  </w:style>
  <w:style w:type="paragraph" w:styleId="style1">
    <w:name w:val="heading 1"/>
    <w:basedOn w:val="style0"/>
    <w:next w:val="style0"/>
    <w:link w:val="style4112"/>
    <w:qFormat/>
    <w:uiPriority w:val="0"/>
    <w:pPr>
      <w:keepNext/>
      <w:keepLines/>
      <w:numPr>
        <w:ilvl w:val="0"/>
        <w:numId w:val="1"/>
      </w:numPr>
      <w:autoSpaceDE w:val="false"/>
      <w:autoSpaceDN w:val="false"/>
      <w:adjustRightInd w:val="false"/>
      <w:spacing w:before="340" w:after="330" w:lineRule="auto" w:line="360"/>
      <w:jc w:val="left"/>
      <w:textAlignment w:val="baseline"/>
      <w:outlineLvl w:val="0"/>
    </w:pPr>
    <w:rPr>
      <w:rFonts w:ascii="宋体" w:eastAsia="黑体" w:hAnsi="Arial"/>
      <w:b/>
      <w:color w:val="000000"/>
      <w:kern w:val="44"/>
      <w:sz w:val="36"/>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19">
    <w:name w:val="toc 1"/>
    <w:basedOn w:val="style0"/>
    <w:next w:val="style0"/>
    <w:qFormat/>
    <w:uiPriority w:val="39"/>
    <w:pPr>
      <w:jc w:val="left"/>
    </w:pPr>
    <w:rPr>
      <w:b/>
      <w:caps/>
    </w:rPr>
  </w:style>
  <w:style w:type="paragraph" w:styleId="style30">
    <w:name w:val="annotation text"/>
    <w:basedOn w:val="style0"/>
    <w:next w:val="style30"/>
    <w:qFormat/>
    <w:uiPriority w:val="0"/>
    <w:pPr>
      <w:jc w:val="left"/>
    </w:pPr>
    <w:rPr/>
  </w:style>
  <w:style w:type="paragraph" w:styleId="style66">
    <w:name w:val="Body Text"/>
    <w:basedOn w:val="style0"/>
    <w:next w:val="style0"/>
    <w:qFormat/>
    <w:uiPriority w:val="1"/>
    <w:pPr>
      <w:spacing w:after="120"/>
    </w:pPr>
    <w:rPr/>
  </w:style>
  <w:style w:type="paragraph" w:styleId="style67">
    <w:name w:val="Body Text Indent"/>
    <w:basedOn w:val="style0"/>
    <w:next w:val="style67"/>
    <w:qFormat/>
    <w:uiPriority w:val="0"/>
    <w:pPr>
      <w:spacing w:lineRule="auto" w:line="480"/>
      <w:ind w:firstLine="600"/>
    </w:pPr>
    <w:rPr>
      <w:sz w:val="28"/>
    </w:rPr>
  </w:style>
  <w:style w:type="paragraph" w:styleId="style153">
    <w:name w:val="Balloon Text"/>
    <w:basedOn w:val="style0"/>
    <w:next w:val="style153"/>
    <w:link w:val="style4101"/>
    <w:qFormat/>
    <w:uiPriority w:val="0"/>
    <w:pPr/>
    <w:rPr>
      <w:sz w:val="18"/>
      <w:szCs w:val="18"/>
    </w:rPr>
  </w:style>
  <w:style w:type="paragraph" w:styleId="style32">
    <w:name w:val="footer"/>
    <w:basedOn w:val="style0"/>
    <w:next w:val="style32"/>
    <w:qFormat/>
    <w:uiPriority w:val="0"/>
    <w:pPr>
      <w:tabs>
        <w:tab w:val="center" w:leader="none" w:pos="4153"/>
        <w:tab w:val="right" w:leader="none" w:pos="8306"/>
      </w:tabs>
      <w:snapToGrid w:val="false"/>
      <w:jc w:val="left"/>
    </w:pPr>
    <w:rPr>
      <w:sz w:val="18"/>
    </w:rPr>
  </w:style>
  <w:style w:type="paragraph" w:styleId="style31">
    <w:name w:val="header"/>
    <w:basedOn w:val="style0"/>
    <w:next w:val="style31"/>
    <w:link w:val="style4100"/>
    <w:qFormat/>
    <w:uiPriority w:val="0"/>
    <w:pPr>
      <w:pBdr>
        <w:bottom w:val="single" w:sz="6" w:space="1" w:color="auto"/>
      </w:pBdr>
      <w:tabs>
        <w:tab w:val="center" w:leader="none" w:pos="4153"/>
        <w:tab w:val="right" w:leader="none" w:pos="8306"/>
      </w:tabs>
      <w:snapToGrid w:val="false"/>
      <w:jc w:val="center"/>
    </w:pPr>
    <w:rPr>
      <w:sz w:val="18"/>
      <w:szCs w:val="18"/>
    </w:rPr>
  </w:style>
  <w:style w:type="paragraph" w:styleId="style62">
    <w:name w:val="Title"/>
    <w:basedOn w:val="style0"/>
    <w:next w:val="style62"/>
    <w:qFormat/>
    <w:uiPriority w:val="0"/>
    <w:pPr>
      <w:widowControl/>
      <w:overflowPunct w:val="false"/>
      <w:autoSpaceDE w:val="false"/>
      <w:autoSpaceDN w:val="false"/>
      <w:adjustRightInd w:val="false"/>
      <w:jc w:val="center"/>
      <w:textAlignment w:val="baseline"/>
    </w:pPr>
    <w:rPr>
      <w:b/>
      <w:kern w:val="0"/>
      <w:sz w:val="44"/>
      <w:lang w:val="en-GB"/>
    </w:rPr>
  </w:style>
  <w:style w:type="paragraph" w:styleId="style77">
    <w:name w:val="Body Text First Indent"/>
    <w:basedOn w:val="style66"/>
    <w:next w:val="style0"/>
    <w:qFormat/>
    <w:uiPriority w:val="99"/>
    <w:pPr>
      <w:widowControl/>
      <w:spacing w:after="120" w:lineRule="auto" w:line="240"/>
      <w:ind w:firstLine="420" w:firstLineChars="100"/>
      <w:jc w:val="left"/>
    </w:pPr>
    <w:rPr>
      <w:rFonts w:ascii="Times New Roman" w:eastAsia="宋体"/>
      <w:kern w:val="0"/>
      <w:sz w:val="21"/>
    </w:rPr>
  </w:style>
  <w:style w:type="paragraph" w:styleId="style78">
    <w:name w:val="Body Text First Indent 2"/>
    <w:basedOn w:val="style67"/>
    <w:next w:val="style78"/>
    <w:qFormat/>
    <w:uiPriority w:val="0"/>
    <w:pPr>
      <w:ind w:firstLine="420" w:firstLineChars="200"/>
    </w:pPr>
    <w:rPr/>
  </w:style>
  <w:style w:type="table" w:styleId="style154">
    <w:name w:val="Table Grid"/>
    <w:basedOn w:val="style105"/>
    <w:next w:val="style154"/>
    <w:qFormat/>
    <w:uiPriority w:val="0"/>
    <w:pPr>
      <w:widowControl w:val="false"/>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41">
    <w:name w:val="page number"/>
    <w:basedOn w:val="style65"/>
    <w:next w:val="style41"/>
    <w:qFormat/>
    <w:uiPriority w:val="0"/>
  </w:style>
  <w:style w:type="character" w:styleId="style88">
    <w:name w:val="Emphasis"/>
    <w:basedOn w:val="style65"/>
    <w:next w:val="style88"/>
    <w:qFormat/>
    <w:uiPriority w:val="0"/>
    <w:rPr>
      <w:i/>
    </w:rPr>
  </w:style>
  <w:style w:type="character" w:styleId="style85">
    <w:name w:val="Hyperlink"/>
    <w:next w:val="style85"/>
    <w:qFormat/>
    <w:uiPriority w:val="99"/>
    <w:rPr>
      <w:color w:val="0000ff"/>
      <w:u w:val="single"/>
    </w:rPr>
  </w:style>
  <w:style w:type="character" w:styleId="style39">
    <w:name w:val="annotation reference"/>
    <w:basedOn w:val="style65"/>
    <w:next w:val="style39"/>
    <w:qFormat/>
    <w:uiPriority w:val="0"/>
    <w:rPr>
      <w:sz w:val="21"/>
      <w:szCs w:val="21"/>
    </w:rPr>
  </w:style>
  <w:style w:type="paragraph" w:customStyle="1" w:styleId="style4097">
    <w:name w:val="正文文字缩进"/>
    <w:basedOn w:val="style0"/>
    <w:next w:val="style4097"/>
    <w:qFormat/>
    <w:uiPriority w:val="0"/>
    <w:pPr>
      <w:widowControl/>
      <w:spacing w:lineRule="atLeast" w:line="351"/>
      <w:ind w:firstLine="436"/>
      <w:textAlignment w:val="baseline"/>
    </w:pPr>
    <w:rPr>
      <w:color w:val="000000"/>
      <w:kern w:val="0"/>
      <w:sz w:val="30"/>
      <w:u w:color="000000"/>
    </w:rPr>
  </w:style>
  <w:style w:type="character" w:customStyle="1" w:styleId="style4098">
    <w:name w:val="标题 1 Char Char"/>
    <w:next w:val="style4098"/>
    <w:qFormat/>
    <w:uiPriority w:val="0"/>
    <w:rPr>
      <w:rFonts w:eastAsia="宋体"/>
      <w:b/>
      <w:spacing w:val="-2"/>
      <w:sz w:val="24"/>
      <w:lang w:val="en-US" w:eastAsia="zh-CN"/>
    </w:rPr>
  </w:style>
  <w:style w:type="paragraph" w:customStyle="1" w:styleId="style4099">
    <w:name w:val="一、标题"/>
    <w:basedOn w:val="style0"/>
    <w:next w:val="style4099"/>
    <w:qFormat/>
    <w:uiPriority w:val="0"/>
    <w:pPr/>
    <w:rPr>
      <w:b/>
      <w:sz w:val="28"/>
    </w:rPr>
  </w:style>
  <w:style w:type="paragraph" w:styleId="style179">
    <w:name w:val="List Paragraph"/>
    <w:basedOn w:val="style0"/>
    <w:next w:val="style179"/>
    <w:qFormat/>
    <w:uiPriority w:val="34"/>
    <w:pPr>
      <w:ind w:firstLine="420" w:firstLineChars="200"/>
    </w:pPr>
    <w:rPr/>
  </w:style>
  <w:style w:type="character" w:customStyle="1" w:styleId="style4100">
    <w:name w:val="页眉 Char"/>
    <w:basedOn w:val="style65"/>
    <w:next w:val="style4100"/>
    <w:link w:val="style31"/>
    <w:qFormat/>
    <w:uiPriority w:val="0"/>
    <w:rPr>
      <w:kern w:val="2"/>
      <w:sz w:val="18"/>
      <w:szCs w:val="18"/>
    </w:rPr>
  </w:style>
  <w:style w:type="character" w:customStyle="1" w:styleId="style4101">
    <w:name w:val="批注框文本 Char"/>
    <w:basedOn w:val="style65"/>
    <w:next w:val="style4101"/>
    <w:link w:val="style153"/>
    <w:qFormat/>
    <w:uiPriority w:val="0"/>
    <w:rPr>
      <w:kern w:val="2"/>
      <w:sz w:val="18"/>
      <w:szCs w:val="18"/>
    </w:rPr>
  </w:style>
  <w:style w:type="character" w:customStyle="1" w:styleId="style4102">
    <w:name w:val="font31"/>
    <w:basedOn w:val="style65"/>
    <w:next w:val="style4102"/>
    <w:qFormat/>
    <w:uiPriority w:val="0"/>
    <w:rPr>
      <w:rFonts w:ascii="宋体" w:cs="宋体" w:eastAsia="宋体" w:hAnsi="宋体" w:hint="eastAsia"/>
      <w:color w:val="000000"/>
      <w:sz w:val="22"/>
      <w:szCs w:val="22"/>
      <w:u w:val="none"/>
    </w:rPr>
  </w:style>
  <w:style w:type="character" w:customStyle="1" w:styleId="style4103">
    <w:name w:val="font51"/>
    <w:basedOn w:val="style65"/>
    <w:next w:val="style4103"/>
    <w:qFormat/>
    <w:uiPriority w:val="0"/>
    <w:rPr>
      <w:rFonts w:ascii="Times New Roman" w:cs="Times New Roman" w:hAnsi="Times New Roman" w:hint="default"/>
      <w:color w:val="000000"/>
      <w:sz w:val="22"/>
      <w:szCs w:val="22"/>
      <w:u w:val="none"/>
    </w:rPr>
  </w:style>
  <w:style w:type="character" w:customStyle="1" w:styleId="style4104">
    <w:name w:val="font41"/>
    <w:basedOn w:val="style65"/>
    <w:next w:val="style4104"/>
    <w:qFormat/>
    <w:uiPriority w:val="0"/>
    <w:rPr>
      <w:rFonts w:ascii="仿宋_GB2312" w:cs="仿宋_GB2312" w:eastAsia="仿宋_GB2312"/>
      <w:color w:val="000000"/>
      <w:sz w:val="22"/>
      <w:szCs w:val="22"/>
      <w:u w:val="none"/>
    </w:rPr>
  </w:style>
  <w:style w:type="character" w:customStyle="1" w:styleId="style4105">
    <w:name w:val="font21"/>
    <w:basedOn w:val="style65"/>
    <w:next w:val="style4105"/>
    <w:qFormat/>
    <w:uiPriority w:val="0"/>
    <w:rPr>
      <w:rFonts w:ascii="宋体" w:cs="宋体" w:eastAsia="宋体" w:hAnsi="宋体" w:hint="eastAsia"/>
      <w:color w:val="000000"/>
      <w:sz w:val="22"/>
      <w:szCs w:val="22"/>
      <w:u w:val="none"/>
      <w:vertAlign w:val="superscript"/>
    </w:rPr>
  </w:style>
  <w:style w:type="character" w:customStyle="1" w:styleId="style4106">
    <w:name w:val="font01"/>
    <w:basedOn w:val="style65"/>
    <w:next w:val="style4106"/>
    <w:qFormat/>
    <w:uiPriority w:val="0"/>
    <w:rPr>
      <w:rFonts w:ascii="宋体" w:cs="宋体" w:eastAsia="宋体" w:hAnsi="宋体" w:hint="eastAsia"/>
      <w:color w:val="000000"/>
      <w:sz w:val="22"/>
      <w:szCs w:val="22"/>
      <w:u w:val="none"/>
    </w:rPr>
  </w:style>
  <w:style w:type="character" w:customStyle="1" w:styleId="style4107">
    <w:name w:val="font11"/>
    <w:basedOn w:val="style65"/>
    <w:next w:val="style4107"/>
    <w:qFormat/>
    <w:uiPriority w:val="0"/>
    <w:rPr>
      <w:rFonts w:ascii="宋体" w:cs="宋体" w:eastAsia="宋体" w:hAnsi="宋体" w:hint="eastAsia"/>
      <w:color w:val="000000"/>
      <w:sz w:val="24"/>
      <w:szCs w:val="24"/>
      <w:u w:val="none"/>
    </w:rPr>
  </w:style>
  <w:style w:type="paragraph" w:customStyle="1" w:styleId="style4108">
    <w:name w:val="Default"/>
    <w:next w:val="style4108"/>
    <w:qFormat/>
    <w:uiPriority w:val="0"/>
    <w:pPr>
      <w:widowControl w:val="false"/>
      <w:autoSpaceDE w:val="false"/>
      <w:autoSpaceDN w:val="false"/>
      <w:adjustRightInd w:val="false"/>
    </w:pPr>
    <w:rPr>
      <w:rFonts w:ascii="宋体" w:cs="Times New Roman" w:eastAsia="宋体" w:hAnsi="Times New Roman"/>
      <w:color w:val="000000"/>
      <w:sz w:val="24"/>
      <w:szCs w:val="24"/>
      <w:lang w:val="en-US" w:bidi="ar-SA" w:eastAsia="zh-CN"/>
    </w:rPr>
  </w:style>
  <w:style w:type="character" w:customStyle="1" w:styleId="style4109">
    <w:name w:val="font81"/>
    <w:basedOn w:val="style65"/>
    <w:next w:val="style4109"/>
    <w:qFormat/>
    <w:uiPriority w:val="0"/>
    <w:rPr>
      <w:rFonts w:ascii="宋体" w:cs="宋体" w:eastAsia="宋体" w:hAnsi="宋体"/>
      <w:color w:val="000000"/>
      <w:sz w:val="20"/>
      <w:szCs w:val="20"/>
      <w:u w:val="none"/>
    </w:rPr>
  </w:style>
  <w:style w:type="character" w:customStyle="1" w:styleId="style4110">
    <w:name w:val="font71"/>
    <w:basedOn w:val="style65"/>
    <w:next w:val="style4110"/>
    <w:qFormat/>
    <w:uiPriority w:val="0"/>
    <w:rPr>
      <w:rFonts w:ascii="仿宋" w:cs="仿宋" w:eastAsia="仿宋" w:hAnsi="仿宋" w:hint="eastAsia"/>
      <w:color w:val="000000"/>
      <w:sz w:val="22"/>
      <w:szCs w:val="22"/>
      <w:u w:val="none"/>
    </w:rPr>
  </w:style>
  <w:style w:type="paragraph" w:customStyle="1" w:styleId="style4111">
    <w:name w:val="样式1"/>
    <w:basedOn w:val="style0"/>
    <w:next w:val="style4111"/>
    <w:qFormat/>
    <w:uiPriority w:val="0"/>
    <w:pPr>
      <w:spacing w:lineRule="exact" w:line="240"/>
    </w:pPr>
    <w:rPr>
      <w:rFonts w:ascii="宋体" w:eastAsia="宋体" w:hAnsi="宋体"/>
      <w:sz w:val="24"/>
      <w:szCs w:val="24"/>
    </w:rPr>
  </w:style>
  <w:style w:type="character" w:customStyle="1" w:styleId="style4112">
    <w:name w:val="标题 1 Char"/>
    <w:next w:val="style4112"/>
    <w:link w:val="style1"/>
    <w:qFormat/>
    <w:uiPriority w:val="0"/>
    <w:rPr>
      <w:rFonts w:ascii="宋体" w:eastAsia="黑体" w:hAnsi="Arial"/>
      <w:b/>
      <w:color w:val="000000"/>
      <w:kern w:val="44"/>
      <w:sz w:val="36"/>
    </w:rPr>
  </w:style>
  <w:style w:type="paragraph" w:customStyle="1" w:styleId="style4113">
    <w:name w:val="[Normal]"/>
    <w:next w:val="style4113"/>
    <w:qFormat/>
    <w:uiPriority w:val="0"/>
    <w:pPr>
      <w:widowControl w:val="false"/>
      <w:autoSpaceDE w:val="false"/>
      <w:autoSpaceDN w:val="false"/>
      <w:adjustRightInd w:val="false"/>
    </w:pPr>
    <w:rPr>
      <w:rFonts w:ascii="宋体" w:cs="宋体" w:eastAsia="宋体" w:hAnsi="Times New Roman"/>
      <w:sz w:val="24"/>
      <w:szCs w:val="24"/>
      <w:lang w:val="en-US" w:bidi="ar-SA" w:eastAsia="zh-CN"/>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1985</Words>
  <Pages>8</Pages>
  <Characters>2106</Characters>
  <Application>WPS Office</Application>
  <DocSecurity>0</DocSecurity>
  <Paragraphs>142</Paragraphs>
  <ScaleCrop>false</ScaleCrop>
  <Company>Microsoft</Company>
  <LinksUpToDate>false</LinksUpToDate>
  <CharactersWithSpaces>2272</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2021-02-26T02:23:00Z</dcterms:created>
  <dc:creator>Echo</dc:creator>
  <lastModifiedBy>PLG110</lastModifiedBy>
  <lastPrinted>2026-09-09T02:29:00Z</lastPrinted>
  <dcterms:modified xsi:type="dcterms:W3CDTF">2026-09-10T09:46:42Z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1b0af388506e4dbc9c679e08e602826c_23</vt:lpwstr>
  </property>
  <property fmtid="{D5CDD505-2E9C-101B-9397-08002B2CF9AE}" pid="4" name="KSOTemplateDocerSaveRecord">
    <vt:lpwstr>eyJoZGlkIjoiYzUwZDFhNTA3NTBkYjYwNzBmOWEzNGQxZTA1ZTZlYTEiLCJ1c2VySWQiOiI0MTkyNjk4ODkifQ==</vt:lpwstr>
  </property>
</Properties>
</file>