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96205E">
      <w:pPr>
        <w:jc w:val="center"/>
        <w:rPr>
          <w:rFonts w:hint="eastAsia" w:ascii="仿宋" w:hAnsi="仿宋" w:eastAsia="仿宋" w:cs="仿宋"/>
          <w:sz w:val="72"/>
          <w:lang w:val="en-US" w:eastAsia="zh-CN"/>
        </w:rPr>
      </w:pPr>
      <w:r>
        <w:rPr>
          <w:rFonts w:hint="eastAsia" w:ascii="仿宋" w:hAnsi="仿宋" w:eastAsia="仿宋" w:cs="仿宋"/>
          <w:sz w:val="72"/>
          <w:lang w:val="en-US" w:eastAsia="zh-CN"/>
        </w:rPr>
        <w:t xml:space="preserve"> </w:t>
      </w:r>
    </w:p>
    <w:p w14:paraId="386541DE">
      <w:pPr>
        <w:jc w:val="center"/>
        <w:rPr>
          <w:rFonts w:hint="eastAsia" w:ascii="仿宋" w:hAnsi="仿宋" w:eastAsia="仿宋" w:cs="仿宋"/>
          <w:sz w:val="72"/>
        </w:rPr>
      </w:pPr>
    </w:p>
    <w:p w14:paraId="3DEA6FF2">
      <w:pPr>
        <w:jc w:val="center"/>
        <w:outlineLvl w:val="0"/>
        <w:rPr>
          <w:rFonts w:hint="eastAsia" w:ascii="仿宋_GB2312" w:hAnsi="宋体" w:eastAsia="仿宋_GB2312"/>
          <w:b/>
          <w:sz w:val="52"/>
          <w:szCs w:val="52"/>
        </w:rPr>
      </w:pPr>
      <w:bookmarkStart w:id="0" w:name="_Toc16818"/>
      <w:r>
        <w:rPr>
          <w:rFonts w:hint="eastAsia" w:ascii="仿宋_GB2312" w:hAnsi="宋体" w:eastAsia="仿宋_GB2312"/>
          <w:b/>
          <w:sz w:val="52"/>
          <w:szCs w:val="52"/>
          <w:lang w:eastAsia="zh-CN"/>
        </w:rPr>
        <w:t>绍兴市再生能源发展有限公司</w:t>
      </w:r>
      <w:bookmarkEnd w:id="0"/>
    </w:p>
    <w:p w14:paraId="4EEA6687">
      <w:pPr>
        <w:pStyle w:val="11"/>
        <w:rPr>
          <w:highlight w:val="none"/>
        </w:rPr>
      </w:pPr>
    </w:p>
    <w:p w14:paraId="0FFC4035">
      <w:pPr>
        <w:jc w:val="center"/>
        <w:rPr>
          <w:rFonts w:hint="eastAsia" w:ascii="仿宋_GB2312" w:hAnsi="宋体" w:eastAsia="仿宋_GB2312"/>
          <w:b/>
          <w:sz w:val="52"/>
          <w:szCs w:val="52"/>
          <w:highlight w:val="none"/>
          <w:lang w:eastAsia="zh-CN"/>
        </w:rPr>
      </w:pPr>
      <w:r>
        <w:rPr>
          <w:rFonts w:hint="eastAsia" w:ascii="仿宋_GB2312" w:hAnsi="宋体" w:eastAsia="仿宋_GB2312"/>
          <w:b/>
          <w:sz w:val="52"/>
          <w:szCs w:val="52"/>
          <w:highlight w:val="none"/>
          <w:lang w:val="en-US" w:eastAsia="zh-CN"/>
        </w:rPr>
        <w:t>会议室影音设备整体改造项目</w:t>
      </w:r>
    </w:p>
    <w:p w14:paraId="659FFE53">
      <w:pPr>
        <w:jc w:val="center"/>
        <w:rPr>
          <w:rFonts w:hint="eastAsia" w:ascii="仿宋_GB2312" w:hAnsi="宋体" w:eastAsia="仿宋_GB2312"/>
          <w:b/>
          <w:sz w:val="52"/>
          <w:szCs w:val="52"/>
          <w:lang w:eastAsia="zh-CN"/>
        </w:rPr>
      </w:pPr>
      <w:r>
        <w:rPr>
          <w:rFonts w:hint="eastAsia" w:ascii="仿宋_GB2312" w:hAnsi="宋体" w:eastAsia="仿宋_GB2312"/>
          <w:b/>
          <w:sz w:val="52"/>
          <w:szCs w:val="52"/>
          <w:lang w:eastAsia="zh-CN"/>
        </w:rPr>
        <w:t>挂网</w:t>
      </w:r>
      <w:r>
        <w:rPr>
          <w:rFonts w:hint="eastAsia" w:ascii="仿宋_GB2312" w:hAnsi="宋体" w:eastAsia="仿宋_GB2312"/>
          <w:b/>
          <w:sz w:val="52"/>
          <w:szCs w:val="52"/>
        </w:rPr>
        <w:t>文件</w:t>
      </w:r>
    </w:p>
    <w:p w14:paraId="52FF4260">
      <w:pPr>
        <w:jc w:val="center"/>
        <w:rPr>
          <w:rFonts w:hint="eastAsia" w:ascii="仿宋" w:hAnsi="仿宋" w:eastAsia="仿宋" w:cs="仿宋"/>
          <w:b/>
          <w:sz w:val="48"/>
          <w:szCs w:val="48"/>
        </w:rPr>
      </w:pPr>
    </w:p>
    <w:p w14:paraId="133227F3">
      <w:pPr>
        <w:spacing w:line="360" w:lineRule="auto"/>
        <w:rPr>
          <w:rFonts w:hint="eastAsia" w:ascii="仿宋" w:hAnsi="仿宋" w:eastAsia="仿宋" w:cs="仿宋"/>
          <w:sz w:val="40"/>
          <w:szCs w:val="48"/>
        </w:rPr>
      </w:pPr>
    </w:p>
    <w:p w14:paraId="517E9780">
      <w:pPr>
        <w:spacing w:line="360" w:lineRule="auto"/>
        <w:rPr>
          <w:rFonts w:hint="eastAsia" w:ascii="仿宋" w:hAnsi="仿宋" w:eastAsia="仿宋" w:cs="仿宋"/>
          <w:sz w:val="40"/>
          <w:szCs w:val="48"/>
        </w:rPr>
      </w:pPr>
    </w:p>
    <w:p w14:paraId="1858A337">
      <w:pPr>
        <w:spacing w:line="360" w:lineRule="auto"/>
        <w:rPr>
          <w:rFonts w:hint="eastAsia" w:ascii="仿宋" w:hAnsi="仿宋" w:eastAsia="仿宋" w:cs="仿宋"/>
          <w:sz w:val="40"/>
          <w:szCs w:val="48"/>
        </w:rPr>
      </w:pPr>
    </w:p>
    <w:p w14:paraId="6CE4C974">
      <w:pPr>
        <w:spacing w:line="360" w:lineRule="auto"/>
        <w:jc w:val="center"/>
        <w:rPr>
          <w:rFonts w:hint="eastAsia" w:ascii="仿宋" w:hAnsi="仿宋" w:eastAsia="仿宋" w:cs="仿宋"/>
          <w:sz w:val="32"/>
          <w:szCs w:val="32"/>
          <w:u w:val="single"/>
          <w:lang w:val="en-US" w:eastAsia="zh-CN"/>
        </w:rPr>
      </w:pPr>
      <w:r>
        <w:rPr>
          <w:rFonts w:hint="eastAsia" w:ascii="仿宋" w:hAnsi="仿宋" w:eastAsia="仿宋" w:cs="仿宋"/>
          <w:sz w:val="32"/>
          <w:szCs w:val="32"/>
        </w:rPr>
        <w:t>采购编</w:t>
      </w:r>
      <w:r>
        <w:rPr>
          <w:rFonts w:hint="eastAsia" w:ascii="仿宋" w:hAnsi="仿宋" w:eastAsia="仿宋" w:cs="仿宋"/>
          <w:sz w:val="32"/>
          <w:szCs w:val="32"/>
          <w:highlight w:val="none"/>
        </w:rPr>
        <w:t>号：</w:t>
      </w:r>
      <w:r>
        <w:rPr>
          <w:rFonts w:hint="eastAsia" w:ascii="仿宋" w:hAnsi="仿宋" w:eastAsia="仿宋" w:cs="仿宋"/>
          <w:sz w:val="32"/>
          <w:szCs w:val="32"/>
          <w:highlight w:val="none"/>
          <w:u w:val="single"/>
          <w:lang w:val="en-US" w:eastAsia="zh-CN"/>
        </w:rPr>
        <w:t xml:space="preserve"> </w:t>
      </w:r>
      <w:bookmarkStart w:id="1" w:name="OLE_LINK1"/>
      <w:r>
        <w:rPr>
          <w:rFonts w:hint="eastAsia" w:ascii="仿宋" w:hAnsi="仿宋" w:eastAsia="仿宋" w:cs="仿宋"/>
          <w:sz w:val="32"/>
          <w:szCs w:val="32"/>
          <w:highlight w:val="none"/>
          <w:u w:val="single"/>
          <w:lang w:val="en-US" w:eastAsia="zh-CN"/>
        </w:rPr>
        <w:t>SX-ZH-YY-</w:t>
      </w:r>
      <w:bookmarkEnd w:id="1"/>
      <w:r>
        <w:rPr>
          <w:rFonts w:hint="eastAsia" w:ascii="仿宋" w:hAnsi="仿宋" w:eastAsia="仿宋" w:cs="仿宋"/>
          <w:sz w:val="32"/>
          <w:szCs w:val="32"/>
          <w:highlight w:val="none"/>
          <w:u w:val="single"/>
          <w:lang w:val="en-US" w:eastAsia="zh-CN"/>
        </w:rPr>
        <w:t xml:space="preserve">2606007  </w:t>
      </w:r>
    </w:p>
    <w:p w14:paraId="69DC19A4">
      <w:pPr>
        <w:spacing w:line="360" w:lineRule="auto"/>
        <w:ind w:firstLine="80" w:firstLineChars="25"/>
        <w:jc w:val="center"/>
        <w:rPr>
          <w:rFonts w:hint="default" w:ascii="仿宋" w:hAnsi="仿宋" w:eastAsia="仿宋" w:cs="仿宋"/>
          <w:sz w:val="32"/>
          <w:szCs w:val="32"/>
          <w:u w:val="single"/>
          <w:lang w:val="en-US" w:eastAsia="zh-CN"/>
        </w:rPr>
      </w:pPr>
      <w:bookmarkStart w:id="2" w:name="OLE_LINK53"/>
      <w:bookmarkStart w:id="3" w:name="OLE_LINK52"/>
      <w:r>
        <w:rPr>
          <w:rFonts w:hint="eastAsia" w:ascii="仿宋" w:hAnsi="仿宋" w:eastAsia="仿宋" w:cs="仿宋"/>
          <w:sz w:val="32"/>
          <w:szCs w:val="32"/>
        </w:rPr>
        <w:t>项目名称：</w:t>
      </w:r>
      <w:bookmarkEnd w:id="2"/>
      <w:bookmarkEnd w:id="3"/>
      <w:r>
        <w:rPr>
          <w:rFonts w:hint="eastAsia" w:ascii="仿宋" w:hAnsi="仿宋" w:eastAsia="仿宋" w:cs="仿宋"/>
          <w:sz w:val="32"/>
          <w:szCs w:val="32"/>
          <w:u w:val="single"/>
          <w:lang w:val="en-US" w:eastAsia="zh-CN"/>
        </w:rPr>
        <w:t>会议室影音设备整体改造项目</w:t>
      </w:r>
    </w:p>
    <w:p w14:paraId="619BC30A">
      <w:pPr>
        <w:rPr>
          <w:rFonts w:hint="eastAsia" w:ascii="仿宋" w:hAnsi="仿宋" w:eastAsia="仿宋" w:cs="仿宋"/>
          <w:sz w:val="84"/>
        </w:rPr>
      </w:pPr>
    </w:p>
    <w:p w14:paraId="379DFA08">
      <w:pPr>
        <w:rPr>
          <w:rFonts w:hint="eastAsia" w:ascii="仿宋" w:hAnsi="仿宋" w:eastAsia="仿宋" w:cs="仿宋"/>
          <w:sz w:val="84"/>
        </w:rPr>
      </w:pPr>
    </w:p>
    <w:p w14:paraId="1100C9EB">
      <w:pPr>
        <w:rPr>
          <w:rFonts w:hint="eastAsia" w:ascii="仿宋" w:hAnsi="仿宋" w:eastAsia="仿宋" w:cs="仿宋"/>
          <w:sz w:val="84"/>
        </w:rPr>
      </w:pPr>
    </w:p>
    <w:p w14:paraId="5CEDDC98">
      <w:pPr>
        <w:snapToGrid w:val="0"/>
        <w:spacing w:line="480" w:lineRule="auto"/>
        <w:jc w:val="center"/>
        <w:rPr>
          <w:rFonts w:hint="eastAsia" w:ascii="仿宋" w:hAnsi="仿宋" w:eastAsia="仿宋" w:cs="仿宋"/>
          <w:sz w:val="32"/>
          <w:szCs w:val="32"/>
          <w:highlight w:val="none"/>
          <w:lang w:eastAsia="zh-CN"/>
        </w:rPr>
      </w:pPr>
      <w:r>
        <w:rPr>
          <w:rFonts w:hint="eastAsia" w:ascii="仿宋" w:hAnsi="仿宋" w:eastAsia="仿宋" w:cs="仿宋"/>
          <w:sz w:val="32"/>
          <w:szCs w:val="32"/>
          <w:lang w:eastAsia="zh-CN"/>
        </w:rPr>
        <w:t>绍兴市再生能</w:t>
      </w:r>
      <w:r>
        <w:rPr>
          <w:rFonts w:hint="eastAsia" w:ascii="仿宋" w:hAnsi="仿宋" w:eastAsia="仿宋" w:cs="仿宋"/>
          <w:sz w:val="32"/>
          <w:szCs w:val="32"/>
          <w:highlight w:val="none"/>
          <w:lang w:eastAsia="zh-CN"/>
        </w:rPr>
        <w:t>源发展有限公司</w:t>
      </w:r>
    </w:p>
    <w:p w14:paraId="04407B9F">
      <w:pPr>
        <w:spacing w:line="360" w:lineRule="auto"/>
        <w:jc w:val="center"/>
        <w:rPr>
          <w:rFonts w:hint="eastAsia" w:ascii="仿宋" w:hAnsi="仿宋" w:eastAsia="仿宋" w:cs="仿宋"/>
          <w:sz w:val="32"/>
          <w:szCs w:val="32"/>
        </w:rPr>
      </w:pPr>
      <w:r>
        <w:rPr>
          <w:rFonts w:hint="eastAsia" w:ascii="仿宋" w:hAnsi="仿宋" w:eastAsia="仿宋" w:cs="仿宋"/>
          <w:sz w:val="32"/>
          <w:szCs w:val="32"/>
          <w:highlight w:val="none"/>
          <w:lang w:eastAsia="zh-CN"/>
        </w:rPr>
        <w:t>二〇二六</w:t>
      </w:r>
      <w:r>
        <w:rPr>
          <w:rFonts w:hint="eastAsia" w:ascii="仿宋" w:hAnsi="仿宋" w:eastAsia="仿宋" w:cs="仿宋"/>
          <w:sz w:val="32"/>
          <w:szCs w:val="32"/>
          <w:highlight w:val="none"/>
        </w:rPr>
        <w:t>年</w:t>
      </w:r>
      <w:r>
        <w:rPr>
          <w:rFonts w:hint="eastAsia" w:ascii="仿宋" w:hAnsi="仿宋" w:eastAsia="仿宋" w:cs="仿宋"/>
          <w:sz w:val="32"/>
          <w:szCs w:val="32"/>
          <w:highlight w:val="none"/>
          <w:lang w:val="en-US" w:eastAsia="zh-CN"/>
        </w:rPr>
        <w:t>八</w:t>
      </w:r>
      <w:r>
        <w:rPr>
          <w:rFonts w:hint="eastAsia" w:ascii="仿宋" w:hAnsi="仿宋" w:eastAsia="仿宋" w:cs="仿宋"/>
          <w:sz w:val="32"/>
          <w:szCs w:val="32"/>
          <w:highlight w:val="none"/>
        </w:rPr>
        <w:t>月</w:t>
      </w:r>
      <w:r>
        <w:rPr>
          <w:rFonts w:hint="eastAsia" w:ascii="仿宋" w:hAnsi="仿宋" w:eastAsia="仿宋" w:cs="仿宋"/>
          <w:sz w:val="32"/>
          <w:szCs w:val="32"/>
        </w:rPr>
        <w:br w:type="page"/>
      </w:r>
      <w:r>
        <w:rPr>
          <w:rFonts w:hint="eastAsia" w:ascii="仿宋" w:hAnsi="仿宋" w:eastAsia="仿宋" w:cs="仿宋"/>
          <w:sz w:val="52"/>
          <w:szCs w:val="32"/>
        </w:rPr>
        <w:t>目录</w:t>
      </w:r>
    </w:p>
    <w:p w14:paraId="486168C0">
      <w:pPr>
        <w:pStyle w:val="9"/>
        <w:tabs>
          <w:tab w:val="right" w:leader="dot" w:pos="9072"/>
        </w:tabs>
        <w:rPr>
          <w:rFonts w:hint="eastAsia" w:ascii="仿宋" w:hAnsi="仿宋" w:eastAsia="仿宋" w:cs="仿宋"/>
          <w:b w:val="0"/>
          <w:bCs/>
          <w:sz w:val="32"/>
          <w:szCs w:val="32"/>
        </w:rPr>
      </w:pPr>
      <w:r>
        <w:rPr>
          <w:rFonts w:hint="eastAsia" w:ascii="仿宋" w:hAnsi="仿宋" w:eastAsia="仿宋" w:cs="仿宋"/>
          <w:b w:val="0"/>
          <w:bCs/>
          <w:sz w:val="52"/>
          <w:szCs w:val="28"/>
        </w:rPr>
        <w:fldChar w:fldCharType="begin"/>
      </w:r>
      <w:r>
        <w:rPr>
          <w:rFonts w:hint="eastAsia" w:ascii="仿宋" w:hAnsi="仿宋" w:eastAsia="仿宋" w:cs="仿宋"/>
          <w:b w:val="0"/>
          <w:bCs/>
          <w:sz w:val="52"/>
          <w:szCs w:val="28"/>
        </w:rPr>
        <w:instrText xml:space="preserve">TOC \o "1-1" \h \u </w:instrText>
      </w:r>
      <w:r>
        <w:rPr>
          <w:rFonts w:hint="eastAsia" w:ascii="仿宋" w:hAnsi="仿宋" w:eastAsia="仿宋" w:cs="仿宋"/>
          <w:b w:val="0"/>
          <w:bCs/>
          <w:sz w:val="52"/>
          <w:szCs w:val="28"/>
        </w:rPr>
        <w:fldChar w:fldCharType="separate"/>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_Toc16818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eastAsia="zh-CN"/>
        </w:rPr>
        <w:t>绍兴市再生能源发展有限公司</w:t>
      </w:r>
      <w:r>
        <w:rPr>
          <w:rFonts w:hint="default" w:ascii="Times New Roman" w:hAnsi="Times New Roman" w:eastAsia="仿宋" w:cs="Times New Roman"/>
          <w:b w:val="0"/>
          <w:bCs/>
          <w:sz w:val="32"/>
          <w:szCs w:val="32"/>
        </w:rPr>
        <w:tab/>
      </w:r>
      <w:r>
        <w:rPr>
          <w:rFonts w:hint="default" w:ascii="Times New Roman" w:hAnsi="Times New Roman" w:eastAsia="仿宋" w:cs="Times New Roman"/>
          <w:b w:val="0"/>
          <w:bCs/>
          <w:sz w:val="32"/>
          <w:szCs w:val="32"/>
        </w:rPr>
        <w:fldChar w:fldCharType="begin"/>
      </w:r>
      <w:r>
        <w:rPr>
          <w:rFonts w:hint="default" w:ascii="Times New Roman" w:hAnsi="Times New Roman" w:eastAsia="仿宋" w:cs="Times New Roman"/>
          <w:b w:val="0"/>
          <w:bCs/>
          <w:sz w:val="32"/>
          <w:szCs w:val="32"/>
        </w:rPr>
        <w:instrText xml:space="preserve"> PAGEREF _Toc16818 \h </w:instrText>
      </w:r>
      <w:r>
        <w:rPr>
          <w:rFonts w:hint="default" w:ascii="Times New Roman" w:hAnsi="Times New Roman" w:eastAsia="仿宋" w:cs="Times New Roman"/>
          <w:b w:val="0"/>
          <w:bCs/>
          <w:sz w:val="32"/>
          <w:szCs w:val="32"/>
        </w:rPr>
        <w:fldChar w:fldCharType="separate"/>
      </w:r>
      <w:r>
        <w:rPr>
          <w:rFonts w:hint="default" w:ascii="Times New Roman" w:hAnsi="Times New Roman" w:eastAsia="仿宋" w:cs="Times New Roman"/>
          <w:b w:val="0"/>
          <w:bCs/>
          <w:sz w:val="32"/>
          <w:szCs w:val="32"/>
        </w:rPr>
        <w:t>1</w:t>
      </w:r>
      <w:r>
        <w:rPr>
          <w:rFonts w:hint="default" w:ascii="Times New Roman" w:hAnsi="Times New Roman" w:eastAsia="仿宋" w:cs="Times New Roman"/>
          <w:b w:val="0"/>
          <w:bCs/>
          <w:sz w:val="32"/>
          <w:szCs w:val="32"/>
        </w:rPr>
        <w:fldChar w:fldCharType="end"/>
      </w:r>
      <w:r>
        <w:rPr>
          <w:rFonts w:hint="eastAsia" w:ascii="仿宋" w:hAnsi="仿宋" w:eastAsia="仿宋" w:cs="仿宋"/>
          <w:b w:val="0"/>
          <w:bCs/>
          <w:sz w:val="32"/>
          <w:szCs w:val="32"/>
        </w:rPr>
        <w:fldChar w:fldCharType="end"/>
      </w:r>
    </w:p>
    <w:p w14:paraId="492DC4BC">
      <w:pPr>
        <w:pStyle w:val="9"/>
        <w:tabs>
          <w:tab w:val="right" w:leader="dot" w:pos="9072"/>
        </w:tabs>
        <w:rPr>
          <w:rFonts w:hint="eastAsia" w:ascii="Times New Roman" w:hAnsi="Times New Roman" w:eastAsia="仿宋" w:cs="Times New Roman"/>
          <w:b w:val="0"/>
          <w:bCs/>
          <w:sz w:val="32"/>
          <w:szCs w:val="32"/>
        </w:rPr>
      </w:pP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HYPERLINK \l _Toc8303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lang w:val="en-US" w:eastAsia="zh-CN"/>
        </w:rPr>
        <w:t>第一部分   询价公告</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_Toc8303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3</w:t>
      </w:r>
      <w:r>
        <w:rPr>
          <w:rFonts w:hint="eastAsia" w:ascii="Times New Roman" w:hAnsi="Times New Roman" w:eastAsia="仿宋" w:cs="Times New Roman"/>
          <w:b w:val="0"/>
          <w:bCs/>
          <w:sz w:val="32"/>
          <w:szCs w:val="32"/>
        </w:rPr>
        <w:fldChar w:fldCharType="end"/>
      </w:r>
      <w:r>
        <w:rPr>
          <w:rFonts w:hint="eastAsia" w:ascii="Times New Roman" w:hAnsi="Times New Roman" w:eastAsia="仿宋" w:cs="Times New Roman"/>
          <w:b w:val="0"/>
          <w:bCs/>
          <w:sz w:val="32"/>
          <w:szCs w:val="32"/>
        </w:rPr>
        <w:fldChar w:fldCharType="end"/>
      </w:r>
    </w:p>
    <w:p w14:paraId="64210891">
      <w:pPr>
        <w:pStyle w:val="9"/>
        <w:tabs>
          <w:tab w:val="right" w:leader="dot" w:pos="9072"/>
        </w:tabs>
        <w:rPr>
          <w:rFonts w:hint="eastAsia" w:ascii="Times New Roman" w:hAnsi="Times New Roman" w:eastAsia="仿宋" w:cs="Times New Roman"/>
          <w:b w:val="0"/>
          <w:bCs/>
          <w:sz w:val="32"/>
          <w:szCs w:val="32"/>
        </w:rPr>
      </w:pP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HYPERLINK \l _Toc14760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lang w:val="en-US" w:eastAsia="zh-CN"/>
        </w:rPr>
        <w:t>第二部分   采购须知</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_Toc14760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10</w:t>
      </w:r>
      <w:r>
        <w:rPr>
          <w:rFonts w:hint="eastAsia" w:ascii="Times New Roman" w:hAnsi="Times New Roman" w:eastAsia="仿宋" w:cs="Times New Roman"/>
          <w:b w:val="0"/>
          <w:bCs/>
          <w:sz w:val="32"/>
          <w:szCs w:val="32"/>
        </w:rPr>
        <w:fldChar w:fldCharType="end"/>
      </w:r>
      <w:r>
        <w:rPr>
          <w:rFonts w:hint="eastAsia" w:ascii="Times New Roman" w:hAnsi="Times New Roman" w:eastAsia="仿宋" w:cs="Times New Roman"/>
          <w:b w:val="0"/>
          <w:bCs/>
          <w:sz w:val="32"/>
          <w:szCs w:val="32"/>
        </w:rPr>
        <w:fldChar w:fldCharType="end"/>
      </w:r>
    </w:p>
    <w:p w14:paraId="3D728F32">
      <w:pPr>
        <w:pStyle w:val="9"/>
        <w:tabs>
          <w:tab w:val="right" w:leader="dot" w:pos="9072"/>
        </w:tabs>
        <w:rPr>
          <w:rFonts w:hint="eastAsia" w:ascii="Times New Roman" w:hAnsi="Times New Roman" w:eastAsia="仿宋" w:cs="Times New Roman"/>
          <w:b w:val="0"/>
          <w:bCs/>
          <w:sz w:val="32"/>
          <w:szCs w:val="32"/>
        </w:rPr>
      </w:pP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HYPERLINK \l _Toc1501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第三部分   询价内容</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_Toc1501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15</w:t>
      </w:r>
      <w:r>
        <w:rPr>
          <w:rFonts w:hint="eastAsia" w:ascii="Times New Roman" w:hAnsi="Times New Roman" w:eastAsia="仿宋" w:cs="Times New Roman"/>
          <w:b w:val="0"/>
          <w:bCs/>
          <w:sz w:val="32"/>
          <w:szCs w:val="32"/>
        </w:rPr>
        <w:fldChar w:fldCharType="end"/>
      </w:r>
      <w:r>
        <w:rPr>
          <w:rFonts w:hint="eastAsia" w:ascii="Times New Roman" w:hAnsi="Times New Roman" w:eastAsia="仿宋" w:cs="Times New Roman"/>
          <w:b w:val="0"/>
          <w:bCs/>
          <w:sz w:val="32"/>
          <w:szCs w:val="32"/>
        </w:rPr>
        <w:fldChar w:fldCharType="end"/>
      </w:r>
    </w:p>
    <w:p w14:paraId="214848B5">
      <w:pPr>
        <w:pStyle w:val="9"/>
        <w:tabs>
          <w:tab w:val="right" w:leader="dot" w:pos="9072"/>
        </w:tabs>
        <w:rPr>
          <w:rFonts w:hint="eastAsia" w:ascii="Times New Roman" w:hAnsi="Times New Roman" w:eastAsia="仿宋" w:cs="Times New Roman"/>
          <w:b w:val="0"/>
          <w:bCs/>
          <w:sz w:val="32"/>
          <w:szCs w:val="32"/>
        </w:rPr>
      </w:pP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HYPERLINK \l _Toc28946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lang w:val="en-US" w:eastAsia="zh-CN"/>
        </w:rPr>
        <w:t xml:space="preserve">第四部分 </w:t>
      </w:r>
      <w:r>
        <w:rPr>
          <w:rFonts w:hint="eastAsia" w:eastAsia="仿宋" w:cs="Times New Roman"/>
          <w:b w:val="0"/>
          <w:bCs/>
          <w:sz w:val="32"/>
          <w:szCs w:val="32"/>
          <w:lang w:val="en-US" w:eastAsia="zh-CN"/>
        </w:rPr>
        <w:t xml:space="preserve">  </w:t>
      </w:r>
      <w:r>
        <w:rPr>
          <w:rFonts w:hint="eastAsia" w:ascii="Times New Roman" w:hAnsi="Times New Roman" w:eastAsia="仿宋" w:cs="Times New Roman"/>
          <w:b w:val="0"/>
          <w:bCs/>
          <w:sz w:val="32"/>
          <w:szCs w:val="32"/>
          <w:lang w:val="en-US" w:eastAsia="zh-CN"/>
        </w:rPr>
        <w:t>合同主要条款</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_Toc28946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17</w:t>
      </w:r>
      <w:r>
        <w:rPr>
          <w:rFonts w:hint="eastAsia" w:ascii="Times New Roman" w:hAnsi="Times New Roman" w:eastAsia="仿宋" w:cs="Times New Roman"/>
          <w:b w:val="0"/>
          <w:bCs/>
          <w:sz w:val="32"/>
          <w:szCs w:val="32"/>
        </w:rPr>
        <w:fldChar w:fldCharType="end"/>
      </w:r>
      <w:r>
        <w:rPr>
          <w:rFonts w:hint="eastAsia" w:ascii="Times New Roman" w:hAnsi="Times New Roman" w:eastAsia="仿宋" w:cs="Times New Roman"/>
          <w:b w:val="0"/>
          <w:bCs/>
          <w:sz w:val="32"/>
          <w:szCs w:val="32"/>
        </w:rPr>
        <w:fldChar w:fldCharType="end"/>
      </w:r>
    </w:p>
    <w:p w14:paraId="772432F2">
      <w:pPr>
        <w:pStyle w:val="9"/>
        <w:tabs>
          <w:tab w:val="right" w:leader="dot" w:pos="9072"/>
        </w:tabs>
        <w:rPr>
          <w:rFonts w:hint="eastAsia" w:ascii="Times New Roman" w:hAnsi="Times New Roman" w:eastAsia="仿宋" w:cs="Times New Roman"/>
          <w:b w:val="0"/>
          <w:bCs/>
          <w:sz w:val="32"/>
          <w:szCs w:val="32"/>
        </w:rPr>
      </w:pP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HYPERLINK \l _Toc14763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lang w:val="en-US" w:eastAsia="zh-CN"/>
        </w:rPr>
        <w:t>附件：</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_Toc14763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22</w:t>
      </w:r>
      <w:r>
        <w:rPr>
          <w:rFonts w:hint="eastAsia" w:ascii="Times New Roman" w:hAnsi="Times New Roman" w:eastAsia="仿宋" w:cs="Times New Roman"/>
          <w:b w:val="0"/>
          <w:bCs/>
          <w:sz w:val="32"/>
          <w:szCs w:val="32"/>
        </w:rPr>
        <w:fldChar w:fldCharType="end"/>
      </w:r>
      <w:r>
        <w:rPr>
          <w:rFonts w:hint="eastAsia" w:ascii="Times New Roman" w:hAnsi="Times New Roman" w:eastAsia="仿宋" w:cs="Times New Roman"/>
          <w:b w:val="0"/>
          <w:bCs/>
          <w:sz w:val="32"/>
          <w:szCs w:val="32"/>
        </w:rPr>
        <w:fldChar w:fldCharType="end"/>
      </w:r>
    </w:p>
    <w:p w14:paraId="084840C8">
      <w:pPr>
        <w:pStyle w:val="9"/>
        <w:tabs>
          <w:tab w:val="right" w:leader="dot" w:pos="9072"/>
        </w:tabs>
        <w:rPr>
          <w:rFonts w:hint="eastAsia" w:ascii="Times New Roman" w:hAnsi="Times New Roman" w:eastAsia="仿宋" w:cs="Times New Roman"/>
          <w:b w:val="0"/>
          <w:bCs/>
          <w:sz w:val="32"/>
          <w:szCs w:val="32"/>
        </w:rPr>
      </w:pP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HYPERLINK \l _Toc5159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第</w:t>
      </w:r>
      <w:r>
        <w:rPr>
          <w:rFonts w:hint="eastAsia" w:ascii="Times New Roman" w:hAnsi="Times New Roman" w:eastAsia="仿宋" w:cs="Times New Roman"/>
          <w:b w:val="0"/>
          <w:bCs/>
          <w:sz w:val="32"/>
          <w:szCs w:val="32"/>
          <w:lang w:eastAsia="zh-CN"/>
        </w:rPr>
        <w:t>五</w:t>
      </w:r>
      <w:r>
        <w:rPr>
          <w:rFonts w:hint="eastAsia" w:ascii="Times New Roman" w:hAnsi="Times New Roman" w:eastAsia="仿宋" w:cs="Times New Roman"/>
          <w:b w:val="0"/>
          <w:bCs/>
          <w:sz w:val="32"/>
          <w:szCs w:val="32"/>
        </w:rPr>
        <w:t>部分   报价文件格式</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_Toc5159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25</w:t>
      </w:r>
      <w:r>
        <w:rPr>
          <w:rFonts w:hint="eastAsia" w:ascii="Times New Roman" w:hAnsi="Times New Roman" w:eastAsia="仿宋" w:cs="Times New Roman"/>
          <w:b w:val="0"/>
          <w:bCs/>
          <w:sz w:val="32"/>
          <w:szCs w:val="32"/>
        </w:rPr>
        <w:fldChar w:fldCharType="end"/>
      </w:r>
      <w:r>
        <w:rPr>
          <w:rFonts w:hint="eastAsia" w:ascii="Times New Roman" w:hAnsi="Times New Roman" w:eastAsia="仿宋" w:cs="Times New Roman"/>
          <w:b w:val="0"/>
          <w:bCs/>
          <w:sz w:val="32"/>
          <w:szCs w:val="32"/>
        </w:rPr>
        <w:fldChar w:fldCharType="end"/>
      </w:r>
    </w:p>
    <w:p w14:paraId="18295AB1">
      <w:pPr>
        <w:pStyle w:val="9"/>
        <w:tabs>
          <w:tab w:val="right" w:leader="dot" w:pos="9072"/>
        </w:tabs>
        <w:rPr>
          <w:rFonts w:hint="eastAsia" w:ascii="Times New Roman" w:hAnsi="Times New Roman" w:eastAsia="仿宋" w:cs="Times New Roman"/>
          <w:b w:val="0"/>
          <w:bCs/>
          <w:sz w:val="32"/>
          <w:szCs w:val="32"/>
        </w:rPr>
      </w:pP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HYPERLINK \l _Toc12044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附件一：</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_Toc12044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26</w:t>
      </w:r>
      <w:r>
        <w:rPr>
          <w:rFonts w:hint="eastAsia" w:ascii="Times New Roman" w:hAnsi="Times New Roman" w:eastAsia="仿宋" w:cs="Times New Roman"/>
          <w:b w:val="0"/>
          <w:bCs/>
          <w:sz w:val="32"/>
          <w:szCs w:val="32"/>
        </w:rPr>
        <w:fldChar w:fldCharType="end"/>
      </w:r>
      <w:r>
        <w:rPr>
          <w:rFonts w:hint="eastAsia" w:ascii="Times New Roman" w:hAnsi="Times New Roman" w:eastAsia="仿宋" w:cs="Times New Roman"/>
          <w:b w:val="0"/>
          <w:bCs/>
          <w:sz w:val="32"/>
          <w:szCs w:val="32"/>
        </w:rPr>
        <w:fldChar w:fldCharType="end"/>
      </w:r>
    </w:p>
    <w:p w14:paraId="6D6DE66D">
      <w:pPr>
        <w:pStyle w:val="9"/>
        <w:tabs>
          <w:tab w:val="right" w:leader="dot" w:pos="9072"/>
        </w:tabs>
        <w:rPr>
          <w:rFonts w:hint="eastAsia" w:ascii="Times New Roman" w:hAnsi="Times New Roman" w:eastAsia="仿宋" w:cs="Times New Roman"/>
          <w:b w:val="0"/>
          <w:bCs/>
          <w:sz w:val="32"/>
          <w:szCs w:val="32"/>
        </w:rPr>
      </w:pP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HYPERLINK \l _Toc18885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附件</w:t>
      </w:r>
      <w:r>
        <w:rPr>
          <w:rFonts w:hint="eastAsia" w:ascii="Times New Roman" w:hAnsi="Times New Roman" w:eastAsia="仿宋" w:cs="Times New Roman"/>
          <w:b w:val="0"/>
          <w:bCs/>
          <w:sz w:val="32"/>
          <w:szCs w:val="32"/>
          <w:lang w:val="en-US"/>
        </w:rPr>
        <w:t>二</w:t>
      </w:r>
      <w:r>
        <w:rPr>
          <w:rFonts w:hint="eastAsia" w:ascii="Times New Roman" w:hAnsi="Times New Roman" w:eastAsia="仿宋" w:cs="Times New Roman"/>
          <w:b w:val="0"/>
          <w:bCs/>
          <w:sz w:val="32"/>
          <w:szCs w:val="32"/>
        </w:rPr>
        <w:t>：</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_Toc18885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30</w:t>
      </w:r>
      <w:r>
        <w:rPr>
          <w:rFonts w:hint="eastAsia" w:ascii="Times New Roman" w:hAnsi="Times New Roman" w:eastAsia="仿宋" w:cs="Times New Roman"/>
          <w:b w:val="0"/>
          <w:bCs/>
          <w:sz w:val="32"/>
          <w:szCs w:val="32"/>
        </w:rPr>
        <w:fldChar w:fldCharType="end"/>
      </w:r>
      <w:r>
        <w:rPr>
          <w:rFonts w:hint="eastAsia" w:ascii="Times New Roman" w:hAnsi="Times New Roman" w:eastAsia="仿宋" w:cs="Times New Roman"/>
          <w:b w:val="0"/>
          <w:bCs/>
          <w:sz w:val="32"/>
          <w:szCs w:val="32"/>
        </w:rPr>
        <w:fldChar w:fldCharType="end"/>
      </w:r>
    </w:p>
    <w:p w14:paraId="266B6277">
      <w:pPr>
        <w:pStyle w:val="9"/>
        <w:tabs>
          <w:tab w:val="right" w:leader="dot" w:pos="9072"/>
        </w:tabs>
        <w:rPr>
          <w:rFonts w:hint="eastAsia" w:ascii="Times New Roman" w:hAnsi="Times New Roman" w:eastAsia="仿宋" w:cs="Times New Roman"/>
          <w:b w:val="0"/>
          <w:bCs/>
          <w:sz w:val="32"/>
          <w:szCs w:val="32"/>
        </w:rPr>
      </w:pP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HYPERLINK \l _Toc14352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附件</w:t>
      </w:r>
      <w:r>
        <w:rPr>
          <w:rFonts w:hint="eastAsia" w:ascii="Times New Roman" w:hAnsi="Times New Roman" w:eastAsia="仿宋" w:cs="Times New Roman"/>
          <w:b w:val="0"/>
          <w:bCs/>
          <w:sz w:val="32"/>
          <w:szCs w:val="32"/>
          <w:lang w:val="en-US"/>
        </w:rPr>
        <w:t>三</w:t>
      </w:r>
      <w:r>
        <w:rPr>
          <w:rFonts w:hint="eastAsia" w:ascii="Times New Roman" w:hAnsi="Times New Roman" w:eastAsia="仿宋" w:cs="Times New Roman"/>
          <w:b w:val="0"/>
          <w:bCs/>
          <w:sz w:val="32"/>
          <w:szCs w:val="32"/>
        </w:rPr>
        <w:t>：</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_Toc14352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35</w:t>
      </w:r>
      <w:r>
        <w:rPr>
          <w:rFonts w:hint="eastAsia" w:ascii="Times New Roman" w:hAnsi="Times New Roman" w:eastAsia="仿宋" w:cs="Times New Roman"/>
          <w:b w:val="0"/>
          <w:bCs/>
          <w:sz w:val="32"/>
          <w:szCs w:val="32"/>
        </w:rPr>
        <w:fldChar w:fldCharType="end"/>
      </w:r>
      <w:r>
        <w:rPr>
          <w:rFonts w:hint="eastAsia" w:ascii="Times New Roman" w:hAnsi="Times New Roman" w:eastAsia="仿宋" w:cs="Times New Roman"/>
          <w:b w:val="0"/>
          <w:bCs/>
          <w:sz w:val="32"/>
          <w:szCs w:val="32"/>
        </w:rPr>
        <w:fldChar w:fldCharType="end"/>
      </w:r>
    </w:p>
    <w:p w14:paraId="1D38388A">
      <w:pPr>
        <w:pStyle w:val="9"/>
        <w:tabs>
          <w:tab w:val="right" w:leader="dot" w:pos="9072"/>
        </w:tabs>
        <w:rPr>
          <w:rFonts w:hint="default" w:ascii="Times New Roman" w:hAnsi="Times New Roman" w:eastAsia="仿宋" w:cs="Times New Roman"/>
          <w:b w:val="0"/>
          <w:bCs/>
          <w:sz w:val="32"/>
          <w:szCs w:val="32"/>
        </w:rPr>
      </w:pP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HYPERLINK \l _Toc28603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附件</w:t>
      </w:r>
      <w:r>
        <w:rPr>
          <w:rFonts w:hint="eastAsia" w:ascii="Times New Roman" w:hAnsi="Times New Roman" w:eastAsia="仿宋" w:cs="Times New Roman"/>
          <w:b w:val="0"/>
          <w:bCs/>
          <w:sz w:val="32"/>
          <w:szCs w:val="32"/>
          <w:lang w:val="en-US"/>
        </w:rPr>
        <w:t>四</w:t>
      </w:r>
      <w:r>
        <w:rPr>
          <w:rFonts w:hint="eastAsia" w:ascii="Times New Roman" w:hAnsi="Times New Roman" w:eastAsia="仿宋" w:cs="Times New Roman"/>
          <w:b w:val="0"/>
          <w:bCs/>
          <w:sz w:val="32"/>
          <w:szCs w:val="32"/>
        </w:rPr>
        <w:t>：</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_Toc28603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40</w:t>
      </w:r>
      <w:r>
        <w:rPr>
          <w:rFonts w:hint="eastAsia" w:ascii="Times New Roman" w:hAnsi="Times New Roman" w:eastAsia="仿宋" w:cs="Times New Roman"/>
          <w:b w:val="0"/>
          <w:bCs/>
          <w:sz w:val="32"/>
          <w:szCs w:val="32"/>
        </w:rPr>
        <w:fldChar w:fldCharType="end"/>
      </w:r>
      <w:r>
        <w:rPr>
          <w:rFonts w:hint="eastAsia" w:ascii="Times New Roman" w:hAnsi="Times New Roman" w:eastAsia="仿宋" w:cs="Times New Roman"/>
          <w:b w:val="0"/>
          <w:bCs/>
          <w:sz w:val="32"/>
          <w:szCs w:val="32"/>
        </w:rPr>
        <w:fldChar w:fldCharType="end"/>
      </w:r>
    </w:p>
    <w:p w14:paraId="49419028">
      <w:pPr>
        <w:rPr>
          <w:rFonts w:hint="eastAsia" w:ascii="仿宋" w:hAnsi="仿宋" w:eastAsia="仿宋" w:cs="仿宋"/>
          <w:sz w:val="56"/>
          <w:szCs w:val="32"/>
        </w:rPr>
      </w:pPr>
      <w:r>
        <w:rPr>
          <w:rFonts w:hint="eastAsia" w:ascii="仿宋" w:hAnsi="仿宋" w:eastAsia="仿宋" w:cs="仿宋"/>
          <w:bCs/>
          <w:szCs w:val="28"/>
        </w:rPr>
        <w:fldChar w:fldCharType="end"/>
      </w:r>
    </w:p>
    <w:p w14:paraId="0555C8B2">
      <w:pPr>
        <w:rPr>
          <w:rFonts w:hint="eastAsia" w:ascii="仿宋" w:hAnsi="仿宋" w:eastAsia="仿宋" w:cs="仿宋"/>
          <w:sz w:val="36"/>
        </w:rPr>
      </w:pPr>
    </w:p>
    <w:p w14:paraId="6921F477">
      <w:pPr>
        <w:snapToGrid w:val="0"/>
        <w:jc w:val="center"/>
        <w:outlineLvl w:val="0"/>
        <w:rPr>
          <w:rFonts w:hint="eastAsia" w:ascii="仿宋" w:hAnsi="仿宋" w:eastAsia="仿宋" w:cs="仿宋"/>
          <w:snapToGrid w:val="0"/>
          <w:sz w:val="30"/>
          <w:szCs w:val="30"/>
        </w:rPr>
      </w:pPr>
      <w:r>
        <w:rPr>
          <w:rFonts w:hint="eastAsia" w:ascii="仿宋" w:hAnsi="仿宋" w:eastAsia="仿宋" w:cs="仿宋"/>
          <w:sz w:val="32"/>
          <w:szCs w:val="32"/>
        </w:rPr>
        <w:br w:type="page"/>
      </w:r>
      <w:bookmarkStart w:id="4" w:name="_Toc530583921"/>
      <w:bookmarkStart w:id="5" w:name="_Toc8303"/>
      <w:bookmarkStart w:id="6" w:name="_Toc530583878"/>
      <w:r>
        <w:rPr>
          <w:rFonts w:hint="eastAsia" w:ascii="仿宋" w:hAnsi="仿宋" w:eastAsia="仿宋" w:cs="仿宋"/>
          <w:b/>
          <w:snapToGrid w:val="0"/>
          <w:color w:val="000000"/>
          <w:kern w:val="44"/>
          <w:sz w:val="44"/>
          <w:szCs w:val="44"/>
          <w:lang w:val="en-US" w:eastAsia="zh-CN" w:bidi="ar-SA"/>
        </w:rPr>
        <w:t>第一部分   询价公告</w:t>
      </w:r>
      <w:bookmarkEnd w:id="4"/>
      <w:bookmarkEnd w:id="5"/>
      <w:bookmarkEnd w:id="6"/>
    </w:p>
    <w:p w14:paraId="6E66C16C">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lang w:eastAsia="zh-CN"/>
        </w:rPr>
        <w:t>绍兴市再生能源发展有限公司</w:t>
      </w:r>
      <w:r>
        <w:rPr>
          <w:rFonts w:hint="eastAsia" w:ascii="仿宋" w:hAnsi="仿宋" w:eastAsia="仿宋" w:cs="仿宋"/>
          <w:sz w:val="30"/>
          <w:szCs w:val="30"/>
        </w:rPr>
        <w:t>因日常生产需要，需</w:t>
      </w:r>
      <w:r>
        <w:rPr>
          <w:rFonts w:hint="eastAsia" w:ascii="仿宋" w:hAnsi="仿宋" w:eastAsia="仿宋" w:cs="仿宋"/>
          <w:sz w:val="30"/>
          <w:szCs w:val="30"/>
          <w:lang w:eastAsia="zh-CN"/>
        </w:rPr>
        <w:t>对</w:t>
      </w:r>
      <w:r>
        <w:rPr>
          <w:rFonts w:hint="eastAsia" w:ascii="仿宋" w:hAnsi="仿宋" w:eastAsia="仿宋" w:cs="仿宋"/>
          <w:sz w:val="30"/>
          <w:szCs w:val="30"/>
          <w:lang w:val="en-US" w:eastAsia="zh-CN"/>
        </w:rPr>
        <w:t>会议室影音设备整体改造项目</w:t>
      </w:r>
      <w:r>
        <w:rPr>
          <w:rFonts w:hint="eastAsia" w:ascii="仿宋" w:hAnsi="仿宋" w:eastAsia="仿宋" w:cs="仿宋"/>
          <w:sz w:val="30"/>
          <w:szCs w:val="30"/>
          <w:lang w:eastAsia="zh-CN"/>
        </w:rPr>
        <w:t>进行招标</w:t>
      </w:r>
      <w:r>
        <w:rPr>
          <w:rFonts w:hint="eastAsia" w:ascii="仿宋" w:hAnsi="仿宋" w:eastAsia="仿宋" w:cs="仿宋"/>
          <w:sz w:val="30"/>
          <w:szCs w:val="30"/>
        </w:rPr>
        <w:t>，欢迎符合要求的</w:t>
      </w:r>
      <w:r>
        <w:rPr>
          <w:rFonts w:hint="eastAsia" w:ascii="仿宋" w:hAnsi="仿宋" w:eastAsia="仿宋" w:cs="仿宋"/>
          <w:sz w:val="30"/>
          <w:szCs w:val="30"/>
          <w:lang w:val="en-US" w:eastAsia="zh-CN"/>
        </w:rPr>
        <w:t>供应商</w:t>
      </w:r>
      <w:r>
        <w:rPr>
          <w:rFonts w:hint="eastAsia" w:ascii="仿宋" w:hAnsi="仿宋" w:eastAsia="仿宋" w:cs="仿宋"/>
          <w:sz w:val="30"/>
          <w:szCs w:val="30"/>
          <w:lang w:eastAsia="zh-CN"/>
        </w:rPr>
        <w:t>（以下简称“报价人”）</w:t>
      </w:r>
      <w:r>
        <w:rPr>
          <w:rFonts w:hint="eastAsia" w:ascii="仿宋" w:hAnsi="仿宋" w:eastAsia="仿宋" w:cs="仿宋"/>
          <w:sz w:val="30"/>
          <w:szCs w:val="30"/>
        </w:rPr>
        <w:t>积极参与。</w:t>
      </w:r>
    </w:p>
    <w:p w14:paraId="383256B3">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b/>
          <w:bCs/>
          <w:sz w:val="30"/>
          <w:szCs w:val="30"/>
          <w:lang w:eastAsia="zh-CN"/>
        </w:rPr>
      </w:pPr>
      <w:r>
        <w:rPr>
          <w:rFonts w:hint="eastAsia" w:ascii="仿宋_GB2312" w:eastAsia="仿宋_GB2312"/>
          <w:b/>
          <w:bCs/>
          <w:sz w:val="30"/>
          <w:szCs w:val="30"/>
          <w:lang w:eastAsia="zh-CN"/>
        </w:rPr>
        <w:t>一、采购内容及相关说明。</w:t>
      </w:r>
    </w:p>
    <w:p w14:paraId="6A7A1A7D">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rPr>
        <w:t>1.项目编号：</w:t>
      </w:r>
      <w:r>
        <w:rPr>
          <w:rFonts w:hint="eastAsia" w:ascii="仿宋" w:hAnsi="仿宋" w:eastAsia="仿宋" w:cs="仿宋"/>
          <w:sz w:val="30"/>
          <w:szCs w:val="30"/>
          <w:lang w:val="en-US" w:eastAsia="zh-CN"/>
        </w:rPr>
        <w:t xml:space="preserve">SX-ZH-YY-2606007  </w:t>
      </w:r>
    </w:p>
    <w:p w14:paraId="571EEE08">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2.内容：</w:t>
      </w:r>
    </w:p>
    <w:tbl>
      <w:tblPr>
        <w:tblStyle w:val="13"/>
        <w:tblW w:w="5349" w:type="pct"/>
        <w:jc w:val="center"/>
        <w:tblLayout w:type="fixed"/>
        <w:tblCellMar>
          <w:top w:w="0" w:type="dxa"/>
          <w:left w:w="108" w:type="dxa"/>
          <w:bottom w:w="0" w:type="dxa"/>
          <w:right w:w="108" w:type="dxa"/>
        </w:tblCellMar>
      </w:tblPr>
      <w:tblGrid>
        <w:gridCol w:w="668"/>
        <w:gridCol w:w="1636"/>
        <w:gridCol w:w="4679"/>
        <w:gridCol w:w="546"/>
        <w:gridCol w:w="927"/>
        <w:gridCol w:w="1481"/>
      </w:tblGrid>
      <w:tr w14:paraId="0562B3A3">
        <w:tblPrEx>
          <w:tblCellMar>
            <w:top w:w="0" w:type="dxa"/>
            <w:left w:w="108" w:type="dxa"/>
            <w:bottom w:w="0" w:type="dxa"/>
            <w:right w:w="108" w:type="dxa"/>
          </w:tblCellMar>
        </w:tblPrEx>
        <w:trPr>
          <w:trHeight w:val="467" w:hRule="atLeast"/>
          <w:jc w:val="center"/>
        </w:trPr>
        <w:tc>
          <w:tcPr>
            <w:tcW w:w="336" w:type="pct"/>
            <w:tcBorders>
              <w:top w:val="single" w:color="000000" w:sz="4" w:space="0"/>
              <w:left w:val="single" w:color="000000" w:sz="4" w:space="0"/>
              <w:bottom w:val="single" w:color="000000" w:sz="4" w:space="0"/>
              <w:right w:val="single" w:color="000000" w:sz="4" w:space="0"/>
            </w:tcBorders>
            <w:noWrap/>
            <w:vAlign w:val="center"/>
          </w:tcPr>
          <w:p w14:paraId="02E2C65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序号</w:t>
            </w:r>
          </w:p>
        </w:tc>
        <w:tc>
          <w:tcPr>
            <w:tcW w:w="823" w:type="pct"/>
            <w:tcBorders>
              <w:top w:val="single" w:color="000000" w:sz="4" w:space="0"/>
              <w:left w:val="single" w:color="000000" w:sz="4" w:space="0"/>
              <w:bottom w:val="single" w:color="000000" w:sz="4" w:space="0"/>
              <w:right w:val="single" w:color="000000" w:sz="4" w:space="0"/>
            </w:tcBorders>
            <w:noWrap/>
            <w:vAlign w:val="center"/>
          </w:tcPr>
          <w:p w14:paraId="5684E08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设备名称</w:t>
            </w:r>
          </w:p>
        </w:tc>
        <w:tc>
          <w:tcPr>
            <w:tcW w:w="2354" w:type="pct"/>
            <w:tcBorders>
              <w:top w:val="single" w:color="000000" w:sz="4" w:space="0"/>
              <w:left w:val="single" w:color="000000" w:sz="4" w:space="0"/>
              <w:bottom w:val="single" w:color="000000" w:sz="4" w:space="0"/>
              <w:right w:val="single" w:color="000000" w:sz="4" w:space="0"/>
            </w:tcBorders>
            <w:noWrap/>
            <w:vAlign w:val="center"/>
          </w:tcPr>
          <w:p w14:paraId="155886A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详细技术参数</w:t>
            </w:r>
          </w:p>
        </w:tc>
        <w:tc>
          <w:tcPr>
            <w:tcW w:w="274" w:type="pct"/>
            <w:tcBorders>
              <w:top w:val="single" w:color="000000" w:sz="4" w:space="0"/>
              <w:left w:val="single" w:color="000000" w:sz="4" w:space="0"/>
              <w:bottom w:val="single" w:color="000000" w:sz="4" w:space="0"/>
              <w:right w:val="single" w:color="000000" w:sz="4" w:space="0"/>
            </w:tcBorders>
            <w:noWrap/>
            <w:vAlign w:val="center"/>
          </w:tcPr>
          <w:p w14:paraId="3C8B27E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数量</w:t>
            </w:r>
          </w:p>
        </w:tc>
        <w:tc>
          <w:tcPr>
            <w:tcW w:w="466" w:type="pct"/>
            <w:tcBorders>
              <w:top w:val="single" w:color="000000" w:sz="4" w:space="0"/>
              <w:left w:val="single" w:color="000000" w:sz="4" w:space="0"/>
              <w:bottom w:val="single" w:color="000000" w:sz="4" w:space="0"/>
              <w:right w:val="single" w:color="000000" w:sz="4" w:space="0"/>
            </w:tcBorders>
            <w:noWrap/>
            <w:vAlign w:val="center"/>
          </w:tcPr>
          <w:p w14:paraId="5596331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单位</w:t>
            </w:r>
          </w:p>
        </w:tc>
        <w:tc>
          <w:tcPr>
            <w:tcW w:w="745" w:type="pct"/>
            <w:tcBorders>
              <w:top w:val="single" w:color="000000" w:sz="4" w:space="0"/>
              <w:left w:val="single" w:color="000000" w:sz="4" w:space="0"/>
              <w:bottom w:val="single" w:color="000000" w:sz="4" w:space="0"/>
              <w:right w:val="single" w:color="000000" w:sz="4" w:space="0"/>
            </w:tcBorders>
            <w:noWrap/>
            <w:vAlign w:val="center"/>
          </w:tcPr>
          <w:p w14:paraId="36F68A2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品牌</w:t>
            </w:r>
          </w:p>
        </w:tc>
      </w:tr>
      <w:tr w14:paraId="6A0F3E5F">
        <w:tblPrEx>
          <w:tblCellMar>
            <w:top w:w="0" w:type="dxa"/>
            <w:left w:w="108" w:type="dxa"/>
            <w:bottom w:w="0" w:type="dxa"/>
            <w:right w:w="108" w:type="dxa"/>
          </w:tblCellMar>
        </w:tblPrEx>
        <w:trPr>
          <w:trHeight w:val="529" w:hRule="atLeast"/>
          <w:jc w:val="center"/>
        </w:trPr>
        <w:tc>
          <w:tcPr>
            <w:tcW w:w="5000" w:type="pct"/>
            <w:gridSpan w:val="6"/>
            <w:tcBorders>
              <w:top w:val="single" w:color="000000" w:sz="4" w:space="0"/>
              <w:left w:val="single" w:color="000000" w:sz="4" w:space="0"/>
              <w:bottom w:val="single" w:color="000000" w:sz="4" w:space="0"/>
              <w:right w:val="single" w:color="000000" w:sz="4" w:space="0"/>
            </w:tcBorders>
            <w:noWrap/>
            <w:vAlign w:val="center"/>
          </w:tcPr>
          <w:p w14:paraId="0E3691A7">
            <w:pPr>
              <w:keepNext w:val="0"/>
              <w:keepLines w:val="0"/>
              <w:widowControl/>
              <w:suppressLineNumbers w:val="0"/>
              <w:jc w:val="center"/>
              <w:textAlignment w:val="center"/>
              <w:rPr>
                <w:rFonts w:hint="eastAsia"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电子桌牌</w:t>
            </w:r>
          </w:p>
        </w:tc>
      </w:tr>
      <w:tr w14:paraId="0D170546">
        <w:tblPrEx>
          <w:tblCellMar>
            <w:top w:w="0" w:type="dxa"/>
            <w:left w:w="108" w:type="dxa"/>
            <w:bottom w:w="0" w:type="dxa"/>
            <w:right w:w="108" w:type="dxa"/>
          </w:tblCellMar>
        </w:tblPrEx>
        <w:trPr>
          <w:trHeight w:val="529" w:hRule="atLeast"/>
          <w:jc w:val="center"/>
        </w:trPr>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570C6">
            <w:pPr>
              <w:keepNext w:val="0"/>
              <w:keepLines w:val="0"/>
              <w:pageBreakBefore w:val="0"/>
              <w:widowControl/>
              <w:numPr>
                <w:ilvl w:val="0"/>
                <w:numId w:val="0"/>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r>
              <w:rPr>
                <w:rFonts w:hint="default" w:ascii="仿宋" w:hAnsi="仿宋" w:eastAsia="仿宋" w:cs="仿宋"/>
                <w:i w:val="0"/>
                <w:iCs w:val="0"/>
                <w:strike w:val="0"/>
                <w:dstrike w:val="0"/>
                <w:color w:val="000000"/>
                <w:kern w:val="0"/>
                <w:sz w:val="24"/>
                <w:szCs w:val="24"/>
                <w:lang w:val="en-US" w:eastAsia="zh-CN" w:bidi="ar"/>
              </w:rPr>
              <w:t>1</w:t>
            </w:r>
          </w:p>
        </w:tc>
        <w:tc>
          <w:tcPr>
            <w:tcW w:w="8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523CC">
            <w:pPr>
              <w:keepNext w:val="0"/>
              <w:keepLines w:val="0"/>
              <w:pageBreakBefore w:val="0"/>
              <w:widowControl/>
              <w:numPr>
                <w:ilvl w:val="0"/>
                <w:numId w:val="0"/>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r>
              <w:rPr>
                <w:rFonts w:hint="eastAsia" w:ascii="仿宋" w:hAnsi="仿宋" w:eastAsia="仿宋" w:cs="仿宋"/>
                <w:i w:val="0"/>
                <w:iCs w:val="0"/>
                <w:strike w:val="0"/>
                <w:dstrike w:val="0"/>
                <w:color w:val="000000"/>
                <w:kern w:val="0"/>
                <w:sz w:val="24"/>
                <w:szCs w:val="24"/>
                <w:u w:val="none"/>
                <w:lang w:val="en-US" w:eastAsia="zh-CN" w:bidi="ar"/>
              </w:rPr>
              <w:t>电子桌牌</w:t>
            </w:r>
          </w:p>
        </w:tc>
        <w:tc>
          <w:tcPr>
            <w:tcW w:w="235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34FA7A">
            <w:pPr>
              <w:keepNext w:val="0"/>
              <w:keepLines w:val="0"/>
              <w:widowControl/>
              <w:suppressLineNumbers w:val="0"/>
              <w:jc w:val="left"/>
              <w:textAlignment w:val="center"/>
              <w:rPr>
                <w:rFonts w:hint="eastAsia"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尺寸：7.4英寸双面墨水屏电子桌牌</w:t>
            </w:r>
          </w:p>
          <w:p w14:paraId="7812F17C">
            <w:pPr>
              <w:keepNext w:val="0"/>
              <w:keepLines w:val="0"/>
              <w:widowControl/>
              <w:suppressLineNumbers w:val="0"/>
              <w:jc w:val="left"/>
              <w:textAlignment w:val="center"/>
              <w:rPr>
                <w:rFonts w:hint="eastAsia"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功能：无线后台批量编辑姓名职务，免反复打印，支持手机扫码即改、批量秒发，支持蓝牙/NFC远程改字，双面异显，多模块自由切换。</w:t>
            </w:r>
          </w:p>
          <w:p w14:paraId="53C038CD">
            <w:pPr>
              <w:keepNext w:val="0"/>
              <w:keepLines w:val="0"/>
              <w:widowControl/>
              <w:suppressLineNumbers w:val="0"/>
              <w:jc w:val="left"/>
              <w:textAlignment w:val="center"/>
              <w:rPr>
                <w:rFonts w:hint="eastAsia"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配套：配套管理软件、集中充电收纳盒。</w:t>
            </w:r>
          </w:p>
          <w:p w14:paraId="26C74E91">
            <w:pPr>
              <w:keepNext w:val="0"/>
              <w:keepLines w:val="0"/>
              <w:widowControl/>
              <w:suppressLineNumbers w:val="0"/>
              <w:jc w:val="left"/>
              <w:textAlignment w:val="center"/>
              <w:rPr>
                <w:rFonts w:hint="eastAsia" w:ascii="仿宋" w:hAnsi="仿宋" w:eastAsia="仿宋" w:cs="仿宋"/>
                <w:i w:val="0"/>
                <w:iCs w:val="0"/>
                <w:strike w:val="0"/>
                <w:dstrike w:val="0"/>
                <w:color w:val="000000"/>
                <w:kern w:val="2"/>
                <w:sz w:val="24"/>
                <w:szCs w:val="24"/>
                <w:highlight w:val="none"/>
                <w:u w:val="none"/>
                <w:lang w:val="en-US" w:eastAsia="zh-CN" w:bidi="ar-SA"/>
              </w:rPr>
            </w:pPr>
            <w:r>
              <w:rPr>
                <w:rFonts w:hint="eastAsia" w:ascii="仿宋" w:hAnsi="仿宋" w:eastAsia="仿宋" w:cs="仿宋"/>
                <w:i w:val="0"/>
                <w:iCs w:val="0"/>
                <w:strike w:val="0"/>
                <w:dstrike w:val="0"/>
                <w:color w:val="000000"/>
                <w:sz w:val="24"/>
                <w:szCs w:val="24"/>
                <w:highlight w:val="none"/>
                <w:u w:val="none"/>
                <w:lang w:val="en-US" w:eastAsia="zh-CN"/>
              </w:rPr>
              <w:t>质保：电子桌牌整机≥3年上门质保。</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FF60F8">
            <w:pPr>
              <w:keepNext w:val="0"/>
              <w:keepLines w:val="0"/>
              <w:widowControl/>
              <w:suppressLineNumbers w:val="0"/>
              <w:jc w:val="center"/>
              <w:textAlignment w:val="center"/>
              <w:rPr>
                <w:rFonts w:hint="default" w:ascii="仿宋" w:hAnsi="仿宋" w:eastAsia="仿宋" w:cs="仿宋"/>
                <w:i w:val="0"/>
                <w:iCs w:val="0"/>
                <w:strike w:val="0"/>
                <w:dstrike w:val="0"/>
                <w:color w:val="000000"/>
                <w:kern w:val="2"/>
                <w:sz w:val="24"/>
                <w:szCs w:val="24"/>
                <w:highlight w:val="none"/>
                <w:u w:val="none"/>
                <w:lang w:val="en-US" w:eastAsia="zh-CN" w:bidi="ar-SA"/>
              </w:rPr>
            </w:pPr>
            <w:r>
              <w:rPr>
                <w:rFonts w:hint="eastAsia" w:ascii="仿宋" w:hAnsi="仿宋" w:eastAsia="仿宋" w:cs="仿宋"/>
                <w:i w:val="0"/>
                <w:iCs w:val="0"/>
                <w:strike w:val="0"/>
                <w:dstrike w:val="0"/>
                <w:color w:val="000000"/>
                <w:sz w:val="24"/>
                <w:szCs w:val="24"/>
                <w:highlight w:val="none"/>
                <w:u w:val="none"/>
                <w:lang w:val="en-US" w:eastAsia="zh-CN"/>
              </w:rPr>
              <w:t>20</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2F60BD">
            <w:pPr>
              <w:keepNext w:val="0"/>
              <w:keepLines w:val="0"/>
              <w:widowControl/>
              <w:suppressLineNumbers w:val="0"/>
              <w:jc w:val="center"/>
              <w:textAlignment w:val="center"/>
              <w:rPr>
                <w:rFonts w:hint="default" w:ascii="仿宋" w:hAnsi="仿宋" w:eastAsia="仿宋" w:cs="仿宋"/>
                <w:i w:val="0"/>
                <w:iCs w:val="0"/>
                <w:strike w:val="0"/>
                <w:dstrike w:val="0"/>
                <w:color w:val="000000"/>
                <w:kern w:val="2"/>
                <w:sz w:val="24"/>
                <w:szCs w:val="24"/>
                <w:highlight w:val="none"/>
                <w:u w:val="none"/>
                <w:lang w:val="en-US" w:eastAsia="zh-CN" w:bidi="ar-SA"/>
              </w:rPr>
            </w:pPr>
            <w:r>
              <w:rPr>
                <w:rFonts w:hint="eastAsia" w:ascii="仿宋" w:hAnsi="仿宋" w:eastAsia="仿宋" w:cs="仿宋"/>
                <w:i w:val="0"/>
                <w:iCs w:val="0"/>
                <w:strike w:val="0"/>
                <w:dstrike w:val="0"/>
                <w:color w:val="000000"/>
                <w:sz w:val="24"/>
                <w:szCs w:val="24"/>
                <w:highlight w:val="none"/>
                <w:u w:val="none"/>
                <w:lang w:val="en-US" w:eastAsia="zh-CN"/>
              </w:rPr>
              <w:t>个</w:t>
            </w:r>
          </w:p>
        </w:tc>
        <w:tc>
          <w:tcPr>
            <w:tcW w:w="745" w:type="pct"/>
            <w:tcBorders>
              <w:top w:val="single" w:color="000000" w:sz="4" w:space="0"/>
              <w:left w:val="single" w:color="000000" w:sz="4" w:space="0"/>
              <w:bottom w:val="single" w:color="000000" w:sz="4" w:space="0"/>
              <w:right w:val="single" w:color="000000" w:sz="4" w:space="0"/>
            </w:tcBorders>
            <w:noWrap w:val="0"/>
            <w:vAlign w:val="center"/>
          </w:tcPr>
          <w:p w14:paraId="3B240BF6">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京东方（BOE）、MAXHUB、皓丽</w:t>
            </w:r>
          </w:p>
        </w:tc>
      </w:tr>
      <w:tr w14:paraId="610EAB16">
        <w:tblPrEx>
          <w:tblCellMar>
            <w:top w:w="0" w:type="dxa"/>
            <w:left w:w="108" w:type="dxa"/>
            <w:bottom w:w="0" w:type="dxa"/>
            <w:right w:w="108" w:type="dxa"/>
          </w:tblCellMar>
        </w:tblPrEx>
        <w:trPr>
          <w:trHeight w:val="529" w:hRule="atLeast"/>
          <w:jc w:val="center"/>
        </w:trPr>
        <w:tc>
          <w:tcPr>
            <w:tcW w:w="5000" w:type="pct"/>
            <w:gridSpan w:val="6"/>
            <w:tcBorders>
              <w:top w:val="single" w:color="000000" w:sz="4" w:space="0"/>
              <w:left w:val="single" w:color="000000" w:sz="4" w:space="0"/>
              <w:bottom w:val="single" w:color="000000" w:sz="4" w:space="0"/>
              <w:right w:val="single" w:color="000000" w:sz="4" w:space="0"/>
            </w:tcBorders>
            <w:noWrap/>
            <w:vAlign w:val="center"/>
          </w:tcPr>
          <w:p w14:paraId="0870C58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三楼会议室智慧大屏</w:t>
            </w:r>
          </w:p>
        </w:tc>
      </w:tr>
      <w:tr w14:paraId="5B343679">
        <w:tblPrEx>
          <w:tblCellMar>
            <w:top w:w="0" w:type="dxa"/>
            <w:left w:w="108" w:type="dxa"/>
            <w:bottom w:w="0" w:type="dxa"/>
            <w:right w:w="108" w:type="dxa"/>
          </w:tblCellMar>
        </w:tblPrEx>
        <w:trPr>
          <w:trHeight w:val="529" w:hRule="atLeast"/>
          <w:jc w:val="center"/>
        </w:trPr>
        <w:tc>
          <w:tcPr>
            <w:tcW w:w="668" w:type="dxa"/>
            <w:tcBorders>
              <w:top w:val="single" w:color="000000" w:sz="4" w:space="0"/>
              <w:left w:val="single" w:color="000000" w:sz="4" w:space="0"/>
              <w:bottom w:val="single" w:color="000000" w:sz="4" w:space="0"/>
              <w:right w:val="single" w:color="000000" w:sz="4" w:space="0"/>
            </w:tcBorders>
            <w:noWrap/>
            <w:vAlign w:val="center"/>
          </w:tcPr>
          <w:p w14:paraId="04F559AC">
            <w:pPr>
              <w:keepNext w:val="0"/>
              <w:keepLines w:val="0"/>
              <w:pageBreakBefore w:val="0"/>
              <w:widowControl/>
              <w:numPr>
                <w:ilvl w:val="0"/>
                <w:numId w:val="0"/>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r>
              <w:rPr>
                <w:rFonts w:hint="eastAsia" w:ascii="仿宋" w:hAnsi="仿宋" w:eastAsia="仿宋" w:cs="仿宋"/>
                <w:i w:val="0"/>
                <w:iCs w:val="0"/>
                <w:strike w:val="0"/>
                <w:dstrike w:val="0"/>
                <w:color w:val="000000"/>
                <w:kern w:val="0"/>
                <w:sz w:val="24"/>
                <w:szCs w:val="24"/>
                <w:lang w:val="en-US" w:eastAsia="zh-CN" w:bidi="ar"/>
              </w:rPr>
              <w:t>2</w:t>
            </w:r>
          </w:p>
        </w:tc>
        <w:tc>
          <w:tcPr>
            <w:tcW w:w="1636" w:type="dxa"/>
            <w:tcBorders>
              <w:top w:val="single" w:color="000000" w:sz="4" w:space="0"/>
              <w:left w:val="single" w:color="000000" w:sz="4" w:space="0"/>
              <w:bottom w:val="single" w:color="000000" w:sz="4" w:space="0"/>
              <w:right w:val="single" w:color="000000" w:sz="4" w:space="0"/>
            </w:tcBorders>
            <w:noWrap/>
            <w:vAlign w:val="center"/>
          </w:tcPr>
          <w:p w14:paraId="275920E0">
            <w:pPr>
              <w:keepNext w:val="0"/>
              <w:keepLines w:val="0"/>
              <w:pageBreakBefore w:val="0"/>
              <w:widowControl/>
              <w:numPr>
                <w:ilvl w:val="0"/>
                <w:numId w:val="0"/>
              </w:numPr>
              <w:suppressLineNumbers w:val="0"/>
              <w:kinsoku/>
              <w:wordWrap/>
              <w:overflowPunct/>
              <w:topLinePunct w:val="0"/>
              <w:autoSpaceDE/>
              <w:autoSpaceDN/>
              <w:bidi w:val="0"/>
              <w:adjustRightInd/>
              <w:snapToGrid/>
              <w:ind w:left="0" w:leftChars="0" w:firstLine="0"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r>
              <w:rPr>
                <w:rFonts w:hint="eastAsia" w:ascii="仿宋" w:hAnsi="仿宋" w:eastAsia="仿宋" w:cs="仿宋"/>
                <w:i w:val="0"/>
                <w:iCs w:val="0"/>
                <w:strike w:val="0"/>
                <w:dstrike w:val="0"/>
                <w:color w:val="000000"/>
                <w:kern w:val="0"/>
                <w:sz w:val="24"/>
                <w:szCs w:val="24"/>
                <w:u w:val="none"/>
                <w:lang w:val="en-US" w:eastAsia="zh-CN" w:bidi="ar"/>
              </w:rPr>
              <w:t>三楼会议室智慧大屏</w:t>
            </w:r>
          </w:p>
        </w:tc>
        <w:tc>
          <w:tcPr>
            <w:tcW w:w="4679" w:type="dxa"/>
            <w:tcBorders>
              <w:top w:val="single" w:color="000000" w:sz="4" w:space="0"/>
              <w:left w:val="single" w:color="000000" w:sz="4" w:space="0"/>
              <w:bottom w:val="single" w:color="000000" w:sz="4" w:space="0"/>
              <w:right w:val="single" w:color="000000" w:sz="4" w:space="0"/>
            </w:tcBorders>
            <w:noWrap w:val="0"/>
            <w:vAlign w:val="center"/>
          </w:tcPr>
          <w:p w14:paraId="4780D3F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1.产品规格：100英寸商用智能液晶电视，非拼接屏、非激光电视、非触摸式会议平板。</w:t>
            </w:r>
          </w:p>
          <w:p w14:paraId="76526F8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2.显示规格：屏幕尺寸100英寸，16:9，物理分辨率3840×2160（4K）；采用AG防眩光商用面板，支持会议室长时间开机运行，具备防残影能力。</w:t>
            </w:r>
          </w:p>
          <w:p w14:paraId="4ED17FA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3.硬件系统：搭载Android或HarmonyOS智能系统；运行内存≥4GB，机身存储≥128GB；支持设备后台管理。</w:t>
            </w:r>
          </w:p>
          <w:p w14:paraId="109B2BA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4.接口配置</w:t>
            </w:r>
          </w:p>
          <w:p w14:paraId="591CC53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有线网络：配置RJ45有线网口，支持有线联网；</w:t>
            </w:r>
          </w:p>
          <w:p w14:paraId="7FD2FC3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HDMI接口：HDMI2.0及以上接口不少于2路；</w:t>
            </w:r>
          </w:p>
          <w:p w14:paraId="3DD51AA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Type‑C接口：配置1路Type‑C接口，支持视频投屏、文件读取；</w:t>
            </w:r>
          </w:p>
          <w:p w14:paraId="4496943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USB接口：配置USB3.0、USB2.0接口，支持U盘、移动硬盘本地媒体播放；</w:t>
            </w:r>
          </w:p>
          <w:p w14:paraId="14B7EB9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音频输出：配置同轴音频输出接口，可外接功放音响设备。</w:t>
            </w:r>
          </w:p>
          <w:p w14:paraId="7C50E44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5.功能要求：支持无线投屏、多画面分屏显示；支持本地音视频文件播放，开机无强制广告。</w:t>
            </w:r>
          </w:p>
          <w:p w14:paraId="5B13AD8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6.安装配套：支持标准壁挂安装，提供壁挂支架及全套安装配件，包含设备上门安装调试。</w:t>
            </w:r>
          </w:p>
          <w:p w14:paraId="37B9E2B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7.质保：提供整机不少于3年商用质保，提供本地上门售后服务。</w:t>
            </w:r>
          </w:p>
        </w:tc>
        <w:tc>
          <w:tcPr>
            <w:tcW w:w="546" w:type="dxa"/>
            <w:tcBorders>
              <w:top w:val="single" w:color="000000" w:sz="4" w:space="0"/>
              <w:left w:val="single" w:color="000000" w:sz="4" w:space="0"/>
              <w:bottom w:val="single" w:color="000000" w:sz="4" w:space="0"/>
              <w:right w:val="single" w:color="000000" w:sz="4" w:space="0"/>
            </w:tcBorders>
            <w:noWrap w:val="0"/>
            <w:vAlign w:val="center"/>
          </w:tcPr>
          <w:p w14:paraId="3611722D">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42FCE49F">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745" w:type="pct"/>
            <w:tcBorders>
              <w:top w:val="single" w:color="000000" w:sz="4" w:space="0"/>
              <w:left w:val="single" w:color="000000" w:sz="4" w:space="0"/>
              <w:bottom w:val="single" w:color="000000" w:sz="4" w:space="0"/>
              <w:right w:val="single" w:color="000000" w:sz="4" w:space="0"/>
            </w:tcBorders>
            <w:noWrap w:val="0"/>
            <w:vAlign w:val="center"/>
          </w:tcPr>
          <w:p w14:paraId="55BD64F1">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海</w:t>
            </w:r>
            <w:r>
              <w:rPr>
                <w:rFonts w:hint="eastAsia" w:ascii="仿宋" w:hAnsi="仿宋" w:eastAsia="仿宋" w:cs="仿宋"/>
                <w:i w:val="0"/>
                <w:iCs w:val="0"/>
                <w:color w:val="000000"/>
                <w:kern w:val="0"/>
                <w:sz w:val="24"/>
                <w:szCs w:val="24"/>
                <w:u w:val="none"/>
                <w:lang w:val="en-US" w:eastAsia="zh-CN" w:bidi="ar"/>
              </w:rPr>
              <w:t>信、TCL、创维（商用系列）</w:t>
            </w:r>
          </w:p>
        </w:tc>
      </w:tr>
      <w:tr w14:paraId="1938AAD3">
        <w:tblPrEx>
          <w:tblCellMar>
            <w:top w:w="0" w:type="dxa"/>
            <w:left w:w="108" w:type="dxa"/>
            <w:bottom w:w="0" w:type="dxa"/>
            <w:right w:w="108" w:type="dxa"/>
          </w:tblCellMar>
        </w:tblPrEx>
        <w:trPr>
          <w:trHeight w:val="529" w:hRule="atLeast"/>
          <w:jc w:val="center"/>
        </w:trPr>
        <w:tc>
          <w:tcPr>
            <w:tcW w:w="5000" w:type="pct"/>
            <w:gridSpan w:val="6"/>
            <w:tcBorders>
              <w:top w:val="single" w:color="000000" w:sz="4" w:space="0"/>
              <w:left w:val="single" w:color="000000" w:sz="4" w:space="0"/>
              <w:bottom w:val="single" w:color="000000" w:sz="4" w:space="0"/>
              <w:right w:val="single" w:color="000000" w:sz="4" w:space="0"/>
            </w:tcBorders>
            <w:noWrap/>
            <w:vAlign w:val="center"/>
          </w:tcPr>
          <w:p w14:paraId="547F89F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ab/>
            </w:r>
            <w:r>
              <w:rPr>
                <w:rFonts w:hint="eastAsia" w:ascii="仿宋" w:hAnsi="仿宋" w:eastAsia="仿宋" w:cs="仿宋"/>
                <w:i w:val="0"/>
                <w:iCs w:val="0"/>
                <w:color w:val="000000"/>
                <w:kern w:val="0"/>
                <w:sz w:val="24"/>
                <w:szCs w:val="24"/>
                <w:u w:val="none"/>
                <w:lang w:val="en-US" w:eastAsia="zh-CN" w:bidi="ar"/>
              </w:rPr>
              <w:t>二楼会议室LED大屏</w:t>
            </w:r>
          </w:p>
        </w:tc>
      </w:tr>
      <w:tr w14:paraId="171C40F8">
        <w:tblPrEx>
          <w:tblCellMar>
            <w:top w:w="0" w:type="dxa"/>
            <w:left w:w="108" w:type="dxa"/>
            <w:bottom w:w="0" w:type="dxa"/>
            <w:right w:w="108" w:type="dxa"/>
          </w:tblCellMar>
        </w:tblPrEx>
        <w:trPr>
          <w:trHeight w:val="529" w:hRule="atLeast"/>
          <w:jc w:val="center"/>
        </w:trPr>
        <w:tc>
          <w:tcPr>
            <w:tcW w:w="668" w:type="dxa"/>
            <w:tcBorders>
              <w:top w:val="single" w:color="000000" w:sz="4" w:space="0"/>
              <w:left w:val="single" w:color="000000" w:sz="4" w:space="0"/>
              <w:bottom w:val="single" w:color="000000" w:sz="4" w:space="0"/>
              <w:right w:val="single" w:color="000000" w:sz="4" w:space="0"/>
            </w:tcBorders>
            <w:noWrap/>
            <w:vAlign w:val="center"/>
          </w:tcPr>
          <w:p w14:paraId="260C9762">
            <w:pPr>
              <w:keepNext w:val="0"/>
              <w:keepLines w:val="0"/>
              <w:pageBreakBefore w:val="0"/>
              <w:widowControl/>
              <w:numPr>
                <w:ilvl w:val="0"/>
                <w:numId w:val="0"/>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r>
              <w:rPr>
                <w:rFonts w:hint="eastAsia" w:ascii="仿宋" w:hAnsi="仿宋" w:eastAsia="仿宋" w:cs="仿宋"/>
                <w:i w:val="0"/>
                <w:iCs w:val="0"/>
                <w:strike w:val="0"/>
                <w:dstrike w:val="0"/>
                <w:color w:val="000000"/>
                <w:kern w:val="0"/>
                <w:sz w:val="24"/>
                <w:szCs w:val="24"/>
                <w:lang w:val="en-US" w:eastAsia="zh-CN" w:bidi="ar"/>
              </w:rPr>
              <w:t>3</w:t>
            </w:r>
          </w:p>
        </w:tc>
        <w:tc>
          <w:tcPr>
            <w:tcW w:w="1636" w:type="dxa"/>
            <w:tcBorders>
              <w:top w:val="single" w:color="000000" w:sz="4" w:space="0"/>
              <w:left w:val="single" w:color="000000" w:sz="4" w:space="0"/>
              <w:bottom w:val="single" w:color="000000" w:sz="4" w:space="0"/>
              <w:right w:val="single" w:color="000000" w:sz="4" w:space="0"/>
            </w:tcBorders>
            <w:noWrap/>
            <w:vAlign w:val="center"/>
          </w:tcPr>
          <w:p w14:paraId="51374A74">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olor w:val="000000"/>
                <w:sz w:val="24"/>
                <w:szCs w:val="24"/>
              </w:rPr>
              <w:t>P1.5LED</w:t>
            </w:r>
          </w:p>
        </w:tc>
        <w:tc>
          <w:tcPr>
            <w:tcW w:w="4679" w:type="dxa"/>
            <w:tcBorders>
              <w:top w:val="single" w:color="000000" w:sz="4" w:space="0"/>
              <w:left w:val="single" w:color="000000" w:sz="4" w:space="0"/>
              <w:bottom w:val="single" w:color="000000" w:sz="4" w:space="0"/>
              <w:right w:val="single" w:color="000000" w:sz="4" w:space="0"/>
            </w:tcBorders>
            <w:noWrap w:val="0"/>
            <w:vAlign w:val="center"/>
          </w:tcPr>
          <w:p w14:paraId="5A793DC9">
            <w:pPr>
              <w:keepNext w:val="0"/>
              <w:keepLines w:val="0"/>
              <w:widowControl/>
              <w:suppressLineNumbers w:val="0"/>
              <w:jc w:val="left"/>
              <w:textAlignment w:val="center"/>
              <w:rPr>
                <w:rFonts w:hint="default" w:ascii="仿宋" w:hAnsi="仿宋" w:eastAsia="仿宋" w:cs="仿宋"/>
                <w:i w:val="0"/>
                <w:iCs w:val="0"/>
                <w:color w:val="000000"/>
                <w:kern w:val="0"/>
                <w:sz w:val="24"/>
                <w:szCs w:val="24"/>
                <w:u w:val="none"/>
                <w:lang w:val="en-US" w:eastAsia="zh-CN" w:bidi="ar"/>
              </w:rPr>
            </w:pPr>
            <w:r>
              <w:rPr>
                <w:rFonts w:hint="default" w:ascii="仿宋" w:hAnsi="仿宋" w:eastAsia="仿宋" w:cs="仿宋"/>
                <w:i w:val="0"/>
                <w:iCs w:val="0"/>
                <w:color w:val="000000"/>
                <w:kern w:val="0"/>
                <w:sz w:val="24"/>
                <w:szCs w:val="24"/>
                <w:u w:val="none"/>
                <w:lang w:val="en-US" w:eastAsia="zh-CN" w:bidi="ar"/>
              </w:rPr>
              <w:t>1.像素：点间距≤1.538mm，密度≥422,500点/㎡。</w:t>
            </w:r>
            <w:r>
              <w:rPr>
                <w:rFonts w:hint="default" w:ascii="仿宋" w:hAnsi="仿宋" w:eastAsia="仿宋" w:cs="仿宋"/>
                <w:i w:val="0"/>
                <w:iCs w:val="0"/>
                <w:color w:val="000000"/>
                <w:kern w:val="0"/>
                <w:sz w:val="24"/>
                <w:szCs w:val="24"/>
                <w:u w:val="none"/>
                <w:lang w:val="en-US" w:eastAsia="zh-CN" w:bidi="ar"/>
              </w:rPr>
              <w:br w:type="textWrapping"/>
            </w:r>
            <w:r>
              <w:rPr>
                <w:rFonts w:hint="default" w:ascii="仿宋" w:hAnsi="仿宋" w:eastAsia="仿宋" w:cs="仿宋"/>
                <w:i w:val="0"/>
                <w:iCs w:val="0"/>
                <w:color w:val="000000"/>
                <w:kern w:val="0"/>
                <w:sz w:val="24"/>
                <w:szCs w:val="24"/>
                <w:u w:val="none"/>
                <w:lang w:val="en-US" w:eastAsia="zh-CN" w:bidi="ar"/>
              </w:rPr>
              <w:t>2.亮度/功耗：峰值亮度≥600cd/㎡，峰值功耗≤420W/㎡，平均功耗≤140W/㎡。</w:t>
            </w:r>
            <w:r>
              <w:rPr>
                <w:rFonts w:hint="default"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3.水平视角≥1</w:t>
            </w:r>
            <w:r>
              <w:rPr>
                <w:rFonts w:hint="default" w:ascii="仿宋" w:hAnsi="仿宋" w:eastAsia="仿宋" w:cs="仿宋"/>
                <w:i w:val="0"/>
                <w:iCs w:val="0"/>
                <w:color w:val="000000"/>
                <w:kern w:val="0"/>
                <w:sz w:val="24"/>
                <w:szCs w:val="24"/>
                <w:u w:val="none"/>
                <w:lang w:val="en-US" w:eastAsia="zh-CN" w:bidi="ar"/>
              </w:rPr>
              <w:t>70</w:t>
            </w:r>
            <w:r>
              <w:rPr>
                <w:rFonts w:hint="eastAsia" w:ascii="仿宋" w:hAnsi="仿宋" w:eastAsia="仿宋" w:cs="仿宋"/>
                <w:i w:val="0"/>
                <w:iCs w:val="0"/>
                <w:color w:val="000000"/>
                <w:kern w:val="0"/>
                <w:sz w:val="24"/>
                <w:szCs w:val="24"/>
                <w:u w:val="none"/>
                <w:lang w:val="en-US" w:eastAsia="zh-CN" w:bidi="ar"/>
              </w:rPr>
              <w:t>°，垂直视角≥1</w:t>
            </w:r>
            <w:r>
              <w:rPr>
                <w:rFonts w:hint="default" w:ascii="仿宋" w:hAnsi="仿宋" w:eastAsia="仿宋" w:cs="仿宋"/>
                <w:i w:val="0"/>
                <w:iCs w:val="0"/>
                <w:color w:val="000000"/>
                <w:kern w:val="0"/>
                <w:sz w:val="24"/>
                <w:szCs w:val="24"/>
                <w:u w:val="none"/>
                <w:lang w:val="en-US" w:eastAsia="zh-CN" w:bidi="ar"/>
              </w:rPr>
              <w:t>70</w:t>
            </w:r>
            <w:r>
              <w:rPr>
                <w:rFonts w:hint="eastAsia" w:ascii="仿宋" w:hAnsi="仿宋" w:eastAsia="仿宋" w:cs="仿宋"/>
                <w:i w:val="0"/>
                <w:iCs w:val="0"/>
                <w:color w:val="000000"/>
                <w:kern w:val="0"/>
                <w:sz w:val="24"/>
                <w:szCs w:val="24"/>
                <w:u w:val="none"/>
                <w:lang w:val="en-US" w:eastAsia="zh-CN" w:bidi="ar"/>
              </w:rPr>
              <w:t>°；基色主波长误差要求为C级：ΔλD≤5nm，亮度误差值在5</w:t>
            </w:r>
            <w:r>
              <w:rPr>
                <w:rFonts w:hint="default" w:ascii="仿宋" w:hAnsi="仿宋" w:eastAsia="仿宋" w:cs="仿宋"/>
                <w:i w:val="0"/>
                <w:iCs w:val="0"/>
                <w:color w:val="000000"/>
                <w:kern w:val="0"/>
                <w:sz w:val="24"/>
                <w:szCs w:val="24"/>
                <w:u w:val="none"/>
                <w:lang w:val="en-US" w:eastAsia="zh-CN" w:bidi="ar"/>
              </w:rPr>
              <w:t>%以内</w:t>
            </w:r>
            <w:r>
              <w:rPr>
                <w:rFonts w:hint="eastAsia" w:ascii="仿宋" w:hAnsi="仿宋" w:eastAsia="仿宋" w:cs="仿宋"/>
                <w:i w:val="0"/>
                <w:iCs w:val="0"/>
                <w:color w:val="000000"/>
                <w:kern w:val="0"/>
                <w:sz w:val="24"/>
                <w:szCs w:val="24"/>
                <w:u w:val="none"/>
                <w:lang w:val="en-US" w:eastAsia="zh-CN" w:bidi="ar"/>
              </w:rPr>
              <w:t>；</w:t>
            </w:r>
          </w:p>
          <w:p w14:paraId="0AA3FF6A">
            <w:pPr>
              <w:keepNext w:val="0"/>
              <w:keepLines w:val="0"/>
              <w:widowControl/>
              <w:suppressLineNumbers w:val="0"/>
              <w:jc w:val="left"/>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4.亮度不低于600（cd/㎡），模组间间隙＜0</w:t>
            </w:r>
            <w:r>
              <w:rPr>
                <w:rFonts w:hint="default" w:ascii="仿宋" w:hAnsi="仿宋" w:eastAsia="仿宋" w:cs="仿宋"/>
                <w:i w:val="0"/>
                <w:iCs w:val="0"/>
                <w:color w:val="000000"/>
                <w:kern w:val="0"/>
                <w:sz w:val="24"/>
                <w:szCs w:val="24"/>
                <w:u w:val="none"/>
                <w:lang w:val="en-US" w:eastAsia="zh-CN" w:bidi="ar"/>
              </w:rPr>
              <w:t>.1mm，模组间相对错位值＜</w:t>
            </w:r>
            <w:r>
              <w:rPr>
                <w:rFonts w:hint="eastAsia" w:ascii="仿宋" w:hAnsi="仿宋" w:eastAsia="仿宋" w:cs="仿宋"/>
                <w:i w:val="0"/>
                <w:iCs w:val="0"/>
                <w:color w:val="000000"/>
                <w:kern w:val="0"/>
                <w:sz w:val="24"/>
                <w:szCs w:val="24"/>
                <w:u w:val="none"/>
                <w:lang w:val="en-US" w:eastAsia="zh-CN" w:bidi="ar"/>
              </w:rPr>
              <w:t>1</w:t>
            </w:r>
            <w:r>
              <w:rPr>
                <w:rFonts w:hint="default" w:ascii="仿宋" w:hAnsi="仿宋" w:eastAsia="仿宋" w:cs="仿宋"/>
                <w:i w:val="0"/>
                <w:iCs w:val="0"/>
                <w:color w:val="000000"/>
                <w:kern w:val="0"/>
                <w:sz w:val="24"/>
                <w:szCs w:val="24"/>
                <w:u w:val="none"/>
                <w:lang w:val="en-US" w:eastAsia="zh-CN" w:bidi="ar"/>
              </w:rPr>
              <w:t>%；亮度均匀性＞99%；色温支持2500K-9500K；发光中心距偏差＜</w:t>
            </w:r>
            <w:r>
              <w:rPr>
                <w:rFonts w:hint="eastAsia" w:ascii="仿宋" w:hAnsi="仿宋" w:eastAsia="仿宋" w:cs="仿宋"/>
                <w:i w:val="0"/>
                <w:iCs w:val="0"/>
                <w:color w:val="000000"/>
                <w:kern w:val="0"/>
                <w:sz w:val="24"/>
                <w:szCs w:val="24"/>
                <w:u w:val="none"/>
                <w:lang w:val="en-US" w:eastAsia="zh-CN" w:bidi="ar"/>
              </w:rPr>
              <w:t>1</w:t>
            </w:r>
            <w:r>
              <w:rPr>
                <w:rFonts w:hint="default" w:ascii="仿宋" w:hAnsi="仿宋" w:eastAsia="仿宋" w:cs="仿宋"/>
                <w:i w:val="0"/>
                <w:iCs w:val="0"/>
                <w:color w:val="000000"/>
                <w:kern w:val="0"/>
                <w:sz w:val="24"/>
                <w:szCs w:val="24"/>
                <w:u w:val="none"/>
                <w:lang w:val="en-US" w:eastAsia="zh-CN" w:bidi="ar"/>
              </w:rPr>
              <w:t>%；</w:t>
            </w:r>
          </w:p>
          <w:p w14:paraId="06986DE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6.刷新率：支持通过配套软件调节刷新率的设置选项，支持刷新率≥3840Hz；</w:t>
            </w:r>
          </w:p>
          <w:p w14:paraId="29EAE53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7.含接收卡、电源、信号线、电源线等配件</w:t>
            </w:r>
          </w:p>
        </w:tc>
        <w:tc>
          <w:tcPr>
            <w:tcW w:w="546" w:type="dxa"/>
            <w:tcBorders>
              <w:top w:val="single" w:color="000000" w:sz="4" w:space="0"/>
              <w:left w:val="single" w:color="000000" w:sz="4" w:space="0"/>
              <w:bottom w:val="single" w:color="000000" w:sz="4" w:space="0"/>
              <w:right w:val="single" w:color="000000" w:sz="4" w:space="0"/>
            </w:tcBorders>
            <w:noWrap w:val="0"/>
            <w:vAlign w:val="center"/>
          </w:tcPr>
          <w:p w14:paraId="799C6B1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097752F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平方米</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DECB5C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利亚德、洲明、艾比森</w:t>
            </w:r>
          </w:p>
        </w:tc>
      </w:tr>
      <w:tr w14:paraId="3F021AA2">
        <w:tblPrEx>
          <w:tblCellMar>
            <w:top w:w="0" w:type="dxa"/>
            <w:left w:w="108" w:type="dxa"/>
            <w:bottom w:w="0" w:type="dxa"/>
            <w:right w:w="108" w:type="dxa"/>
          </w:tblCellMar>
        </w:tblPrEx>
        <w:trPr>
          <w:trHeight w:val="529" w:hRule="atLeast"/>
          <w:jc w:val="center"/>
        </w:trPr>
        <w:tc>
          <w:tcPr>
            <w:tcW w:w="668" w:type="dxa"/>
            <w:tcBorders>
              <w:top w:val="single" w:color="000000" w:sz="4" w:space="0"/>
              <w:left w:val="single" w:color="000000" w:sz="4" w:space="0"/>
              <w:bottom w:val="single" w:color="000000" w:sz="4" w:space="0"/>
              <w:right w:val="single" w:color="000000" w:sz="4" w:space="0"/>
            </w:tcBorders>
            <w:noWrap/>
            <w:vAlign w:val="center"/>
          </w:tcPr>
          <w:p w14:paraId="4884FB1A">
            <w:pPr>
              <w:keepNext w:val="0"/>
              <w:keepLines w:val="0"/>
              <w:pageBreakBefore w:val="0"/>
              <w:widowControl/>
              <w:numPr>
                <w:ilvl w:val="0"/>
                <w:numId w:val="0"/>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r>
              <w:rPr>
                <w:rFonts w:hint="eastAsia" w:ascii="仿宋" w:hAnsi="仿宋" w:eastAsia="仿宋" w:cs="仿宋"/>
                <w:i w:val="0"/>
                <w:iCs w:val="0"/>
                <w:strike w:val="0"/>
                <w:dstrike w:val="0"/>
                <w:color w:val="000000"/>
                <w:kern w:val="0"/>
                <w:sz w:val="24"/>
                <w:szCs w:val="24"/>
                <w:lang w:val="en-US" w:eastAsia="zh-CN" w:bidi="ar"/>
              </w:rPr>
              <w:t>4</w:t>
            </w:r>
          </w:p>
        </w:tc>
        <w:tc>
          <w:tcPr>
            <w:tcW w:w="1636" w:type="dxa"/>
            <w:tcBorders>
              <w:top w:val="single" w:color="000000" w:sz="4" w:space="0"/>
              <w:left w:val="single" w:color="000000" w:sz="4" w:space="0"/>
              <w:bottom w:val="single" w:color="000000" w:sz="4" w:space="0"/>
              <w:right w:val="single" w:color="000000" w:sz="4" w:space="0"/>
            </w:tcBorders>
            <w:noWrap/>
            <w:vAlign w:val="center"/>
          </w:tcPr>
          <w:p w14:paraId="361991C8">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olor w:val="000000"/>
                <w:sz w:val="24"/>
                <w:szCs w:val="24"/>
              </w:rPr>
              <w:t>LED钢结构框架</w:t>
            </w:r>
          </w:p>
        </w:tc>
        <w:tc>
          <w:tcPr>
            <w:tcW w:w="4679" w:type="dxa"/>
            <w:tcBorders>
              <w:top w:val="single" w:color="000000" w:sz="4" w:space="0"/>
              <w:left w:val="single" w:color="000000" w:sz="4" w:space="0"/>
              <w:bottom w:val="single" w:color="000000" w:sz="4" w:space="0"/>
              <w:right w:val="single" w:color="000000" w:sz="4" w:space="0"/>
            </w:tcBorders>
            <w:noWrap w:val="0"/>
            <w:vAlign w:val="center"/>
          </w:tcPr>
          <w:p w14:paraId="1AD3B68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LED结构钢架，根据现场实际情况定制，符合国标要求</w:t>
            </w:r>
          </w:p>
        </w:tc>
        <w:tc>
          <w:tcPr>
            <w:tcW w:w="546" w:type="dxa"/>
            <w:tcBorders>
              <w:top w:val="single" w:color="000000" w:sz="4" w:space="0"/>
              <w:left w:val="single" w:color="000000" w:sz="4" w:space="0"/>
              <w:bottom w:val="single" w:color="000000" w:sz="4" w:space="0"/>
              <w:right w:val="single" w:color="000000" w:sz="4" w:space="0"/>
            </w:tcBorders>
            <w:noWrap w:val="0"/>
            <w:vAlign w:val="center"/>
          </w:tcPr>
          <w:p w14:paraId="640CF00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3B2B07A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平方米</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865CE3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定制</w:t>
            </w:r>
          </w:p>
        </w:tc>
      </w:tr>
      <w:tr w14:paraId="79F7BC3F">
        <w:tblPrEx>
          <w:tblCellMar>
            <w:top w:w="0" w:type="dxa"/>
            <w:left w:w="108" w:type="dxa"/>
            <w:bottom w:w="0" w:type="dxa"/>
            <w:right w:w="108" w:type="dxa"/>
          </w:tblCellMar>
        </w:tblPrEx>
        <w:trPr>
          <w:trHeight w:val="529" w:hRule="atLeast"/>
          <w:jc w:val="center"/>
        </w:trPr>
        <w:tc>
          <w:tcPr>
            <w:tcW w:w="668" w:type="dxa"/>
            <w:tcBorders>
              <w:top w:val="single" w:color="000000" w:sz="4" w:space="0"/>
              <w:left w:val="single" w:color="000000" w:sz="4" w:space="0"/>
              <w:bottom w:val="single" w:color="000000" w:sz="4" w:space="0"/>
              <w:right w:val="single" w:color="000000" w:sz="4" w:space="0"/>
            </w:tcBorders>
            <w:noWrap/>
            <w:vAlign w:val="center"/>
          </w:tcPr>
          <w:p w14:paraId="068B9870">
            <w:pPr>
              <w:keepNext w:val="0"/>
              <w:keepLines w:val="0"/>
              <w:pageBreakBefore w:val="0"/>
              <w:widowControl/>
              <w:numPr>
                <w:ilvl w:val="0"/>
                <w:numId w:val="0"/>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r>
              <w:rPr>
                <w:rFonts w:hint="eastAsia" w:ascii="仿宋" w:hAnsi="仿宋" w:eastAsia="仿宋" w:cs="仿宋"/>
                <w:i w:val="0"/>
                <w:iCs w:val="0"/>
                <w:strike w:val="0"/>
                <w:dstrike w:val="0"/>
                <w:color w:val="000000"/>
                <w:kern w:val="0"/>
                <w:sz w:val="24"/>
                <w:szCs w:val="24"/>
                <w:lang w:val="en-US" w:eastAsia="zh-CN" w:bidi="ar"/>
              </w:rPr>
              <w:t>5</w:t>
            </w:r>
          </w:p>
        </w:tc>
        <w:tc>
          <w:tcPr>
            <w:tcW w:w="1636" w:type="dxa"/>
            <w:tcBorders>
              <w:top w:val="single" w:color="000000" w:sz="4" w:space="0"/>
              <w:left w:val="single" w:color="000000" w:sz="4" w:space="0"/>
              <w:bottom w:val="single" w:color="000000" w:sz="4" w:space="0"/>
              <w:right w:val="single" w:color="000000" w:sz="4" w:space="0"/>
            </w:tcBorders>
            <w:noWrap/>
            <w:vAlign w:val="center"/>
          </w:tcPr>
          <w:p w14:paraId="6A5F6D35">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olor w:val="000000"/>
                <w:sz w:val="24"/>
                <w:szCs w:val="24"/>
              </w:rPr>
              <w:t>LED配电箱</w:t>
            </w:r>
          </w:p>
        </w:tc>
        <w:tc>
          <w:tcPr>
            <w:tcW w:w="4679" w:type="dxa"/>
            <w:tcBorders>
              <w:top w:val="single" w:color="000000" w:sz="4" w:space="0"/>
              <w:left w:val="single" w:color="000000" w:sz="4" w:space="0"/>
              <w:bottom w:val="single" w:color="000000" w:sz="4" w:space="0"/>
              <w:right w:val="single" w:color="000000" w:sz="4" w:space="0"/>
            </w:tcBorders>
            <w:noWrap w:val="0"/>
            <w:vAlign w:val="center"/>
          </w:tcPr>
          <w:p w14:paraId="5E9F41D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20kW PLC智能配电箱</w:t>
            </w:r>
          </w:p>
        </w:tc>
        <w:tc>
          <w:tcPr>
            <w:tcW w:w="546" w:type="dxa"/>
            <w:tcBorders>
              <w:top w:val="single" w:color="000000" w:sz="4" w:space="0"/>
              <w:left w:val="single" w:color="000000" w:sz="4" w:space="0"/>
              <w:bottom w:val="single" w:color="000000" w:sz="4" w:space="0"/>
              <w:right w:val="single" w:color="000000" w:sz="4" w:space="0"/>
            </w:tcBorders>
            <w:noWrap w:val="0"/>
            <w:vAlign w:val="center"/>
          </w:tcPr>
          <w:p w14:paraId="5F2A977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29C3051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15B95E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定制</w:t>
            </w:r>
          </w:p>
        </w:tc>
      </w:tr>
      <w:tr w14:paraId="6CCDDFDC">
        <w:tblPrEx>
          <w:tblCellMar>
            <w:top w:w="0" w:type="dxa"/>
            <w:left w:w="108" w:type="dxa"/>
            <w:bottom w:w="0" w:type="dxa"/>
            <w:right w:w="108" w:type="dxa"/>
          </w:tblCellMar>
        </w:tblPrEx>
        <w:trPr>
          <w:trHeight w:val="529" w:hRule="atLeast"/>
          <w:jc w:val="center"/>
        </w:trPr>
        <w:tc>
          <w:tcPr>
            <w:tcW w:w="668" w:type="dxa"/>
            <w:tcBorders>
              <w:top w:val="single" w:color="000000" w:sz="4" w:space="0"/>
              <w:left w:val="single" w:color="000000" w:sz="4" w:space="0"/>
              <w:bottom w:val="single" w:color="000000" w:sz="4" w:space="0"/>
              <w:right w:val="single" w:color="000000" w:sz="4" w:space="0"/>
            </w:tcBorders>
            <w:noWrap/>
            <w:vAlign w:val="center"/>
          </w:tcPr>
          <w:p w14:paraId="47E5FDF0">
            <w:pPr>
              <w:keepNext w:val="0"/>
              <w:keepLines w:val="0"/>
              <w:pageBreakBefore w:val="0"/>
              <w:widowControl/>
              <w:numPr>
                <w:ilvl w:val="0"/>
                <w:numId w:val="0"/>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r>
              <w:rPr>
                <w:rFonts w:hint="eastAsia" w:ascii="仿宋" w:hAnsi="仿宋" w:eastAsia="仿宋" w:cs="仿宋"/>
                <w:i w:val="0"/>
                <w:iCs w:val="0"/>
                <w:strike w:val="0"/>
                <w:dstrike w:val="0"/>
                <w:color w:val="000000"/>
                <w:kern w:val="0"/>
                <w:sz w:val="24"/>
                <w:szCs w:val="24"/>
                <w:lang w:val="en-US" w:eastAsia="zh-CN" w:bidi="ar"/>
              </w:rPr>
              <w:t>6</w:t>
            </w:r>
          </w:p>
        </w:tc>
        <w:tc>
          <w:tcPr>
            <w:tcW w:w="1636" w:type="dxa"/>
            <w:tcBorders>
              <w:top w:val="single" w:color="000000" w:sz="4" w:space="0"/>
              <w:left w:val="single" w:color="000000" w:sz="4" w:space="0"/>
              <w:bottom w:val="single" w:color="000000" w:sz="4" w:space="0"/>
              <w:right w:val="single" w:color="000000" w:sz="4" w:space="0"/>
            </w:tcBorders>
            <w:noWrap/>
            <w:vAlign w:val="center"/>
          </w:tcPr>
          <w:p w14:paraId="2A280207">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olor w:val="000000"/>
                <w:sz w:val="24"/>
                <w:szCs w:val="24"/>
              </w:rPr>
              <w:t>数字影院解码器</w:t>
            </w:r>
          </w:p>
        </w:tc>
        <w:tc>
          <w:tcPr>
            <w:tcW w:w="4679" w:type="dxa"/>
            <w:tcBorders>
              <w:top w:val="single" w:color="000000" w:sz="4" w:space="0"/>
              <w:left w:val="single" w:color="000000" w:sz="4" w:space="0"/>
              <w:bottom w:val="single" w:color="000000" w:sz="4" w:space="0"/>
              <w:right w:val="single" w:color="000000" w:sz="4" w:space="0"/>
            </w:tcBorders>
            <w:noWrap w:val="0"/>
            <w:vAlign w:val="center"/>
          </w:tcPr>
          <w:p w14:paraId="32FC919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一、音频解码与处理</w:t>
            </w:r>
          </w:p>
          <w:p w14:paraId="2D40FAD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1.支持高清音频解码：Dolby TrueHD、Dolby Digital Plus、DTS‑Master Audio、DTS‑HI‑RES；向下兼容Dolby Digital（EX）、DTS、DTS‑ES、DTS96/24等7.1声道音频解码。</w:t>
            </w:r>
          </w:p>
          <w:p w14:paraId="4DF9629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2.音频输出≥10路，其中不少于6路XLR平衡输出，4路RCA非平衡输出。</w:t>
            </w:r>
          </w:p>
          <w:p w14:paraId="7A4FF3D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3.具备DSP数字音频处理，输入通道参量均衡≥15段，输出通道参量均衡≥12段；每通道支持高通、低通、延时、压限处理；内置自动声反馈抑制、噪声门功能，解决会议室话筒啸叫问题。</w:t>
            </w:r>
          </w:p>
          <w:p w14:paraId="4F9B5B8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4.配备光纤、同轴数字音频输入；≥2组立体声线路输入、2组TRS输入，具备立体声录音输出接口。</w:t>
            </w:r>
          </w:p>
          <w:p w14:paraId="2264DFC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5.可设置开机音量、最大音量限制。</w:t>
            </w:r>
          </w:p>
          <w:p w14:paraId="5DA9571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6.设备配备彩色LCD显示屏，支持全中文操作菜单；支持RS232中控控制。</w:t>
            </w:r>
          </w:p>
          <w:p w14:paraId="49D0B9C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二、视频处理部分</w:t>
            </w:r>
          </w:p>
          <w:p w14:paraId="21CED0C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1.HDMI输入≥3路，HDMI输出≥1路，支持HDMI切换；支持HDR10、Dolby Vision、HLG广色域输出，适配P1.5 LED显示屏。</w:t>
            </w:r>
          </w:p>
          <w:p w14:paraId="7EC6D34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2.支持HDMI‑ARC音频回传、CEC控制；支持3D视频，兼容480P‑1080P60分辨率。</w:t>
            </w:r>
          </w:p>
        </w:tc>
        <w:tc>
          <w:tcPr>
            <w:tcW w:w="546" w:type="dxa"/>
            <w:tcBorders>
              <w:top w:val="single" w:color="000000" w:sz="4" w:space="0"/>
              <w:left w:val="single" w:color="000000" w:sz="4" w:space="0"/>
              <w:bottom w:val="single" w:color="000000" w:sz="4" w:space="0"/>
              <w:right w:val="single" w:color="000000" w:sz="4" w:space="0"/>
            </w:tcBorders>
            <w:noWrap w:val="0"/>
            <w:vAlign w:val="center"/>
          </w:tcPr>
          <w:p w14:paraId="367B46F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32830BD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FCD95C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天龙 天逸 、惠威 </w:t>
            </w:r>
          </w:p>
        </w:tc>
      </w:tr>
      <w:tr w14:paraId="146E2EDB">
        <w:tblPrEx>
          <w:tblCellMar>
            <w:top w:w="0" w:type="dxa"/>
            <w:left w:w="108" w:type="dxa"/>
            <w:bottom w:w="0" w:type="dxa"/>
            <w:right w:w="108" w:type="dxa"/>
          </w:tblCellMar>
        </w:tblPrEx>
        <w:trPr>
          <w:trHeight w:val="529" w:hRule="atLeast"/>
          <w:jc w:val="center"/>
        </w:trPr>
        <w:tc>
          <w:tcPr>
            <w:tcW w:w="668" w:type="dxa"/>
            <w:tcBorders>
              <w:top w:val="single" w:color="000000" w:sz="4" w:space="0"/>
              <w:left w:val="single" w:color="000000" w:sz="4" w:space="0"/>
              <w:bottom w:val="single" w:color="000000" w:sz="4" w:space="0"/>
              <w:right w:val="single" w:color="000000" w:sz="4" w:space="0"/>
            </w:tcBorders>
            <w:noWrap/>
            <w:vAlign w:val="center"/>
          </w:tcPr>
          <w:p w14:paraId="73805586">
            <w:pPr>
              <w:keepNext w:val="0"/>
              <w:keepLines w:val="0"/>
              <w:pageBreakBefore w:val="0"/>
              <w:widowControl/>
              <w:numPr>
                <w:ilvl w:val="0"/>
                <w:numId w:val="0"/>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r>
              <w:rPr>
                <w:rFonts w:hint="eastAsia" w:ascii="仿宋" w:hAnsi="仿宋" w:eastAsia="仿宋" w:cs="仿宋"/>
                <w:i w:val="0"/>
                <w:iCs w:val="0"/>
                <w:strike w:val="0"/>
                <w:dstrike w:val="0"/>
                <w:color w:val="000000"/>
                <w:kern w:val="0"/>
                <w:sz w:val="24"/>
                <w:szCs w:val="24"/>
                <w:lang w:val="en-US" w:eastAsia="zh-CN" w:bidi="ar"/>
              </w:rPr>
              <w:t>7</w:t>
            </w:r>
          </w:p>
        </w:tc>
        <w:tc>
          <w:tcPr>
            <w:tcW w:w="1636" w:type="dxa"/>
            <w:tcBorders>
              <w:top w:val="single" w:color="000000" w:sz="4" w:space="0"/>
              <w:left w:val="single" w:color="000000" w:sz="4" w:space="0"/>
              <w:bottom w:val="single" w:color="000000" w:sz="4" w:space="0"/>
              <w:right w:val="single" w:color="000000" w:sz="4" w:space="0"/>
            </w:tcBorders>
            <w:noWrap/>
            <w:vAlign w:val="center"/>
          </w:tcPr>
          <w:p w14:paraId="54A7EF01">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olor w:val="000000"/>
                <w:sz w:val="24"/>
                <w:szCs w:val="24"/>
              </w:rPr>
              <w:t>LED视频处理器</w:t>
            </w:r>
          </w:p>
        </w:tc>
        <w:tc>
          <w:tcPr>
            <w:tcW w:w="4679" w:type="dxa"/>
            <w:tcBorders>
              <w:top w:val="single" w:color="000000" w:sz="4" w:space="0"/>
              <w:left w:val="single" w:color="000000" w:sz="4" w:space="0"/>
              <w:bottom w:val="single" w:color="000000" w:sz="4" w:space="0"/>
              <w:right w:val="single" w:color="000000" w:sz="4" w:space="0"/>
            </w:tcBorders>
            <w:noWrap w:val="0"/>
            <w:vAlign w:val="center"/>
          </w:tcPr>
          <w:p w14:paraId="71DAC282">
            <w:pPr>
              <w:keepNext w:val="0"/>
              <w:keepLines w:val="0"/>
              <w:widowControl/>
              <w:suppressLineNumbers w:val="0"/>
              <w:jc w:val="left"/>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r>
              <w:rPr>
                <w:rFonts w:hint="default" w:ascii="仿宋" w:hAnsi="仿宋" w:eastAsia="仿宋" w:cs="仿宋"/>
                <w:i w:val="0"/>
                <w:iCs w:val="0"/>
                <w:color w:val="000000"/>
                <w:kern w:val="0"/>
                <w:sz w:val="24"/>
                <w:szCs w:val="24"/>
                <w:u w:val="none"/>
                <w:lang w:val="en-US" w:eastAsia="zh-CN" w:bidi="ar"/>
              </w:rPr>
              <w:t>输入接口包括1路HDMI2.0+LOOP,2路HDMI1.3，1路USB3.0，支持选配1路3G-SDI（IN+LOOP），最大支持4096*2160@60</w:t>
            </w:r>
            <w:r>
              <w:rPr>
                <w:rFonts w:hint="eastAsia" w:ascii="仿宋" w:hAnsi="仿宋" w:eastAsia="仿宋" w:cs="仿宋"/>
                <w:i w:val="0"/>
                <w:iCs w:val="0"/>
                <w:color w:val="000000"/>
                <w:kern w:val="0"/>
                <w:sz w:val="24"/>
                <w:szCs w:val="24"/>
                <w:u w:val="none"/>
                <w:lang w:val="en-US" w:eastAsia="zh-CN" w:bidi="ar"/>
              </w:rPr>
              <w:t>Hz</w:t>
            </w:r>
            <w:r>
              <w:rPr>
                <w:rFonts w:hint="default" w:ascii="仿宋" w:hAnsi="仿宋" w:eastAsia="仿宋" w:cs="仿宋"/>
                <w:i w:val="0"/>
                <w:iCs w:val="0"/>
                <w:color w:val="000000"/>
                <w:kern w:val="0"/>
                <w:sz w:val="24"/>
                <w:szCs w:val="24"/>
                <w:u w:val="none"/>
                <w:lang w:val="en-US" w:eastAsia="zh-CN" w:bidi="ar"/>
              </w:rPr>
              <w:t>信号输入；</w:t>
            </w:r>
          </w:p>
          <w:p w14:paraId="5E0A8265">
            <w:pPr>
              <w:keepNext w:val="0"/>
              <w:keepLines w:val="0"/>
              <w:widowControl/>
              <w:suppressLineNumbers w:val="0"/>
              <w:jc w:val="left"/>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r>
              <w:rPr>
                <w:rFonts w:hint="default" w:ascii="仿宋" w:hAnsi="仿宋" w:eastAsia="仿宋" w:cs="仿宋"/>
                <w:i w:val="0"/>
                <w:iCs w:val="0"/>
                <w:color w:val="000000"/>
                <w:kern w:val="0"/>
                <w:sz w:val="24"/>
                <w:szCs w:val="24"/>
                <w:u w:val="none"/>
                <w:lang w:val="en-US" w:eastAsia="zh-CN" w:bidi="ar"/>
              </w:rPr>
              <w:t>视频输出支持6个千兆网口输出，1路10G-OPT光口，最大带载高达390万像素，最宽支持10240</w:t>
            </w:r>
            <w:r>
              <w:rPr>
                <w:rFonts w:hint="eastAsia" w:ascii="仿宋" w:hAnsi="仿宋" w:eastAsia="仿宋" w:cs="仿宋"/>
                <w:i w:val="0"/>
                <w:iCs w:val="0"/>
                <w:color w:val="000000"/>
                <w:kern w:val="0"/>
                <w:sz w:val="24"/>
                <w:szCs w:val="24"/>
                <w:u w:val="none"/>
                <w:lang w:val="en-US" w:eastAsia="zh-CN" w:bidi="ar"/>
              </w:rPr>
              <w:t>，</w:t>
            </w:r>
            <w:r>
              <w:rPr>
                <w:rFonts w:hint="default" w:ascii="仿宋" w:hAnsi="仿宋" w:eastAsia="仿宋" w:cs="仿宋"/>
                <w:i w:val="0"/>
                <w:iCs w:val="0"/>
                <w:color w:val="000000"/>
                <w:kern w:val="0"/>
                <w:sz w:val="24"/>
                <w:szCs w:val="24"/>
                <w:u w:val="none"/>
                <w:lang w:val="en-US" w:eastAsia="zh-CN" w:bidi="ar"/>
              </w:rPr>
              <w:t>最高8192。</w:t>
            </w:r>
          </w:p>
          <w:p w14:paraId="48DB111D">
            <w:pPr>
              <w:keepNext w:val="0"/>
              <w:keepLines w:val="0"/>
              <w:widowControl/>
              <w:suppressLineNumbers w:val="0"/>
              <w:jc w:val="left"/>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r>
              <w:rPr>
                <w:rFonts w:hint="default" w:ascii="仿宋" w:hAnsi="仿宋" w:eastAsia="仿宋" w:cs="仿宋"/>
                <w:i w:val="0"/>
                <w:iCs w:val="0"/>
                <w:color w:val="000000"/>
                <w:kern w:val="0"/>
                <w:sz w:val="24"/>
                <w:szCs w:val="24"/>
                <w:u w:val="none"/>
                <w:lang w:val="en-US" w:eastAsia="zh-CN" w:bidi="ar"/>
              </w:rPr>
              <w:t>最大可支持6个2K图层或1个4K图层+2个2K图层，全部图层大小和位置可单独调节</w:t>
            </w:r>
            <w:r>
              <w:rPr>
                <w:rFonts w:hint="eastAsia" w:ascii="仿宋" w:hAnsi="仿宋" w:eastAsia="仿宋" w:cs="仿宋"/>
                <w:i w:val="0"/>
                <w:iCs w:val="0"/>
                <w:color w:val="000000"/>
                <w:kern w:val="0"/>
                <w:sz w:val="24"/>
                <w:szCs w:val="24"/>
                <w:u w:val="none"/>
                <w:lang w:val="en-US" w:eastAsia="zh-CN" w:bidi="ar"/>
              </w:rPr>
              <w:t>，7×24 小时稳定运行；支持定时待机画面自动切换、底图循环播放；兼容性强，搭配各品牌 LED 接收卡无花屏。</w:t>
            </w:r>
            <w:r>
              <w:rPr>
                <w:rFonts w:hint="default" w:ascii="仿宋" w:hAnsi="仿宋" w:eastAsia="仿宋" w:cs="仿宋"/>
                <w:i w:val="0"/>
                <w:iCs w:val="0"/>
                <w:color w:val="000000"/>
                <w:kern w:val="0"/>
                <w:sz w:val="24"/>
                <w:szCs w:val="24"/>
                <w:u w:val="none"/>
                <w:lang w:val="en-US" w:eastAsia="zh-CN" w:bidi="ar"/>
              </w:rPr>
              <w:t>4K接口输入2K信号，按2K图层计算图层资源；</w:t>
            </w:r>
          </w:p>
          <w:p w14:paraId="7E0772DB">
            <w:pPr>
              <w:keepNext w:val="0"/>
              <w:keepLines w:val="0"/>
              <w:widowControl/>
              <w:suppressLineNumbers w:val="0"/>
              <w:jc w:val="left"/>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r>
              <w:rPr>
                <w:rFonts w:hint="default" w:ascii="仿宋" w:hAnsi="仿宋" w:eastAsia="仿宋" w:cs="仿宋"/>
                <w:i w:val="0"/>
                <w:iCs w:val="0"/>
                <w:color w:val="000000"/>
                <w:kern w:val="0"/>
                <w:sz w:val="24"/>
                <w:szCs w:val="24"/>
                <w:u w:val="none"/>
                <w:lang w:val="en-US" w:eastAsia="zh-CN" w:bidi="ar"/>
              </w:rPr>
              <w:t>集成发送卡和视频处理器功能，连线更少，设备集成度更高，稳定性兼容性大大提升。</w:t>
            </w:r>
          </w:p>
          <w:p w14:paraId="471CFA35">
            <w:pPr>
              <w:keepNext w:val="0"/>
              <w:keepLines w:val="0"/>
              <w:widowControl/>
              <w:suppressLineNumbers w:val="0"/>
              <w:jc w:val="left"/>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r>
              <w:rPr>
                <w:rFonts w:hint="default" w:ascii="仿宋" w:hAnsi="仿宋" w:eastAsia="仿宋" w:cs="仿宋"/>
                <w:i w:val="0"/>
                <w:iCs w:val="0"/>
                <w:color w:val="000000"/>
                <w:kern w:val="0"/>
                <w:sz w:val="24"/>
                <w:szCs w:val="24"/>
                <w:u w:val="none"/>
                <w:lang w:val="en-US" w:eastAsia="zh-CN" w:bidi="ar"/>
              </w:rPr>
              <w:t>支持U盘即插即播功能，最大支持4K级（3840*2160@60fps）图片和视频的流畅播放，播放列表及切换效果支持自定义编排，最多支持20余种图片切换特效；</w:t>
            </w:r>
          </w:p>
          <w:p w14:paraId="175CD4D5">
            <w:pPr>
              <w:keepNext w:val="0"/>
              <w:keepLines w:val="0"/>
              <w:widowControl/>
              <w:suppressLineNumbers w:val="0"/>
              <w:jc w:val="left"/>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w:t>
            </w:r>
            <w:r>
              <w:rPr>
                <w:rFonts w:hint="default" w:ascii="仿宋" w:hAnsi="仿宋" w:eastAsia="仿宋" w:cs="仿宋"/>
                <w:i w:val="0"/>
                <w:iCs w:val="0"/>
                <w:color w:val="000000"/>
                <w:kern w:val="0"/>
                <w:sz w:val="24"/>
                <w:szCs w:val="24"/>
                <w:u w:val="none"/>
                <w:lang w:val="en-US" w:eastAsia="zh-CN" w:bidi="ar"/>
              </w:rPr>
              <w:t>支持微信小程序快捷控制，平板快捷控制；</w:t>
            </w:r>
          </w:p>
          <w:p w14:paraId="59283A0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7.配套图像处理系统支持三种画面适配模式：原始比例居中（完整显示无拉伸）、等比裁切全屏、全屏拉伸，会议文档、远程视频默认采用原始比例居中输出。</w:t>
            </w:r>
          </w:p>
        </w:tc>
        <w:tc>
          <w:tcPr>
            <w:tcW w:w="546" w:type="dxa"/>
            <w:tcBorders>
              <w:top w:val="single" w:color="000000" w:sz="4" w:space="0"/>
              <w:left w:val="single" w:color="000000" w:sz="4" w:space="0"/>
              <w:bottom w:val="single" w:color="000000" w:sz="4" w:space="0"/>
              <w:right w:val="single" w:color="000000" w:sz="4" w:space="0"/>
            </w:tcBorders>
            <w:noWrap w:val="0"/>
            <w:vAlign w:val="center"/>
          </w:tcPr>
          <w:p w14:paraId="2E9E8C05">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olor w:val="000000"/>
                <w:sz w:val="24"/>
                <w:szCs w:val="24"/>
                <w:lang w:val="en-US" w:eastAsia="zh-CN"/>
              </w:rPr>
              <w:t>1</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0C81F18A">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olor w:val="000000"/>
                <w:sz w:val="24"/>
                <w:szCs w:val="24"/>
              </w:rPr>
              <w:t>台</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CB0A1F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卡莱特、诺瓦星云、唯奥视讯</w:t>
            </w:r>
          </w:p>
        </w:tc>
      </w:tr>
      <w:tr w14:paraId="55DE36F0">
        <w:tblPrEx>
          <w:tblCellMar>
            <w:top w:w="0" w:type="dxa"/>
            <w:left w:w="108" w:type="dxa"/>
            <w:bottom w:w="0" w:type="dxa"/>
            <w:right w:w="108" w:type="dxa"/>
          </w:tblCellMar>
        </w:tblPrEx>
        <w:trPr>
          <w:trHeight w:val="529" w:hRule="atLeast"/>
          <w:jc w:val="center"/>
        </w:trPr>
        <w:tc>
          <w:tcPr>
            <w:tcW w:w="668" w:type="dxa"/>
            <w:tcBorders>
              <w:top w:val="single" w:color="000000" w:sz="4" w:space="0"/>
              <w:left w:val="single" w:color="000000" w:sz="4" w:space="0"/>
              <w:bottom w:val="single" w:color="000000" w:sz="4" w:space="0"/>
              <w:right w:val="single" w:color="000000" w:sz="4" w:space="0"/>
            </w:tcBorders>
            <w:noWrap/>
            <w:vAlign w:val="center"/>
          </w:tcPr>
          <w:p w14:paraId="400173C4">
            <w:pPr>
              <w:keepNext w:val="0"/>
              <w:keepLines w:val="0"/>
              <w:pageBreakBefore w:val="0"/>
              <w:widowControl/>
              <w:numPr>
                <w:ilvl w:val="0"/>
                <w:numId w:val="0"/>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r>
              <w:rPr>
                <w:rFonts w:hint="eastAsia" w:ascii="仿宋" w:hAnsi="仿宋" w:eastAsia="仿宋" w:cs="仿宋"/>
                <w:i w:val="0"/>
                <w:iCs w:val="0"/>
                <w:strike w:val="0"/>
                <w:dstrike w:val="0"/>
                <w:color w:val="000000"/>
                <w:kern w:val="0"/>
                <w:sz w:val="24"/>
                <w:szCs w:val="24"/>
                <w:lang w:val="en-US" w:eastAsia="zh-CN" w:bidi="ar"/>
              </w:rPr>
              <w:t>8</w:t>
            </w:r>
          </w:p>
        </w:tc>
        <w:tc>
          <w:tcPr>
            <w:tcW w:w="1636" w:type="dxa"/>
            <w:tcBorders>
              <w:top w:val="single" w:color="000000" w:sz="4" w:space="0"/>
              <w:left w:val="single" w:color="000000" w:sz="4" w:space="0"/>
              <w:bottom w:val="single" w:color="000000" w:sz="4" w:space="0"/>
              <w:right w:val="single" w:color="000000" w:sz="4" w:space="0"/>
            </w:tcBorders>
            <w:noWrap/>
            <w:vAlign w:val="center"/>
          </w:tcPr>
          <w:p w14:paraId="409E7B48">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olor w:val="000000"/>
                <w:sz w:val="24"/>
                <w:szCs w:val="24"/>
              </w:rPr>
              <w:t>多媒体播控终端</w:t>
            </w:r>
          </w:p>
        </w:tc>
        <w:tc>
          <w:tcPr>
            <w:tcW w:w="4679" w:type="dxa"/>
            <w:tcBorders>
              <w:top w:val="single" w:color="000000" w:sz="4" w:space="0"/>
              <w:left w:val="single" w:color="000000" w:sz="4" w:space="0"/>
              <w:bottom w:val="single" w:color="000000" w:sz="4" w:space="0"/>
              <w:right w:val="single" w:color="000000" w:sz="4" w:space="0"/>
            </w:tcBorders>
            <w:noWrap w:val="0"/>
            <w:vAlign w:val="center"/>
          </w:tcPr>
          <w:p w14:paraId="385CE91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default" w:ascii="仿宋" w:hAnsi="仿宋" w:eastAsia="仿宋" w:cs="仿宋"/>
                <w:i w:val="0"/>
                <w:iCs w:val="0"/>
                <w:color w:val="000000"/>
                <w:kern w:val="0"/>
                <w:sz w:val="24"/>
                <w:szCs w:val="24"/>
                <w:u w:val="none"/>
                <w:lang w:val="en-US" w:eastAsia="zh-CN" w:bidi="ar"/>
              </w:rPr>
              <w:t>10核16线程/16GB内存/256G NVMe SSD/Quadro RTX A2000 12G显卡/500W电源/塔式机箱；具备有线和无线投屏功能。</w:t>
            </w:r>
          </w:p>
        </w:tc>
        <w:tc>
          <w:tcPr>
            <w:tcW w:w="546" w:type="dxa"/>
            <w:tcBorders>
              <w:top w:val="single" w:color="000000" w:sz="4" w:space="0"/>
              <w:left w:val="single" w:color="000000" w:sz="4" w:space="0"/>
              <w:bottom w:val="single" w:color="000000" w:sz="4" w:space="0"/>
              <w:right w:val="single" w:color="000000" w:sz="4" w:space="0"/>
            </w:tcBorders>
            <w:noWrap w:val="0"/>
            <w:vAlign w:val="center"/>
          </w:tcPr>
          <w:p w14:paraId="4038784B">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olor w:val="000000"/>
                <w:sz w:val="24"/>
                <w:szCs w:val="24"/>
                <w:lang w:val="en-US" w:eastAsia="zh-CN"/>
              </w:rPr>
              <w:t>1</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4DFF8FA8">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olor w:val="000000"/>
                <w:sz w:val="24"/>
                <w:szCs w:val="24"/>
              </w:rPr>
              <w:t>台</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D3A9E3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联想、DELL、HP</w:t>
            </w:r>
          </w:p>
        </w:tc>
      </w:tr>
      <w:tr w14:paraId="2564DE61">
        <w:tblPrEx>
          <w:tblCellMar>
            <w:top w:w="0" w:type="dxa"/>
            <w:left w:w="108" w:type="dxa"/>
            <w:bottom w:w="0" w:type="dxa"/>
            <w:right w:w="108" w:type="dxa"/>
          </w:tblCellMar>
        </w:tblPrEx>
        <w:trPr>
          <w:trHeight w:val="529" w:hRule="atLeast"/>
          <w:jc w:val="center"/>
        </w:trPr>
        <w:tc>
          <w:tcPr>
            <w:tcW w:w="336" w:type="pct"/>
            <w:tcBorders>
              <w:top w:val="single" w:color="000000" w:sz="4" w:space="0"/>
              <w:left w:val="single" w:color="000000" w:sz="4" w:space="0"/>
              <w:bottom w:val="single" w:color="000000" w:sz="4" w:space="0"/>
              <w:right w:val="single" w:color="000000" w:sz="4" w:space="0"/>
            </w:tcBorders>
            <w:noWrap/>
            <w:vAlign w:val="center"/>
          </w:tcPr>
          <w:p w14:paraId="3A840831">
            <w:pPr>
              <w:keepNext w:val="0"/>
              <w:keepLines w:val="0"/>
              <w:pageBreakBefore w:val="0"/>
              <w:widowControl/>
              <w:numPr>
                <w:ilvl w:val="0"/>
                <w:numId w:val="0"/>
              </w:numPr>
              <w:suppressLineNumbers w:val="0"/>
              <w:kinsoku/>
              <w:wordWrap/>
              <w:overflowPunct/>
              <w:topLinePunct w:val="0"/>
              <w:autoSpaceDE/>
              <w:autoSpaceDN/>
              <w:bidi w:val="0"/>
              <w:adjustRightInd/>
              <w:snapToGrid/>
              <w:ind w:left="0" w:leftChars="0" w:firstLine="0" w:firstLineChars="0"/>
              <w:jc w:val="center"/>
              <w:textAlignment w:val="center"/>
              <w:rPr>
                <w:rFonts w:hint="default" w:ascii="仿宋" w:hAnsi="仿宋" w:eastAsia="仿宋" w:cs="仿宋"/>
                <w:i w:val="0"/>
                <w:iCs w:val="0"/>
                <w:strike w:val="0"/>
                <w:dstrike w:val="0"/>
                <w:color w:val="000000"/>
                <w:kern w:val="0"/>
                <w:sz w:val="24"/>
                <w:szCs w:val="24"/>
                <w:lang w:val="en-US" w:eastAsia="zh-CN" w:bidi="ar"/>
              </w:rPr>
            </w:pPr>
            <w:r>
              <w:rPr>
                <w:rFonts w:hint="eastAsia" w:ascii="仿宋" w:hAnsi="仿宋" w:eastAsia="仿宋" w:cs="仿宋"/>
                <w:i w:val="0"/>
                <w:iCs w:val="0"/>
                <w:strike w:val="0"/>
                <w:dstrike w:val="0"/>
                <w:color w:val="000000"/>
                <w:kern w:val="0"/>
                <w:sz w:val="24"/>
                <w:szCs w:val="24"/>
                <w:lang w:val="en-US" w:eastAsia="zh-CN" w:bidi="ar"/>
              </w:rPr>
              <w:t>备注</w:t>
            </w:r>
          </w:p>
        </w:tc>
        <w:tc>
          <w:tcPr>
            <w:tcW w:w="4663" w:type="pct"/>
            <w:gridSpan w:val="5"/>
            <w:tcBorders>
              <w:top w:val="single" w:color="000000" w:sz="4" w:space="0"/>
              <w:left w:val="single" w:color="000000" w:sz="4" w:space="0"/>
              <w:bottom w:val="single" w:color="000000" w:sz="4" w:space="0"/>
              <w:right w:val="single" w:color="000000" w:sz="4" w:space="0"/>
            </w:tcBorders>
            <w:noWrap/>
            <w:vAlign w:val="center"/>
          </w:tcPr>
          <w:p w14:paraId="77CD6460">
            <w:pPr>
              <w:keepNext w:val="0"/>
              <w:keepLines w:val="0"/>
              <w:pageBreakBefore w:val="0"/>
              <w:kinsoku/>
              <w:wordWrap/>
              <w:overflowPunct/>
              <w:topLinePunct w:val="0"/>
              <w:autoSpaceDE/>
              <w:autoSpaceDN/>
              <w:bidi w:val="0"/>
              <w:adjustRightInd/>
              <w:snapToGrid/>
              <w:ind w:left="0"/>
              <w:jc w:val="left"/>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本项目采用固定总价包干模式，报价须涵盖设备、辅材、布线、运输、安装调试、保险及质保售后等完成本项目所需的一切费用。“P1.5LED”及“LED钢结构框架”数量为暂估量，最终结算面积上限为7平方米，若实际施工面积超过7平方米，超出部分视为供货方让利，采购人不予追加任何费用。供货方须自行踏勘现场并精确测量，将拆除、开孔、复原修复及墙体加固等全部工作量纳入报价，最终报价视为已包含全部现场风险，结算时不作调整且不得以现场情况不明为由追加费用；报价须包含LED显示屏整屏面积3%的备用模组，于验收时随设备无偿移交采购人留存用于后期维修更换，不再另行支付费用；所有电源线、信号线须优先暗敷严禁裸露明挂，因安装产生的墙面孔洞、开槽破损及墙体加固造成的破坏均由供货方负责修补复原；项目竣工验收除设备功能达标外，建筑装饰复原完好、无施工破损痕迹方可视为验收合格。</w:t>
            </w:r>
          </w:p>
        </w:tc>
      </w:tr>
    </w:tbl>
    <w:p w14:paraId="1CE39AFE">
      <w:pPr>
        <w:rPr>
          <w:rFonts w:hint="eastAsia"/>
        </w:rPr>
      </w:pPr>
    </w:p>
    <w:p w14:paraId="40626104">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highlight w:val="none"/>
          <w:lang w:val="en-US" w:eastAsia="zh-CN" w:bidi="ar-SA"/>
        </w:rPr>
        <w:t>3.工作量</w:t>
      </w:r>
      <w:r>
        <w:rPr>
          <w:rFonts w:hint="eastAsia" w:ascii="仿宋" w:hAnsi="仿宋" w:eastAsia="仿宋" w:cs="仿宋"/>
          <w:kern w:val="2"/>
          <w:sz w:val="30"/>
          <w:szCs w:val="30"/>
          <w:lang w:val="en-US" w:eastAsia="zh-CN" w:bidi="ar-SA"/>
        </w:rPr>
        <w:t>：</w:t>
      </w:r>
    </w:p>
    <w:p w14:paraId="6ECE06CA">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（1）二楼会议室： 拆除原有投影设备，安装P1.5室内全彩LED显示屏及配套播控系统；原有音响设备利旧，需与新播控系统实现无缝对接，并接入话筒，最终调试至音质清晰、无杂音，确保音视频系统整体正常运行。</w:t>
      </w:r>
    </w:p>
    <w:p w14:paraId="41BA89FC">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（2）三楼会议室： 拆除原有投影设备，安装100英寸商用智能液晶电视。</w:t>
      </w:r>
    </w:p>
    <w:p w14:paraId="16DD5E23">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（3）通用设备： 采购并配置20套7.4英寸双面墨水屏电子桌牌。</w:t>
      </w:r>
    </w:p>
    <w:p w14:paraId="5A225AF9">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（4）系统集成： 完成所有设备的综合布线、系统联调及操作培训。</w:t>
      </w:r>
    </w:p>
    <w:p w14:paraId="290711D5">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（5）场文明施工与成品保护要求：</w:t>
      </w:r>
    </w:p>
    <w:p w14:paraId="67F1E334">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①原有旧投影仪、幕布拆除后，须对顶面、墙面遗留的孔洞及破损进行填补、找平、刷漆，修复效果须与周边饰面协调一致。</w:t>
      </w:r>
    </w:p>
    <w:p w14:paraId="65144205">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②二楼LED屏安装过程中对原有成品背景墙裁切开孔造成的破损，施工方须负责复原修复。</w:t>
      </w:r>
    </w:p>
    <w:p w14:paraId="0EA6B7FE">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③地面布线掀开的地毯，施工完毕后须复位铺平，确保无起翘、无褶皱。</w:t>
      </w:r>
    </w:p>
    <w:p w14:paraId="3DBB0E24">
      <w:pPr>
        <w:pStyle w:val="12"/>
        <w:numPr>
          <w:ilvl w:val="0"/>
          <w:numId w:val="0"/>
        </w:numPr>
        <w:snapToGrid/>
        <w:spacing w:line="360" w:lineRule="auto"/>
        <w:ind w:firstLine="600" w:firstLineChars="200"/>
        <w:rPr>
          <w:rFonts w:hint="eastAsia" w:ascii="仿宋" w:hAnsi="仿宋" w:eastAsia="仿宋" w:cs="仿宋"/>
          <w:sz w:val="30"/>
          <w:szCs w:val="30"/>
          <w:lang w:val="en-US" w:eastAsia="zh-CN"/>
        </w:rPr>
      </w:pPr>
      <w:r>
        <w:rPr>
          <w:rFonts w:hint="eastAsia" w:ascii="仿宋" w:hAnsi="仿宋" w:eastAsia="仿宋" w:cs="仿宋"/>
          <w:kern w:val="2"/>
          <w:sz w:val="30"/>
          <w:szCs w:val="30"/>
          <w:lang w:val="en-US" w:eastAsia="zh-CN" w:bidi="ar-SA"/>
        </w:rPr>
        <w:t>4.</w:t>
      </w:r>
      <w:r>
        <w:rPr>
          <w:rFonts w:hint="eastAsia" w:ascii="仿宋" w:hAnsi="仿宋" w:eastAsia="仿宋" w:cs="仿宋"/>
          <w:sz w:val="30"/>
          <w:szCs w:val="30"/>
          <w:lang w:val="en-US" w:eastAsia="zh-CN"/>
        </w:rPr>
        <w:t>其他要求：供货方进场人员必须购买保额不低于100万元的意外伤害保险，并提供进场人员名单及保单复印件。供货方需自行承担施工期间发生的一切安全事故责任与相关费用，采购人不承担任何连带责任。供货方需现场测量二楼会议室墙面尺寸、三楼承重，提供简要的施工组织设计方案。</w:t>
      </w:r>
    </w:p>
    <w:p w14:paraId="3FA66A24">
      <w:pPr>
        <w:pStyle w:val="12"/>
        <w:numPr>
          <w:ilvl w:val="0"/>
          <w:numId w:val="0"/>
        </w:numPr>
        <w:snapToGrid/>
        <w:spacing w:line="360" w:lineRule="auto"/>
        <w:ind w:firstLine="600" w:firstLineChars="200"/>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5.质保要求：服务方须提供项目所在地的本地上门质保服务，在质保期内提供包含人工、配件及差旅等费用的全免费上门维修。</w:t>
      </w:r>
    </w:p>
    <w:p w14:paraId="2DF3CD19">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6.</w:t>
      </w:r>
      <w:r>
        <w:rPr>
          <w:rFonts w:hint="eastAsia" w:ascii="仿宋" w:hAnsi="仿宋" w:eastAsia="仿宋" w:cs="仿宋"/>
          <w:sz w:val="30"/>
          <w:szCs w:val="30"/>
        </w:rPr>
        <w:t>本项目总金额限价为</w:t>
      </w:r>
      <w:r>
        <w:rPr>
          <w:rFonts w:hint="eastAsia" w:ascii="仿宋" w:hAnsi="仿宋" w:eastAsia="仿宋" w:cs="仿宋"/>
          <w:sz w:val="30"/>
          <w:szCs w:val="30"/>
          <w:lang w:eastAsia="zh-CN"/>
        </w:rPr>
        <w:t>人民币15.4</w:t>
      </w:r>
      <w:r>
        <w:rPr>
          <w:rFonts w:hint="eastAsia" w:ascii="仿宋" w:hAnsi="仿宋" w:eastAsia="仿宋" w:cs="仿宋"/>
          <w:sz w:val="30"/>
          <w:szCs w:val="30"/>
          <w:lang w:val="en-US" w:eastAsia="zh-CN"/>
        </w:rPr>
        <w:t>万</w:t>
      </w:r>
      <w:r>
        <w:rPr>
          <w:rFonts w:hint="eastAsia" w:ascii="仿宋" w:hAnsi="仿宋" w:eastAsia="仿宋" w:cs="仿宋"/>
          <w:sz w:val="30"/>
          <w:szCs w:val="30"/>
        </w:rPr>
        <w:t>元</w:t>
      </w:r>
      <w:r>
        <w:rPr>
          <w:rFonts w:hint="eastAsia" w:ascii="仿宋" w:hAnsi="仿宋" w:eastAsia="仿宋" w:cs="仿宋"/>
          <w:sz w:val="30"/>
          <w:szCs w:val="30"/>
          <w:lang w:eastAsia="zh-CN"/>
        </w:rPr>
        <w:t>。</w:t>
      </w:r>
    </w:p>
    <w:p w14:paraId="1437BFE6">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b/>
          <w:bCs/>
          <w:sz w:val="30"/>
          <w:szCs w:val="30"/>
          <w:lang w:eastAsia="zh-CN"/>
        </w:rPr>
      </w:pPr>
      <w:r>
        <w:rPr>
          <w:rFonts w:hint="eastAsia" w:ascii="仿宋_GB2312" w:eastAsia="仿宋_GB2312"/>
          <w:b/>
          <w:bCs/>
          <w:sz w:val="30"/>
          <w:szCs w:val="30"/>
          <w:lang w:eastAsia="zh-CN"/>
        </w:rPr>
        <w:t>二、报价人要求。</w:t>
      </w:r>
    </w:p>
    <w:p w14:paraId="3FB63692">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val="en-US" w:eastAsia="zh-CN"/>
        </w:rPr>
        <w:t>1.报价人必须是在中华人民共和国境内注册，具有独立法人资格和独立承担民事责任的能力；投标人经营范围须包含相关资质。</w:t>
      </w:r>
    </w:p>
    <w:p w14:paraId="00BDC825">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2.</w:t>
      </w:r>
      <w:r>
        <w:rPr>
          <w:rFonts w:hint="eastAsia" w:ascii="仿宋" w:hAnsi="仿宋" w:eastAsia="仿宋" w:cs="仿宋"/>
          <w:sz w:val="30"/>
          <w:szCs w:val="30"/>
          <w:lang w:eastAsia="zh-CN"/>
        </w:rPr>
        <w:t>报价人</w:t>
      </w:r>
      <w:r>
        <w:rPr>
          <w:rFonts w:hint="eastAsia" w:ascii="仿宋" w:hAnsi="仿宋" w:eastAsia="仿宋" w:cs="仿宋"/>
          <w:sz w:val="30"/>
          <w:szCs w:val="30"/>
        </w:rPr>
        <w:t>在“信用中国”（www.creditchina.gov.cn）、中国政府采购网（www.ccgp.gov.cn）等</w:t>
      </w:r>
      <w:r>
        <w:rPr>
          <w:rFonts w:hint="eastAsia" w:ascii="仿宋" w:hAnsi="仿宋" w:eastAsia="仿宋" w:cs="仿宋"/>
          <w:sz w:val="30"/>
          <w:szCs w:val="30"/>
          <w:lang w:eastAsia="zh-CN"/>
        </w:rPr>
        <w:t>其他</w:t>
      </w:r>
      <w:r>
        <w:rPr>
          <w:rFonts w:hint="eastAsia" w:ascii="仿宋" w:hAnsi="仿宋" w:eastAsia="仿宋" w:cs="仿宋"/>
          <w:sz w:val="30"/>
          <w:szCs w:val="30"/>
        </w:rPr>
        <w:t>官方网站没有被列入失信被执行人、重大税收违法案件当事人名单、政府采购严重违法失信行为记录名单、有责合同纠纷、重点关注名单、黑名单等不良记录；</w:t>
      </w:r>
    </w:p>
    <w:p w14:paraId="74C0370C">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3.报价单位负责人为同一人或者存在控股、管理关系的不同单位，不得同时参加本项目。</w:t>
      </w:r>
    </w:p>
    <w:p w14:paraId="2BF32589">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4.本项目不接受联合体报价，不接受分包。</w:t>
      </w:r>
    </w:p>
    <w:p w14:paraId="31202C61">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b/>
          <w:bCs/>
          <w:sz w:val="30"/>
          <w:szCs w:val="30"/>
        </w:rPr>
      </w:pPr>
      <w:bookmarkStart w:id="7" w:name="_Toc530583923"/>
      <w:bookmarkStart w:id="8" w:name="_Toc530583880"/>
      <w:r>
        <w:rPr>
          <w:rFonts w:hint="eastAsia" w:ascii="仿宋_GB2312" w:eastAsia="仿宋_GB2312"/>
          <w:b/>
          <w:bCs/>
          <w:sz w:val="30"/>
          <w:szCs w:val="30"/>
          <w:lang w:eastAsia="zh-CN"/>
        </w:rPr>
        <w:t>三</w:t>
      </w:r>
      <w:r>
        <w:rPr>
          <w:rFonts w:hint="eastAsia" w:ascii="仿宋_GB2312" w:eastAsia="仿宋_GB2312"/>
          <w:b/>
          <w:bCs/>
          <w:sz w:val="30"/>
          <w:szCs w:val="30"/>
        </w:rPr>
        <w:t>、</w:t>
      </w:r>
      <w:r>
        <w:rPr>
          <w:rFonts w:hint="eastAsia" w:ascii="仿宋_GB2312" w:eastAsia="仿宋_GB2312"/>
          <w:b/>
          <w:bCs/>
          <w:sz w:val="30"/>
          <w:szCs w:val="30"/>
          <w:lang w:eastAsia="zh-CN"/>
        </w:rPr>
        <w:t>开标</w:t>
      </w:r>
      <w:r>
        <w:rPr>
          <w:rFonts w:hint="eastAsia" w:ascii="仿宋_GB2312" w:eastAsia="仿宋_GB2312"/>
          <w:b/>
          <w:bCs/>
          <w:sz w:val="30"/>
          <w:szCs w:val="30"/>
        </w:rPr>
        <w:t>时间及递交方式。</w:t>
      </w:r>
    </w:p>
    <w:p w14:paraId="0AA8C9E1">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rPr>
        <w:t>1.</w:t>
      </w:r>
      <w:r>
        <w:rPr>
          <w:rFonts w:hint="eastAsia" w:ascii="仿宋_GB2312" w:eastAsia="仿宋_GB2312"/>
          <w:sz w:val="30"/>
          <w:szCs w:val="30"/>
          <w:lang w:eastAsia="zh-CN"/>
        </w:rPr>
        <w:t>开标</w:t>
      </w:r>
      <w:r>
        <w:rPr>
          <w:rFonts w:hint="eastAsia" w:ascii="仿宋_GB2312" w:eastAsia="仿宋_GB2312"/>
          <w:sz w:val="30"/>
          <w:szCs w:val="30"/>
        </w:rPr>
        <w:t>时间：202</w:t>
      </w:r>
      <w:r>
        <w:rPr>
          <w:rFonts w:hint="eastAsia" w:ascii="仿宋_GB2312" w:eastAsia="仿宋_GB2312"/>
          <w:sz w:val="30"/>
          <w:szCs w:val="30"/>
          <w:lang w:val="en-US" w:eastAsia="zh-CN"/>
        </w:rPr>
        <w:t>6</w:t>
      </w:r>
      <w:r>
        <w:rPr>
          <w:rFonts w:hint="eastAsia" w:ascii="仿宋_GB2312" w:eastAsia="仿宋_GB2312"/>
          <w:sz w:val="30"/>
          <w:szCs w:val="30"/>
        </w:rPr>
        <w:t>年</w:t>
      </w:r>
      <w:r>
        <w:rPr>
          <w:rFonts w:hint="eastAsia" w:ascii="仿宋_GB2312" w:eastAsia="仿宋_GB2312"/>
          <w:sz w:val="30"/>
          <w:szCs w:val="30"/>
          <w:lang w:val="en-US" w:eastAsia="zh-CN"/>
        </w:rPr>
        <w:t>8月20</w:t>
      </w:r>
      <w:r>
        <w:rPr>
          <w:rFonts w:hint="eastAsia" w:ascii="仿宋_GB2312" w:eastAsia="仿宋_GB2312"/>
          <w:sz w:val="30"/>
          <w:szCs w:val="30"/>
        </w:rPr>
        <w:t>日。</w:t>
      </w:r>
    </w:p>
    <w:p w14:paraId="413918B7">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rPr>
        <w:t>2.</w:t>
      </w:r>
      <w:r>
        <w:rPr>
          <w:rFonts w:hint="eastAsia" w:ascii="仿宋_GB2312" w:eastAsia="仿宋_GB2312"/>
          <w:sz w:val="30"/>
          <w:szCs w:val="30"/>
          <w:lang w:eastAsia="zh-CN"/>
        </w:rPr>
        <w:t>开标</w:t>
      </w:r>
      <w:r>
        <w:rPr>
          <w:rFonts w:hint="eastAsia" w:ascii="仿宋_GB2312" w:eastAsia="仿宋_GB2312"/>
          <w:sz w:val="30"/>
          <w:szCs w:val="30"/>
        </w:rPr>
        <w:t>地点：</w:t>
      </w:r>
      <w:r>
        <w:rPr>
          <w:rFonts w:hint="eastAsia" w:ascii="仿宋_GB2312" w:eastAsia="仿宋_GB2312"/>
          <w:sz w:val="30"/>
          <w:szCs w:val="30"/>
          <w:lang w:eastAsia="zh-CN"/>
        </w:rPr>
        <w:t>浙江省绍兴市柯桥区钱滨线二线海塘绍兴市再生能源发展有限公司。</w:t>
      </w:r>
    </w:p>
    <w:p w14:paraId="00939C8F">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rPr>
        <w:t>3.报价文件的递交：</w:t>
      </w:r>
    </w:p>
    <w:p w14:paraId="33FF4D88">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default" w:ascii="仿宋_GB2312" w:eastAsia="仿宋_GB2312"/>
          <w:b/>
          <w:bCs/>
          <w:sz w:val="30"/>
          <w:szCs w:val="30"/>
          <w:lang w:val="en-US" w:eastAsia="zh-CN"/>
        </w:rPr>
      </w:pPr>
      <w:r>
        <w:rPr>
          <w:rFonts w:hint="eastAsia" w:ascii="仿宋_GB2312" w:eastAsia="仿宋_GB2312"/>
          <w:sz w:val="30"/>
          <w:szCs w:val="30"/>
          <w:lang w:eastAsia="zh-CN"/>
        </w:rPr>
        <w:t>（</w:t>
      </w:r>
      <w:r>
        <w:rPr>
          <w:rFonts w:hint="eastAsia" w:ascii="仿宋_GB2312" w:eastAsia="仿宋_GB2312"/>
          <w:sz w:val="30"/>
          <w:szCs w:val="30"/>
          <w:lang w:val="en-US" w:eastAsia="zh-CN"/>
        </w:rPr>
        <w:t>1</w:t>
      </w:r>
      <w:r>
        <w:rPr>
          <w:rFonts w:hint="eastAsia" w:ascii="仿宋_GB2312" w:eastAsia="仿宋_GB2312"/>
          <w:sz w:val="30"/>
          <w:szCs w:val="30"/>
          <w:lang w:eastAsia="zh-CN"/>
        </w:rPr>
        <w:t>）本次询价开标采用线</w:t>
      </w:r>
      <w:r>
        <w:rPr>
          <w:rFonts w:hint="eastAsia" w:ascii="仿宋_GB2312" w:eastAsia="仿宋_GB2312"/>
          <w:sz w:val="30"/>
          <w:szCs w:val="30"/>
          <w:lang w:val="en-US" w:eastAsia="zh-CN"/>
        </w:rPr>
        <w:t>下开标</w:t>
      </w:r>
      <w:r>
        <w:rPr>
          <w:rFonts w:hint="eastAsia" w:ascii="仿宋_GB2312" w:eastAsia="仿宋_GB2312"/>
          <w:sz w:val="30"/>
          <w:szCs w:val="30"/>
          <w:lang w:eastAsia="zh-CN"/>
        </w:rPr>
        <w:t>方式，报价人需在开标时间前将报价文件递交至绍兴市再生能源发展有限公司综合楼一楼投标箱。报价人可</w:t>
      </w:r>
      <w:r>
        <w:rPr>
          <w:rFonts w:hint="eastAsia" w:ascii="仿宋_GB2312" w:eastAsia="仿宋_GB2312"/>
          <w:sz w:val="30"/>
          <w:szCs w:val="30"/>
        </w:rPr>
        <w:t>现场提交</w:t>
      </w:r>
      <w:r>
        <w:rPr>
          <w:rFonts w:hint="eastAsia" w:ascii="仿宋_GB2312" w:eastAsia="仿宋_GB2312"/>
          <w:sz w:val="30"/>
          <w:szCs w:val="30"/>
          <w:lang w:eastAsia="zh-CN"/>
        </w:rPr>
        <w:t>报价</w:t>
      </w:r>
      <w:r>
        <w:rPr>
          <w:rFonts w:hint="eastAsia" w:ascii="仿宋_GB2312" w:eastAsia="仿宋_GB2312"/>
          <w:sz w:val="30"/>
          <w:szCs w:val="30"/>
        </w:rPr>
        <w:t>文件</w:t>
      </w:r>
      <w:r>
        <w:rPr>
          <w:rFonts w:hint="eastAsia" w:ascii="仿宋_GB2312" w:eastAsia="仿宋_GB2312"/>
          <w:sz w:val="30"/>
          <w:szCs w:val="30"/>
          <w:lang w:eastAsia="zh-CN"/>
        </w:rPr>
        <w:t>，也可以通过邮寄（快递）递交报价文件，</w:t>
      </w:r>
      <w:r>
        <w:rPr>
          <w:rFonts w:hint="eastAsia" w:ascii="仿宋" w:hAnsi="仿宋" w:eastAsia="仿宋" w:cs="仿宋"/>
          <w:color w:val="auto"/>
          <w:sz w:val="30"/>
          <w:szCs w:val="30"/>
          <w:highlight w:val="none"/>
          <w:lang w:eastAsia="zh-CN"/>
        </w:rPr>
        <w:t>报价人在报价文件寄出后，应将邮寄信息及时反馈给采购人收件人。</w:t>
      </w:r>
    </w:p>
    <w:p w14:paraId="2F8A8478">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default" w:ascii="仿宋_GB2312" w:eastAsia="仿宋_GB2312"/>
          <w:sz w:val="30"/>
          <w:szCs w:val="30"/>
          <w:lang w:val="en-US" w:eastAsia="zh-CN"/>
        </w:rPr>
      </w:pPr>
      <w:r>
        <w:rPr>
          <w:rFonts w:hint="eastAsia" w:ascii="仿宋_GB2312" w:eastAsia="仿宋_GB2312"/>
          <w:sz w:val="30"/>
          <w:szCs w:val="30"/>
          <w:lang w:eastAsia="zh-CN"/>
        </w:rPr>
        <w:t>（</w:t>
      </w:r>
      <w:r>
        <w:rPr>
          <w:rFonts w:hint="eastAsia" w:ascii="仿宋_GB2312" w:eastAsia="仿宋_GB2312"/>
          <w:sz w:val="30"/>
          <w:szCs w:val="30"/>
          <w:lang w:val="en-US" w:eastAsia="zh-CN"/>
        </w:rPr>
        <w:t>2</w:t>
      </w:r>
      <w:r>
        <w:rPr>
          <w:rFonts w:hint="eastAsia" w:ascii="仿宋_GB2312" w:eastAsia="仿宋_GB2312"/>
          <w:sz w:val="30"/>
          <w:szCs w:val="30"/>
          <w:lang w:eastAsia="zh-CN"/>
        </w:rPr>
        <w:t>）</w:t>
      </w:r>
      <w:r>
        <w:rPr>
          <w:rFonts w:hint="eastAsia" w:ascii="仿宋_GB2312" w:eastAsia="仿宋_GB2312"/>
          <w:sz w:val="30"/>
          <w:szCs w:val="30"/>
        </w:rPr>
        <w:t>邮寄地址：</w:t>
      </w:r>
      <w:r>
        <w:rPr>
          <w:rFonts w:hint="eastAsia" w:ascii="仿宋_GB2312" w:eastAsia="仿宋_GB2312"/>
          <w:sz w:val="30"/>
          <w:szCs w:val="30"/>
          <w:lang w:eastAsia="zh-CN"/>
        </w:rPr>
        <w:t>浙江省绍兴市柯桥区钱滨线二线海塘绍兴市再生能源发展有限公司</w:t>
      </w:r>
      <w:r>
        <w:rPr>
          <w:rFonts w:hint="eastAsia" w:ascii="仿宋_GB2312" w:eastAsia="仿宋_GB2312"/>
          <w:sz w:val="30"/>
          <w:szCs w:val="30"/>
        </w:rPr>
        <w:t>  </w:t>
      </w:r>
      <w:r>
        <w:rPr>
          <w:rFonts w:hint="eastAsia" w:ascii="仿宋_GB2312" w:eastAsia="仿宋_GB2312"/>
          <w:sz w:val="30"/>
          <w:szCs w:val="30"/>
          <w:lang w:eastAsia="zh-CN"/>
        </w:rPr>
        <w:t xml:space="preserve"> 采购供应部 </w:t>
      </w:r>
      <w:r>
        <w:rPr>
          <w:rFonts w:hint="eastAsia" w:ascii="仿宋_GB2312" w:eastAsia="仿宋_GB2312"/>
          <w:sz w:val="30"/>
          <w:szCs w:val="30"/>
          <w:lang w:val="en-US" w:eastAsia="zh-CN"/>
        </w:rPr>
        <w:t>0575-85791916</w:t>
      </w:r>
    </w:p>
    <w:p w14:paraId="3A7894CC">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lang w:eastAsia="zh-CN"/>
        </w:rPr>
        <w:t>（</w:t>
      </w:r>
      <w:r>
        <w:rPr>
          <w:rFonts w:hint="eastAsia" w:ascii="仿宋_GB2312" w:eastAsia="仿宋_GB2312"/>
          <w:sz w:val="30"/>
          <w:szCs w:val="30"/>
          <w:lang w:val="en-US" w:eastAsia="zh-CN"/>
        </w:rPr>
        <w:t>3</w:t>
      </w:r>
      <w:r>
        <w:rPr>
          <w:rFonts w:hint="eastAsia" w:ascii="仿宋_GB2312" w:eastAsia="仿宋_GB2312"/>
          <w:sz w:val="30"/>
          <w:szCs w:val="30"/>
          <w:lang w:eastAsia="zh-CN"/>
        </w:rPr>
        <w:t>）</w:t>
      </w:r>
      <w:r>
        <w:rPr>
          <w:rFonts w:hint="eastAsia" w:ascii="仿宋_GB2312" w:eastAsia="仿宋_GB2312"/>
          <w:sz w:val="30"/>
          <w:szCs w:val="30"/>
        </w:rPr>
        <w:t>报价文件邮寄封装要求：</w:t>
      </w:r>
      <w:r>
        <w:rPr>
          <w:rFonts w:hint="eastAsia" w:ascii="仿宋_GB2312" w:eastAsia="仿宋_GB2312"/>
          <w:sz w:val="30"/>
          <w:szCs w:val="30"/>
          <w:lang w:eastAsia="zh-CN"/>
        </w:rPr>
        <w:t>报价人</w:t>
      </w:r>
      <w:r>
        <w:rPr>
          <w:rFonts w:hint="eastAsia" w:ascii="仿宋_GB2312" w:eastAsia="仿宋_GB2312"/>
          <w:sz w:val="30"/>
          <w:szCs w:val="30"/>
        </w:rPr>
        <w:t>除按照文件要求封装报价文件外，还需在快递外包装上醒目注明项目名称、</w:t>
      </w:r>
      <w:r>
        <w:rPr>
          <w:rFonts w:hint="eastAsia" w:ascii="仿宋_GB2312" w:eastAsia="仿宋_GB2312"/>
          <w:sz w:val="30"/>
          <w:szCs w:val="30"/>
          <w:lang w:eastAsia="zh-CN"/>
        </w:rPr>
        <w:t>询价</w:t>
      </w:r>
      <w:r>
        <w:rPr>
          <w:rFonts w:hint="eastAsia" w:ascii="仿宋_GB2312" w:eastAsia="仿宋_GB2312"/>
          <w:sz w:val="30"/>
          <w:szCs w:val="30"/>
        </w:rPr>
        <w:t>编号，且注明报价人联系人、联系人电话；快递包装务必牢固可靠，因包装原因出现影响</w:t>
      </w:r>
      <w:r>
        <w:rPr>
          <w:rFonts w:hint="eastAsia" w:ascii="仿宋_GB2312" w:eastAsia="仿宋_GB2312"/>
          <w:sz w:val="30"/>
          <w:szCs w:val="30"/>
          <w:lang w:val="en-US" w:eastAsia="zh-CN"/>
        </w:rPr>
        <w:t>报价</w:t>
      </w:r>
      <w:r>
        <w:rPr>
          <w:rFonts w:hint="eastAsia" w:ascii="仿宋_GB2312" w:eastAsia="仿宋_GB2312"/>
          <w:sz w:val="30"/>
          <w:szCs w:val="30"/>
        </w:rPr>
        <w:t>文件完整性、密封性等后果由</w:t>
      </w:r>
      <w:r>
        <w:rPr>
          <w:rFonts w:hint="eastAsia" w:ascii="仿宋_GB2312" w:eastAsia="仿宋_GB2312"/>
          <w:sz w:val="30"/>
          <w:szCs w:val="30"/>
          <w:lang w:eastAsia="zh-CN"/>
        </w:rPr>
        <w:t>报价人</w:t>
      </w:r>
      <w:r>
        <w:rPr>
          <w:rFonts w:hint="eastAsia" w:ascii="仿宋_GB2312" w:eastAsia="仿宋_GB2312"/>
          <w:sz w:val="30"/>
          <w:szCs w:val="30"/>
        </w:rPr>
        <w:t>自行负责。</w:t>
      </w:r>
      <w:r>
        <w:rPr>
          <w:rFonts w:hint="eastAsia" w:ascii="仿宋_GB2312" w:eastAsia="仿宋_GB2312"/>
          <w:color w:val="FF0000"/>
          <w:sz w:val="30"/>
          <w:szCs w:val="30"/>
          <w:lang w:val="en-US" w:eastAsia="zh-CN"/>
        </w:rPr>
        <w:t>本招标文件内有品牌要求，报价人需另行分装报价资格一览表，封装方式需与报价文件相同，且需在快递包装上醒目注明报价资格表、项目名称、询价编号，报价人联系人、联系人电话。</w:t>
      </w:r>
    </w:p>
    <w:p w14:paraId="69476E1C">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lang w:eastAsia="zh-CN"/>
        </w:rPr>
        <w:t>（</w:t>
      </w:r>
      <w:r>
        <w:rPr>
          <w:rFonts w:hint="eastAsia" w:ascii="仿宋_GB2312" w:eastAsia="仿宋_GB2312"/>
          <w:sz w:val="30"/>
          <w:szCs w:val="30"/>
          <w:lang w:val="en-US" w:eastAsia="zh-CN"/>
        </w:rPr>
        <w:t>4</w:t>
      </w:r>
      <w:r>
        <w:rPr>
          <w:rFonts w:hint="eastAsia" w:ascii="仿宋_GB2312" w:eastAsia="仿宋_GB2312"/>
          <w:sz w:val="30"/>
          <w:szCs w:val="30"/>
          <w:lang w:eastAsia="zh-CN"/>
        </w:rPr>
        <w:t>）</w:t>
      </w:r>
      <w:r>
        <w:rPr>
          <w:rFonts w:hint="eastAsia" w:ascii="仿宋_GB2312" w:eastAsia="仿宋_GB2312"/>
          <w:sz w:val="30"/>
          <w:szCs w:val="30"/>
        </w:rPr>
        <w:t>报价文件邮递递交截止时间：截至202</w:t>
      </w:r>
      <w:r>
        <w:rPr>
          <w:rFonts w:hint="eastAsia" w:ascii="仿宋_GB2312" w:eastAsia="仿宋_GB2312"/>
          <w:sz w:val="30"/>
          <w:szCs w:val="30"/>
          <w:lang w:val="en-US" w:eastAsia="zh-CN"/>
        </w:rPr>
        <w:t>6</w:t>
      </w:r>
      <w:r>
        <w:rPr>
          <w:rFonts w:hint="eastAsia" w:ascii="仿宋_GB2312" w:eastAsia="仿宋_GB2312"/>
          <w:sz w:val="30"/>
          <w:szCs w:val="30"/>
        </w:rPr>
        <w:t>年</w:t>
      </w:r>
      <w:r>
        <w:rPr>
          <w:rFonts w:hint="eastAsia" w:ascii="仿宋_GB2312" w:eastAsia="仿宋_GB2312"/>
          <w:sz w:val="30"/>
          <w:szCs w:val="30"/>
          <w:lang w:val="en-US" w:eastAsia="zh-CN"/>
        </w:rPr>
        <w:t>8</w:t>
      </w:r>
      <w:r>
        <w:rPr>
          <w:rFonts w:hint="eastAsia" w:ascii="仿宋_GB2312" w:eastAsia="仿宋_GB2312"/>
          <w:sz w:val="30"/>
          <w:szCs w:val="30"/>
        </w:rPr>
        <w:t>月</w:t>
      </w:r>
      <w:r>
        <w:rPr>
          <w:rFonts w:hint="eastAsia" w:ascii="仿宋_GB2312" w:eastAsia="仿宋_GB2312"/>
          <w:sz w:val="30"/>
          <w:szCs w:val="30"/>
          <w:lang w:val="en-US" w:eastAsia="zh-CN"/>
        </w:rPr>
        <w:t>19</w:t>
      </w:r>
      <w:r>
        <w:rPr>
          <w:rFonts w:hint="eastAsia" w:ascii="仿宋_GB2312" w:eastAsia="仿宋_GB2312"/>
          <w:sz w:val="30"/>
          <w:szCs w:val="30"/>
        </w:rPr>
        <w:t>日，以邮寄签收时间为准，因邮寄原因导致报价文件不能如期送达等风险由</w:t>
      </w:r>
      <w:r>
        <w:rPr>
          <w:rFonts w:hint="eastAsia" w:ascii="仿宋_GB2312" w:eastAsia="仿宋_GB2312"/>
          <w:sz w:val="30"/>
          <w:szCs w:val="30"/>
          <w:lang w:eastAsia="zh-CN"/>
        </w:rPr>
        <w:t>报价人</w:t>
      </w:r>
      <w:r>
        <w:rPr>
          <w:rFonts w:hint="eastAsia" w:ascii="仿宋_GB2312" w:eastAsia="仿宋_GB2312"/>
          <w:sz w:val="30"/>
          <w:szCs w:val="30"/>
        </w:rPr>
        <w:t>自行承担。</w:t>
      </w:r>
    </w:p>
    <w:p w14:paraId="69EA963F">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hAnsi="Times New Roman" w:eastAsia="仿宋_GB2312" w:cs="Times New Roman"/>
          <w:b/>
          <w:bCs/>
          <w:sz w:val="30"/>
          <w:szCs w:val="30"/>
          <w:lang w:val="en-US" w:eastAsia="zh-CN"/>
        </w:rPr>
      </w:pPr>
      <w:r>
        <w:rPr>
          <w:rFonts w:hint="eastAsia" w:ascii="仿宋_GB2312" w:hAnsi="Times New Roman" w:eastAsia="仿宋_GB2312" w:cs="Times New Roman"/>
          <w:b/>
          <w:bCs/>
          <w:sz w:val="30"/>
          <w:szCs w:val="30"/>
          <w:lang w:val="en-US" w:eastAsia="zh-CN"/>
        </w:rPr>
        <w:t>四、技术规范</w:t>
      </w:r>
    </w:p>
    <w:p w14:paraId="4F6C3BF4">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hAnsi="Times New Roman" w:eastAsia="仿宋_GB2312" w:cs="Times New Roman"/>
          <w:sz w:val="30"/>
          <w:szCs w:val="30"/>
          <w:lang w:val="en-US" w:eastAsia="zh-CN"/>
        </w:rPr>
      </w:pPr>
      <w:r>
        <w:rPr>
          <w:rFonts w:hint="eastAsia" w:ascii="仿宋_GB2312" w:hAnsi="Times New Roman" w:eastAsia="仿宋_GB2312" w:cs="Times New Roman"/>
          <w:sz w:val="30"/>
          <w:szCs w:val="30"/>
          <w:lang w:val="en-US" w:eastAsia="zh-CN"/>
        </w:rPr>
        <w:t>1.报价人如对询价文件</w:t>
      </w:r>
      <w:bookmarkStart w:id="23" w:name="_GoBack"/>
      <w:bookmarkEnd w:id="23"/>
      <w:r>
        <w:rPr>
          <w:rFonts w:hint="eastAsia" w:ascii="仿宋_GB2312" w:hAnsi="Times New Roman" w:eastAsia="仿宋_GB2312" w:cs="Times New Roman"/>
          <w:sz w:val="30"/>
          <w:szCs w:val="30"/>
          <w:lang w:val="en-US" w:eastAsia="zh-CN"/>
        </w:rPr>
        <w:t>中采购内容的技术规范/型号规格存在疑义，应在投标前向采购人进行咨询。开标后采购人不再回答相关问题。若报价人提供货品与供货要求不符，则由报价人自行负责。</w:t>
      </w:r>
    </w:p>
    <w:p w14:paraId="6E0CCEBB">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default" w:ascii="仿宋_GB2312" w:hAnsi="Times New Roman" w:eastAsia="仿宋_GB2312" w:cs="Times New Roman"/>
          <w:sz w:val="30"/>
          <w:szCs w:val="30"/>
          <w:lang w:val="en-US" w:eastAsia="zh-CN"/>
        </w:rPr>
      </w:pPr>
      <w:r>
        <w:rPr>
          <w:rFonts w:hint="eastAsia" w:ascii="仿宋_GB2312" w:hAnsi="Times New Roman" w:eastAsia="仿宋_GB2312" w:cs="Times New Roman"/>
          <w:sz w:val="30"/>
          <w:szCs w:val="30"/>
          <w:lang w:val="en-US" w:eastAsia="zh-CN"/>
        </w:rPr>
        <w:t>2.联系人：</w:t>
      </w:r>
      <w:r>
        <w:rPr>
          <w:rFonts w:hint="eastAsia" w:ascii="仿宋_GB2312" w:eastAsia="仿宋_GB2312" w:cs="Times New Roman"/>
          <w:sz w:val="30"/>
          <w:szCs w:val="30"/>
          <w:lang w:val="en-US" w:eastAsia="zh-CN"/>
        </w:rPr>
        <w:t>杨</w:t>
      </w:r>
      <w:r>
        <w:rPr>
          <w:rFonts w:hint="eastAsia" w:ascii="仿宋_GB2312" w:hAnsi="Times New Roman" w:eastAsia="仿宋_GB2312" w:cs="Times New Roman"/>
          <w:sz w:val="30"/>
          <w:szCs w:val="30"/>
          <w:lang w:val="en-US" w:eastAsia="zh-CN"/>
        </w:rPr>
        <w:t>工    联系电话：18</w:t>
      </w:r>
      <w:r>
        <w:rPr>
          <w:rFonts w:hint="eastAsia" w:ascii="仿宋_GB2312" w:eastAsia="仿宋_GB2312" w:cs="Times New Roman"/>
          <w:sz w:val="30"/>
          <w:szCs w:val="30"/>
          <w:lang w:val="en-US" w:eastAsia="zh-CN"/>
        </w:rPr>
        <w:t>857591913</w:t>
      </w:r>
    </w:p>
    <w:p w14:paraId="67FB8046">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b/>
          <w:bCs/>
          <w:sz w:val="30"/>
          <w:szCs w:val="30"/>
        </w:rPr>
      </w:pPr>
      <w:r>
        <w:rPr>
          <w:rFonts w:hint="eastAsia" w:ascii="仿宋_GB2312" w:eastAsia="仿宋_GB2312"/>
          <w:b/>
          <w:bCs/>
          <w:sz w:val="30"/>
          <w:szCs w:val="30"/>
          <w:lang w:eastAsia="zh-CN"/>
        </w:rPr>
        <w:t>五</w:t>
      </w:r>
      <w:r>
        <w:rPr>
          <w:rFonts w:hint="eastAsia" w:ascii="仿宋_GB2312" w:eastAsia="仿宋_GB2312"/>
          <w:b/>
          <w:bCs/>
          <w:sz w:val="30"/>
          <w:szCs w:val="30"/>
        </w:rPr>
        <w:t>、质疑。</w:t>
      </w:r>
    </w:p>
    <w:p w14:paraId="6C81090D">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lang w:eastAsia="zh-CN"/>
        </w:rPr>
        <w:t>报价人</w:t>
      </w:r>
      <w:r>
        <w:rPr>
          <w:rFonts w:hint="eastAsia" w:ascii="仿宋_GB2312" w:eastAsia="仿宋_GB2312"/>
          <w:sz w:val="30"/>
          <w:szCs w:val="30"/>
        </w:rPr>
        <w:t>如认为询价文件使自身的合法权益受到损害的，应于自</w:t>
      </w:r>
      <w:r>
        <w:rPr>
          <w:rFonts w:hint="eastAsia" w:ascii="仿宋_GB2312" w:eastAsia="仿宋_GB2312"/>
          <w:sz w:val="30"/>
          <w:szCs w:val="30"/>
          <w:lang w:eastAsia="zh-CN"/>
        </w:rPr>
        <w:t>公告</w:t>
      </w:r>
      <w:r>
        <w:rPr>
          <w:rFonts w:hint="eastAsia" w:ascii="仿宋_GB2312" w:eastAsia="仿宋_GB2312"/>
          <w:sz w:val="30"/>
          <w:szCs w:val="30"/>
        </w:rPr>
        <w:t>之日起1日内以书面形式向采购人提出质疑。逾期视作无异议。</w:t>
      </w:r>
    </w:p>
    <w:p w14:paraId="483B6D10">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b/>
          <w:bCs/>
          <w:sz w:val="30"/>
          <w:szCs w:val="30"/>
          <w:lang w:eastAsia="zh-CN"/>
        </w:rPr>
      </w:pPr>
      <w:r>
        <w:rPr>
          <w:rFonts w:hint="eastAsia" w:ascii="仿宋_GB2312" w:eastAsia="仿宋_GB2312"/>
          <w:b/>
          <w:bCs/>
          <w:sz w:val="30"/>
          <w:szCs w:val="30"/>
          <w:lang w:eastAsia="zh-CN"/>
        </w:rPr>
        <w:t>其他</w:t>
      </w:r>
    </w:p>
    <w:p w14:paraId="2E58BB05">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default"/>
          <w:lang w:val="en-US" w:eastAsia="zh-CN"/>
        </w:rPr>
      </w:pPr>
      <w:r>
        <w:rPr>
          <w:rFonts w:hint="eastAsia" w:ascii="仿宋_GB2312" w:hAnsi="Times New Roman" w:eastAsia="仿宋_GB2312" w:cs="Times New Roman"/>
          <w:sz w:val="30"/>
          <w:szCs w:val="30"/>
          <w:lang w:val="en-US" w:eastAsia="zh-CN"/>
        </w:rPr>
        <w:t>本项目未委托任何招标代理进行对外询价，且禁止第三方平台用于相关经济项目活动。若未经本公司授权，直接对本项目进行二次利用，产生的相关纠纷，本公司保留追责权利。</w:t>
      </w:r>
    </w:p>
    <w:p w14:paraId="62C16CA8">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sz w:val="30"/>
          <w:szCs w:val="30"/>
        </w:rPr>
      </w:pPr>
      <w:r>
        <w:rPr>
          <w:rFonts w:hint="eastAsia" w:ascii="仿宋_GB2312" w:eastAsia="仿宋_GB2312"/>
          <w:b/>
          <w:bCs/>
          <w:sz w:val="30"/>
          <w:szCs w:val="30"/>
          <w:lang w:eastAsia="zh-CN"/>
        </w:rPr>
        <w:t>七</w:t>
      </w:r>
      <w:r>
        <w:rPr>
          <w:rFonts w:hint="eastAsia" w:ascii="仿宋_GB2312" w:eastAsia="仿宋_GB2312"/>
          <w:b/>
          <w:bCs/>
          <w:sz w:val="30"/>
          <w:szCs w:val="30"/>
        </w:rPr>
        <w:t>、监督部门</w:t>
      </w:r>
      <w:r>
        <w:rPr>
          <w:rFonts w:hint="eastAsia" w:ascii="仿宋_GB2312" w:eastAsia="仿宋_GB2312"/>
          <w:b/>
          <w:bCs/>
          <w:sz w:val="30"/>
          <w:szCs w:val="30"/>
          <w:lang w:val="en-US" w:eastAsia="zh-CN"/>
        </w:rPr>
        <w:t xml:space="preserve">  </w:t>
      </w:r>
      <w:r>
        <w:rPr>
          <w:rFonts w:hint="eastAsia" w:ascii="仿宋_GB2312" w:hAnsi="Times New Roman" w:eastAsia="仿宋_GB2312" w:cs="Times New Roman"/>
          <w:sz w:val="30"/>
          <w:szCs w:val="30"/>
          <w:lang w:val="en-US" w:eastAsia="zh-CN"/>
        </w:rPr>
        <w:t>联系电话：</w:t>
      </w:r>
      <w:r>
        <w:rPr>
          <w:rFonts w:hint="eastAsia" w:ascii="仿宋_GB2312" w:eastAsia="仿宋_GB2312" w:cs="Times New Roman"/>
          <w:color w:val="auto"/>
          <w:sz w:val="30"/>
          <w:szCs w:val="30"/>
          <w:lang w:val="en-US" w:eastAsia="zh-CN"/>
        </w:rPr>
        <w:t>0575-85791902</w:t>
      </w:r>
    </w:p>
    <w:p w14:paraId="0D482A40">
      <w:pPr>
        <w:keepNext w:val="0"/>
        <w:keepLines w:val="0"/>
        <w:pageBreakBefore w:val="0"/>
        <w:widowControl w:val="0"/>
        <w:kinsoku/>
        <w:wordWrap/>
        <w:overflowPunct/>
        <w:topLinePunct w:val="0"/>
        <w:autoSpaceDE/>
        <w:autoSpaceDN/>
        <w:bidi w:val="0"/>
        <w:adjustRightInd/>
        <w:snapToGrid w:val="0"/>
        <w:spacing w:line="360" w:lineRule="auto"/>
        <w:ind w:firstLine="585"/>
        <w:jc w:val="right"/>
        <w:textAlignment w:val="auto"/>
        <w:rPr>
          <w:rFonts w:hint="eastAsia" w:ascii="仿宋_GB2312" w:eastAsia="仿宋_GB2312"/>
          <w:sz w:val="30"/>
          <w:szCs w:val="30"/>
          <w:lang w:eastAsia="zh-CN"/>
        </w:rPr>
      </w:pPr>
    </w:p>
    <w:p w14:paraId="7336D46D">
      <w:pPr>
        <w:keepNext w:val="0"/>
        <w:keepLines w:val="0"/>
        <w:pageBreakBefore w:val="0"/>
        <w:widowControl w:val="0"/>
        <w:kinsoku/>
        <w:wordWrap/>
        <w:overflowPunct/>
        <w:topLinePunct w:val="0"/>
        <w:autoSpaceDE/>
        <w:autoSpaceDN/>
        <w:bidi w:val="0"/>
        <w:adjustRightInd/>
        <w:snapToGrid w:val="0"/>
        <w:spacing w:line="360" w:lineRule="auto"/>
        <w:ind w:firstLine="585"/>
        <w:jc w:val="right"/>
        <w:textAlignment w:val="auto"/>
        <w:rPr>
          <w:rFonts w:hint="eastAsia" w:ascii="仿宋_GB2312" w:eastAsia="仿宋_GB2312"/>
          <w:sz w:val="30"/>
          <w:szCs w:val="30"/>
          <w:lang w:eastAsia="zh-CN"/>
        </w:rPr>
      </w:pPr>
      <w:r>
        <w:rPr>
          <w:rFonts w:hint="eastAsia" w:ascii="仿宋_GB2312" w:eastAsia="仿宋_GB2312"/>
          <w:sz w:val="30"/>
          <w:szCs w:val="30"/>
          <w:lang w:eastAsia="zh-CN"/>
        </w:rPr>
        <w:t>绍兴市再生能源发展有限公司</w:t>
      </w:r>
    </w:p>
    <w:p w14:paraId="4297356C">
      <w:pPr>
        <w:keepNext w:val="0"/>
        <w:keepLines w:val="0"/>
        <w:pageBreakBefore w:val="0"/>
        <w:widowControl w:val="0"/>
        <w:kinsoku/>
        <w:wordWrap/>
        <w:overflowPunct/>
        <w:topLinePunct w:val="0"/>
        <w:autoSpaceDE/>
        <w:autoSpaceDN/>
        <w:bidi w:val="0"/>
        <w:adjustRightInd/>
        <w:snapToGrid w:val="0"/>
        <w:spacing w:line="360" w:lineRule="auto"/>
        <w:ind w:firstLine="585"/>
        <w:jc w:val="right"/>
        <w:textAlignment w:val="auto"/>
        <w:rPr>
          <w:rFonts w:hint="eastAsia" w:ascii="仿宋_GB2312" w:eastAsia="仿宋_GB2312"/>
          <w:color w:val="auto"/>
          <w:sz w:val="30"/>
          <w:szCs w:val="30"/>
          <w:highlight w:val="none"/>
        </w:rPr>
      </w:pPr>
      <w:r>
        <w:rPr>
          <w:rFonts w:hint="eastAsia" w:ascii="仿宋_GB2312" w:eastAsia="仿宋_GB2312"/>
          <w:color w:val="auto"/>
          <w:sz w:val="30"/>
          <w:szCs w:val="30"/>
          <w:highlight w:val="none"/>
          <w:lang w:val="en-US" w:eastAsia="zh-CN"/>
        </w:rPr>
        <w:t>2026</w:t>
      </w:r>
      <w:r>
        <w:rPr>
          <w:rFonts w:hint="default" w:ascii="仿宋_GB2312" w:eastAsia="仿宋_GB2312"/>
          <w:color w:val="auto"/>
          <w:sz w:val="30"/>
          <w:szCs w:val="30"/>
          <w:highlight w:val="none"/>
          <w:lang w:val="en-US"/>
        </w:rPr>
        <w:t>年</w:t>
      </w:r>
      <w:r>
        <w:rPr>
          <w:rFonts w:hint="eastAsia" w:ascii="仿宋_GB2312" w:eastAsia="仿宋_GB2312"/>
          <w:color w:val="auto"/>
          <w:sz w:val="30"/>
          <w:szCs w:val="30"/>
          <w:highlight w:val="none"/>
          <w:lang w:val="en-US" w:eastAsia="zh-CN"/>
        </w:rPr>
        <w:t>8月14</w:t>
      </w:r>
      <w:r>
        <w:rPr>
          <w:rFonts w:hint="eastAsia" w:ascii="仿宋_GB2312" w:eastAsia="仿宋_GB2312"/>
          <w:color w:val="auto"/>
          <w:sz w:val="30"/>
          <w:szCs w:val="30"/>
          <w:highlight w:val="none"/>
        </w:rPr>
        <w:t>日</w:t>
      </w:r>
    </w:p>
    <w:p w14:paraId="0C5AC8FA">
      <w:pPr>
        <w:pageBreakBefore w:val="0"/>
        <w:kinsoku/>
        <w:wordWrap/>
        <w:topLinePunct w:val="0"/>
        <w:bidi w:val="0"/>
        <w:snapToGrid w:val="0"/>
        <w:spacing w:line="360" w:lineRule="auto"/>
        <w:ind w:firstLine="585"/>
        <w:jc w:val="center"/>
        <w:outlineLvl w:val="0"/>
        <w:rPr>
          <w:rFonts w:ascii="仿宋_GB2312" w:eastAsia="仿宋_GB2312"/>
          <w:snapToGrid w:val="0"/>
          <w:sz w:val="30"/>
          <w:szCs w:val="30"/>
        </w:rPr>
      </w:pPr>
      <w:r>
        <w:rPr>
          <w:rFonts w:hint="eastAsia" w:ascii="仿宋_GB2312" w:eastAsia="仿宋_GB2312"/>
          <w:sz w:val="30"/>
          <w:szCs w:val="30"/>
        </w:rPr>
        <w:br w:type="page"/>
      </w:r>
      <w:bookmarkStart w:id="9" w:name="_Toc14760"/>
      <w:bookmarkStart w:id="10" w:name="_Toc530583922"/>
      <w:bookmarkStart w:id="11" w:name="_Toc530583879"/>
      <w:r>
        <w:rPr>
          <w:rFonts w:hint="eastAsia" w:ascii="仿宋" w:hAnsi="仿宋" w:eastAsia="仿宋" w:cs="仿宋"/>
          <w:b/>
          <w:snapToGrid w:val="0"/>
          <w:color w:val="000000"/>
          <w:kern w:val="44"/>
          <w:sz w:val="44"/>
          <w:szCs w:val="44"/>
          <w:lang w:val="en-US" w:eastAsia="zh-CN" w:bidi="ar-SA"/>
        </w:rPr>
        <w:t>第二部分   采购须知</w:t>
      </w:r>
      <w:bookmarkEnd w:id="9"/>
      <w:bookmarkEnd w:id="10"/>
      <w:bookmarkEnd w:id="11"/>
    </w:p>
    <w:p w14:paraId="139FFD1C">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一、适用范围。</w:t>
      </w:r>
    </w:p>
    <w:p w14:paraId="319002C2">
      <w:pPr>
        <w:pageBreakBefore w:val="0"/>
        <w:kinsoku/>
        <w:wordWrap/>
        <w:topLinePunct w:val="0"/>
        <w:bidi w:val="0"/>
        <w:snapToGrid w:val="0"/>
        <w:spacing w:line="360" w:lineRule="auto"/>
        <w:rPr>
          <w:rFonts w:ascii="仿宋_GB2312" w:hAnsi="宋体" w:eastAsia="仿宋_GB2312"/>
          <w:sz w:val="30"/>
          <w:szCs w:val="30"/>
        </w:rPr>
      </w:pPr>
      <w:r>
        <w:rPr>
          <w:rFonts w:hint="eastAsia" w:ascii="仿宋_GB2312" w:hAnsi="宋体" w:eastAsia="仿宋_GB2312"/>
          <w:sz w:val="30"/>
          <w:szCs w:val="30"/>
        </w:rPr>
        <w:t xml:space="preserve">    仅适用于本次询价采购所叙述的货物和服务。</w:t>
      </w:r>
      <w:r>
        <w:rPr>
          <w:rFonts w:hint="eastAsia" w:ascii="仿宋_GB2312" w:eastAsia="仿宋_GB2312"/>
          <w:sz w:val="30"/>
          <w:szCs w:val="30"/>
        </w:rPr>
        <w:t>无论询价采购过程和结果如何，</w:t>
      </w:r>
      <w:r>
        <w:rPr>
          <w:rFonts w:hint="eastAsia" w:ascii="仿宋_GB2312" w:eastAsia="仿宋_GB2312"/>
          <w:sz w:val="30"/>
          <w:szCs w:val="30"/>
          <w:lang w:val="en-US" w:eastAsia="zh-CN"/>
        </w:rPr>
        <w:t>报价人</w:t>
      </w:r>
      <w:r>
        <w:rPr>
          <w:rFonts w:hint="eastAsia" w:ascii="仿宋_GB2312" w:eastAsia="仿宋_GB2312"/>
          <w:sz w:val="30"/>
          <w:szCs w:val="30"/>
        </w:rPr>
        <w:t>自行承担全部费用。</w:t>
      </w:r>
    </w:p>
    <w:p w14:paraId="0CDBFE61">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二、定义。</w:t>
      </w:r>
    </w:p>
    <w:p w14:paraId="7EF43873">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（一）“</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”系指</w:t>
      </w:r>
      <w:r>
        <w:rPr>
          <w:rFonts w:hint="eastAsia" w:ascii="仿宋_GB2312" w:hAnsi="宋体" w:eastAsia="仿宋_GB2312"/>
          <w:sz w:val="30"/>
          <w:szCs w:val="30"/>
          <w:lang w:eastAsia="zh-CN"/>
        </w:rPr>
        <w:t>绍兴市再生能源发展有限公司</w:t>
      </w:r>
      <w:r>
        <w:rPr>
          <w:rFonts w:hint="eastAsia" w:ascii="仿宋_GB2312" w:hAnsi="宋体" w:eastAsia="仿宋_GB2312"/>
          <w:sz w:val="30"/>
          <w:szCs w:val="30"/>
        </w:rPr>
        <w:t>。</w:t>
      </w:r>
    </w:p>
    <w:p w14:paraId="5D80BEA0">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（二）“</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”系指向采购人提交报价文件的商家。</w:t>
      </w:r>
    </w:p>
    <w:p w14:paraId="74D653E4">
      <w:pPr>
        <w:pageBreakBefore w:val="0"/>
        <w:kinsoku/>
        <w:wordWrap/>
        <w:topLinePunct w:val="0"/>
        <w:bidi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（三）“货物和服务”系指按询价文件要求的货物和服务。</w:t>
      </w:r>
    </w:p>
    <w:p w14:paraId="715DC594">
      <w:pPr>
        <w:pageBreakBefore w:val="0"/>
        <w:kinsoku/>
        <w:wordWrap/>
        <w:topLinePunct w:val="0"/>
        <w:bidi w:val="0"/>
        <w:snapToGrid w:val="0"/>
        <w:spacing w:line="360" w:lineRule="auto"/>
        <w:ind w:firstLine="600" w:firstLineChars="200"/>
        <w:rPr>
          <w:rFonts w:hint="eastAsia" w:ascii="仿宋_GB2312" w:hAnsi="宋体" w:eastAsia="仿宋_GB2312"/>
          <w:sz w:val="30"/>
          <w:szCs w:val="30"/>
          <w:lang w:val="en-US" w:eastAsia="zh-CN"/>
        </w:rPr>
      </w:pPr>
      <w:r>
        <w:rPr>
          <w:rFonts w:hint="eastAsia" w:ascii="仿宋_GB2312" w:hAnsi="宋体" w:eastAsia="仿宋_GB2312"/>
          <w:sz w:val="30"/>
          <w:szCs w:val="30"/>
          <w:lang w:val="en-US" w:eastAsia="zh-CN"/>
        </w:rPr>
        <w:t>（四）</w:t>
      </w:r>
      <w:r>
        <w:rPr>
          <w:rFonts w:hint="eastAsia" w:ascii="仿宋_GB2312" w:hAnsi="宋体" w:eastAsia="仿宋_GB2312"/>
          <w:sz w:val="30"/>
          <w:szCs w:val="30"/>
          <w:highlight w:val="none"/>
          <w:lang w:val="en-US" w:eastAsia="zh-CN"/>
        </w:rPr>
        <w:t>“供货方</w:t>
      </w:r>
      <w:r>
        <w:rPr>
          <w:rFonts w:hint="eastAsia" w:ascii="仿宋_GB2312" w:hAnsi="宋体" w:eastAsia="仿宋_GB2312"/>
          <w:sz w:val="30"/>
          <w:szCs w:val="30"/>
          <w:lang w:val="en-US" w:eastAsia="zh-CN"/>
        </w:rPr>
        <w:t>”系指向经评审确定为本次询价成交商家</w:t>
      </w:r>
    </w:p>
    <w:p w14:paraId="32C7434A">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三、采购报价。</w:t>
      </w:r>
    </w:p>
    <w:p w14:paraId="5BE622D7">
      <w:pPr>
        <w:pageBreakBefore w:val="0"/>
        <w:kinsoku/>
        <w:wordWrap/>
        <w:topLinePunct w:val="0"/>
        <w:bidi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（一）本项目以人民币为结算货币。</w:t>
      </w:r>
    </w:p>
    <w:p w14:paraId="67A6A4AD">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（二）</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应按询价文件要求认真制作《报价一览表》，报价时，报价文件中的报价金额如有大写和小写不一致的，以大写金额为准；总价金额与按单价汇总金额不一致的，以单价金额计算结果为准。</w:t>
      </w:r>
    </w:p>
    <w:p w14:paraId="25657504">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（三）</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报价应为一次性报价。如果出现两个或两个以上报价，则报价无效。</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报价超过最高限价的，作无效报价处理。</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报价应包括</w:t>
      </w:r>
      <w:r>
        <w:rPr>
          <w:rFonts w:hint="eastAsia" w:ascii="仿宋_GB2312" w:hAnsi="宋体" w:eastAsia="仿宋_GB2312"/>
          <w:sz w:val="30"/>
          <w:szCs w:val="30"/>
          <w:lang w:val="en-US" w:eastAsia="zh-CN"/>
        </w:rPr>
        <w:t>运输</w:t>
      </w:r>
      <w:r>
        <w:rPr>
          <w:rFonts w:hint="eastAsia" w:ascii="仿宋_GB2312" w:hAnsi="宋体" w:eastAsia="仿宋_GB2312"/>
          <w:sz w:val="30"/>
          <w:szCs w:val="30"/>
        </w:rPr>
        <w:t>费</w:t>
      </w:r>
      <w:r>
        <w:rPr>
          <w:rFonts w:hint="eastAsia" w:ascii="仿宋_GB2312" w:hAnsi="宋体" w:eastAsia="仿宋_GB2312"/>
          <w:sz w:val="30"/>
          <w:szCs w:val="30"/>
          <w:lang w:val="en-US" w:eastAsia="zh-CN"/>
        </w:rPr>
        <w:t>和</w:t>
      </w:r>
      <w:r>
        <w:rPr>
          <w:rFonts w:hint="eastAsia" w:ascii="仿宋_GB2312" w:hAnsi="宋体" w:eastAsia="仿宋_GB2312"/>
          <w:sz w:val="30"/>
          <w:szCs w:val="30"/>
        </w:rPr>
        <w:t>税费等。</w:t>
      </w:r>
    </w:p>
    <w:p w14:paraId="1D9FBF58">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四、报价有效期。</w:t>
      </w:r>
    </w:p>
    <w:p w14:paraId="3948F8FC">
      <w:pPr>
        <w:pageBreakBefore w:val="0"/>
        <w:kinsoku/>
        <w:wordWrap/>
        <w:topLinePunct w:val="0"/>
        <w:bidi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（一）从报价截止之日起，报价文件有效期为30日。</w:t>
      </w:r>
    </w:p>
    <w:p w14:paraId="12EB40A5">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（二）特殊情况下，</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可与</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协商延缓报价有效期，这种要求和答复均以书面形式进行。</w:t>
      </w:r>
    </w:p>
    <w:p w14:paraId="6F182F15">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五、报价文件的组成。</w:t>
      </w:r>
    </w:p>
    <w:p w14:paraId="75AC62A6">
      <w:pPr>
        <w:pageBreakBefore w:val="0"/>
        <w:kinsoku/>
        <w:wordWrap/>
        <w:topLinePunct w:val="0"/>
        <w:bidi w:val="0"/>
        <w:snapToGrid w:val="0"/>
        <w:spacing w:line="360" w:lineRule="auto"/>
        <w:ind w:firstLine="600" w:firstLineChars="200"/>
        <w:rPr>
          <w:rFonts w:hint="eastAsia" w:ascii="仿宋_GB2312" w:hAnsi="宋体" w:eastAsia="仿宋_GB2312"/>
          <w:sz w:val="30"/>
          <w:szCs w:val="30"/>
        </w:rPr>
      </w:pPr>
      <w:r>
        <w:rPr>
          <w:rFonts w:hint="default" w:ascii="仿宋_GB2312" w:hAnsi="宋体" w:eastAsia="仿宋_GB2312"/>
          <w:sz w:val="30"/>
          <w:szCs w:val="30"/>
          <w:lang w:eastAsia="zh-CN"/>
        </w:rPr>
        <w:t>1</w:t>
      </w:r>
      <w:r>
        <w:rPr>
          <w:rFonts w:hint="eastAsia" w:ascii="仿宋_GB2312" w:hAnsi="宋体" w:eastAsia="仿宋_GB2312"/>
          <w:sz w:val="30"/>
          <w:szCs w:val="30"/>
          <w:lang w:val="en-US" w:eastAsia="zh-CN"/>
        </w:rPr>
        <w:t>.</w:t>
      </w:r>
      <w:r>
        <w:rPr>
          <w:rFonts w:hint="eastAsia" w:ascii="仿宋_GB2312" w:hAnsi="宋体" w:eastAsia="仿宋_GB2312"/>
          <w:b/>
          <w:bCs/>
          <w:color w:val="FF0000"/>
          <w:sz w:val="30"/>
          <w:szCs w:val="30"/>
          <w:lang w:val="en-US" w:eastAsia="zh-CN"/>
        </w:rPr>
        <w:t>报价资格一览表</w:t>
      </w:r>
      <w:r>
        <w:rPr>
          <w:rFonts w:hint="eastAsia" w:ascii="仿宋_GB2312" w:hAnsi="宋体" w:eastAsia="仿宋_GB2312"/>
          <w:b/>
          <w:bCs/>
          <w:color w:val="FF0000"/>
          <w:sz w:val="30"/>
          <w:szCs w:val="30"/>
        </w:rPr>
        <w:t>（附件一）；</w:t>
      </w:r>
    </w:p>
    <w:p w14:paraId="05C2F5B4">
      <w:pPr>
        <w:pageBreakBefore w:val="0"/>
        <w:kinsoku/>
        <w:wordWrap/>
        <w:topLinePunct w:val="0"/>
        <w:bidi w:val="0"/>
        <w:snapToGrid w:val="0"/>
        <w:spacing w:line="360" w:lineRule="auto"/>
        <w:ind w:firstLine="600" w:firstLineChars="200"/>
        <w:rPr>
          <w:rFonts w:hint="default" w:ascii="仿宋_GB2312" w:hAnsi="宋体" w:eastAsia="仿宋_GB2312"/>
          <w:sz w:val="30"/>
          <w:szCs w:val="30"/>
          <w:lang w:val="en-US" w:eastAsia="zh-CN"/>
        </w:rPr>
      </w:pPr>
      <w:r>
        <w:rPr>
          <w:rFonts w:hint="default" w:ascii="仿宋_GB2312" w:hAnsi="宋体" w:eastAsia="仿宋_GB2312"/>
          <w:sz w:val="30"/>
          <w:szCs w:val="30"/>
          <w:lang w:eastAsia="zh-CN"/>
        </w:rPr>
        <w:t>2</w:t>
      </w:r>
      <w:r>
        <w:rPr>
          <w:rFonts w:hint="eastAsia" w:ascii="仿宋_GB2312" w:hAnsi="宋体" w:eastAsia="仿宋_GB2312"/>
          <w:sz w:val="30"/>
          <w:szCs w:val="30"/>
          <w:lang w:val="en-US" w:eastAsia="zh-CN"/>
        </w:rPr>
        <w:t>.</w:t>
      </w:r>
      <w:r>
        <w:rPr>
          <w:rFonts w:hint="eastAsia" w:ascii="仿宋_GB2312" w:hAnsi="宋体" w:eastAsia="仿宋_GB2312"/>
          <w:sz w:val="30"/>
          <w:szCs w:val="30"/>
        </w:rPr>
        <w:t>报价文件</w:t>
      </w:r>
      <w:r>
        <w:rPr>
          <w:rFonts w:hint="eastAsia" w:ascii="仿宋_GB2312" w:hAnsi="宋体" w:eastAsia="仿宋_GB2312"/>
          <w:sz w:val="30"/>
          <w:szCs w:val="30"/>
          <w:lang w:eastAsia="zh-CN"/>
        </w:rPr>
        <w:t>密封</w:t>
      </w:r>
      <w:r>
        <w:rPr>
          <w:rFonts w:hint="eastAsia" w:ascii="仿宋_GB2312" w:hAnsi="宋体" w:eastAsia="仿宋_GB2312"/>
          <w:sz w:val="30"/>
          <w:szCs w:val="30"/>
        </w:rPr>
        <w:t>封面</w:t>
      </w:r>
      <w:r>
        <w:rPr>
          <w:rFonts w:hint="eastAsia" w:ascii="仿宋_GB2312" w:hAnsi="宋体" w:eastAsia="仿宋_GB2312"/>
          <w:sz w:val="30"/>
          <w:szCs w:val="30"/>
          <w:lang w:eastAsia="zh-CN"/>
        </w:rPr>
        <w:t>；</w:t>
      </w:r>
    </w:p>
    <w:p w14:paraId="7B4BC3DD">
      <w:pPr>
        <w:pageBreakBefore w:val="0"/>
        <w:kinsoku/>
        <w:wordWrap/>
        <w:topLinePunct w:val="0"/>
        <w:bidi w:val="0"/>
        <w:snapToGrid w:val="0"/>
        <w:spacing w:line="360" w:lineRule="auto"/>
        <w:ind w:firstLine="600" w:firstLineChars="200"/>
        <w:rPr>
          <w:rFonts w:hint="eastAsia" w:ascii="仿宋_GB2312" w:hAnsi="宋体" w:eastAsia="仿宋_GB2312"/>
          <w:sz w:val="30"/>
          <w:szCs w:val="30"/>
        </w:rPr>
      </w:pPr>
      <w:r>
        <w:rPr>
          <w:rFonts w:hint="default" w:ascii="仿宋_GB2312" w:hAnsi="宋体" w:eastAsia="仿宋_GB2312"/>
          <w:sz w:val="30"/>
          <w:szCs w:val="30"/>
          <w:lang w:eastAsia="zh-CN"/>
        </w:rPr>
        <w:t>3</w:t>
      </w:r>
      <w:r>
        <w:rPr>
          <w:rFonts w:hint="eastAsia" w:ascii="仿宋_GB2312" w:hAnsi="宋体" w:eastAsia="仿宋_GB2312"/>
          <w:sz w:val="30"/>
          <w:szCs w:val="30"/>
        </w:rPr>
        <w:t>.报价一览表（附件</w:t>
      </w:r>
      <w:r>
        <w:rPr>
          <w:rFonts w:hint="eastAsia" w:ascii="仿宋_GB2312" w:hAnsi="宋体" w:eastAsia="仿宋_GB2312"/>
          <w:sz w:val="30"/>
          <w:szCs w:val="30"/>
          <w:lang w:eastAsia="zh-CN"/>
        </w:rPr>
        <w:t>二</w:t>
      </w:r>
      <w:r>
        <w:rPr>
          <w:rFonts w:hint="eastAsia" w:ascii="仿宋_GB2312" w:hAnsi="宋体" w:eastAsia="仿宋_GB2312"/>
          <w:sz w:val="30"/>
          <w:szCs w:val="30"/>
        </w:rPr>
        <w:t>）；</w:t>
      </w:r>
    </w:p>
    <w:p w14:paraId="12D2C136">
      <w:pPr>
        <w:pageBreakBefore w:val="0"/>
        <w:kinsoku/>
        <w:wordWrap/>
        <w:topLinePunct w:val="0"/>
        <w:bidi w:val="0"/>
        <w:snapToGrid w:val="0"/>
        <w:spacing w:line="360" w:lineRule="auto"/>
        <w:ind w:firstLine="600" w:firstLineChars="200"/>
        <w:rPr>
          <w:rFonts w:hint="default" w:eastAsia="仿宋_GB2312"/>
          <w:lang w:val="en-US" w:eastAsia="zh-CN"/>
        </w:rPr>
      </w:pPr>
      <w:r>
        <w:rPr>
          <w:rFonts w:hint="default" w:ascii="仿宋_GB2312" w:hAnsi="宋体" w:eastAsia="仿宋_GB2312"/>
          <w:sz w:val="30"/>
          <w:szCs w:val="30"/>
          <w:lang w:eastAsia="zh-CN"/>
        </w:rPr>
        <w:t>4</w:t>
      </w:r>
      <w:r>
        <w:rPr>
          <w:rFonts w:hint="eastAsia" w:ascii="仿宋_GB2312" w:hAnsi="宋体" w:eastAsia="仿宋_GB2312"/>
          <w:sz w:val="30"/>
          <w:szCs w:val="30"/>
        </w:rPr>
        <w:t>.</w:t>
      </w:r>
      <w:r>
        <w:rPr>
          <w:rFonts w:hint="eastAsia" w:ascii="仿宋_GB2312" w:hAnsi="宋体" w:eastAsia="仿宋_GB2312"/>
          <w:sz w:val="30"/>
          <w:szCs w:val="30"/>
          <w:lang w:val="en-US" w:eastAsia="zh-CN"/>
        </w:rPr>
        <w:t>服务</w:t>
      </w:r>
      <w:r>
        <w:rPr>
          <w:rFonts w:hint="eastAsia" w:ascii="仿宋_GB2312" w:hAnsi="宋体" w:eastAsia="仿宋_GB2312"/>
          <w:sz w:val="30"/>
          <w:szCs w:val="30"/>
        </w:rPr>
        <w:t>质量保证承诺函（附件</w:t>
      </w:r>
      <w:r>
        <w:rPr>
          <w:rFonts w:hint="eastAsia" w:ascii="仿宋_GB2312" w:hAnsi="宋体" w:eastAsia="仿宋_GB2312"/>
          <w:sz w:val="30"/>
          <w:szCs w:val="30"/>
          <w:lang w:val="en-US" w:eastAsia="zh-CN"/>
        </w:rPr>
        <w:t>四</w:t>
      </w:r>
      <w:r>
        <w:rPr>
          <w:rFonts w:hint="eastAsia" w:ascii="仿宋_GB2312" w:hAnsi="宋体" w:eastAsia="仿宋_GB2312"/>
          <w:sz w:val="30"/>
          <w:szCs w:val="30"/>
        </w:rPr>
        <w:t>）；</w:t>
      </w:r>
    </w:p>
    <w:p w14:paraId="4AD46B04">
      <w:pPr>
        <w:pageBreakBefore w:val="0"/>
        <w:kinsoku/>
        <w:wordWrap/>
        <w:topLinePunct w:val="0"/>
        <w:bidi w:val="0"/>
        <w:snapToGrid w:val="0"/>
        <w:spacing w:line="360" w:lineRule="auto"/>
        <w:ind w:firstLine="600" w:firstLineChars="200"/>
        <w:rPr>
          <w:rFonts w:hint="eastAsia" w:ascii="仿宋_GB2312" w:hAnsi="宋体" w:eastAsia="仿宋_GB2312"/>
          <w:b/>
          <w:bCs/>
          <w:sz w:val="30"/>
          <w:szCs w:val="30"/>
          <w:lang w:eastAsia="zh-CN"/>
        </w:rPr>
      </w:pPr>
      <w:r>
        <w:rPr>
          <w:rFonts w:hint="default" w:ascii="仿宋_GB2312" w:hAnsi="宋体" w:eastAsia="仿宋_GB2312"/>
          <w:sz w:val="30"/>
          <w:szCs w:val="30"/>
          <w:lang w:eastAsia="zh-CN"/>
        </w:rPr>
        <w:t>5</w:t>
      </w:r>
      <w:r>
        <w:rPr>
          <w:rFonts w:hint="eastAsia" w:ascii="仿宋_GB2312" w:hAnsi="宋体" w:eastAsia="仿宋_GB2312"/>
          <w:sz w:val="30"/>
          <w:szCs w:val="30"/>
        </w:rPr>
        <w:t>.有效资质证明并加盖公章：通过年检的营业执照复印件。报价文件装订密封，并</w:t>
      </w:r>
      <w:r>
        <w:rPr>
          <w:rFonts w:hint="eastAsia" w:ascii="仿宋_GB2312" w:hAnsi="宋体" w:eastAsia="仿宋_GB2312"/>
          <w:b/>
          <w:bCs/>
          <w:sz w:val="30"/>
          <w:szCs w:val="30"/>
        </w:rPr>
        <w:t>在封</w:t>
      </w:r>
      <w:r>
        <w:rPr>
          <w:rFonts w:hint="eastAsia" w:ascii="仿宋_GB2312" w:hAnsi="宋体" w:eastAsia="仿宋_GB2312"/>
          <w:b/>
          <w:bCs/>
          <w:sz w:val="30"/>
          <w:szCs w:val="30"/>
          <w:lang w:eastAsia="zh-CN"/>
        </w:rPr>
        <w:t>面</w:t>
      </w:r>
      <w:r>
        <w:rPr>
          <w:rFonts w:hint="eastAsia" w:ascii="仿宋_GB2312" w:hAnsi="宋体" w:eastAsia="仿宋_GB2312"/>
          <w:b/>
          <w:bCs/>
          <w:sz w:val="30"/>
          <w:szCs w:val="30"/>
        </w:rPr>
        <w:t>上注明：采购项目名称、采购项目编号、报价单位名称、</w:t>
      </w:r>
      <w:r>
        <w:rPr>
          <w:rFonts w:hint="eastAsia" w:ascii="仿宋_GB2312" w:hAnsi="宋体" w:eastAsia="仿宋_GB2312"/>
          <w:b/>
          <w:bCs/>
          <w:sz w:val="30"/>
          <w:szCs w:val="30"/>
          <w:lang w:eastAsia="zh-CN"/>
        </w:rPr>
        <w:t>联系人、联系方式；</w:t>
      </w:r>
      <w:r>
        <w:rPr>
          <w:rFonts w:hint="eastAsia" w:ascii="仿宋_GB2312" w:hAnsi="宋体" w:eastAsia="仿宋_GB2312"/>
          <w:b/>
          <w:bCs/>
          <w:color w:val="FF0000"/>
          <w:sz w:val="30"/>
          <w:szCs w:val="30"/>
          <w:lang w:val="en-US" w:eastAsia="zh-CN"/>
        </w:rPr>
        <w:t>报价资格文件装订密封方式与报价文件一致</w:t>
      </w:r>
      <w:r>
        <w:rPr>
          <w:rFonts w:hint="default" w:ascii="仿宋_GB2312" w:hAnsi="宋体" w:eastAsia="仿宋_GB2312"/>
          <w:b/>
          <w:bCs/>
          <w:color w:val="FF0000"/>
          <w:sz w:val="30"/>
          <w:szCs w:val="30"/>
          <w:lang w:eastAsia="zh-CN"/>
        </w:rPr>
        <w:t>。</w:t>
      </w:r>
    </w:p>
    <w:p w14:paraId="5E6C7F68">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六、报价文件的签署和份数。</w:t>
      </w:r>
    </w:p>
    <w:p w14:paraId="554A1C41">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（一）报价文件需打印或用不褪色的墨水填写。报价文件的装订顺序应按本章第六条</w:t>
      </w:r>
      <w:r>
        <w:rPr>
          <w:rFonts w:hint="eastAsia" w:ascii="仿宋_GB2312" w:hAnsi="宋体" w:eastAsia="仿宋_GB2312"/>
          <w:sz w:val="30"/>
          <w:szCs w:val="30"/>
          <w:lang w:eastAsia="zh-CN"/>
        </w:rPr>
        <w:t>所述</w:t>
      </w:r>
      <w:r>
        <w:rPr>
          <w:rFonts w:hint="eastAsia" w:ascii="仿宋_GB2312" w:hAnsi="宋体" w:eastAsia="仿宋_GB2312"/>
          <w:sz w:val="30"/>
          <w:szCs w:val="30"/>
        </w:rPr>
        <w:t>顺序装订。</w:t>
      </w:r>
    </w:p>
    <w:p w14:paraId="19CD4B9F">
      <w:pPr>
        <w:pageBreakBefore w:val="0"/>
        <w:kinsoku/>
        <w:wordWrap/>
        <w:topLinePunct w:val="0"/>
        <w:bidi w:val="0"/>
        <w:snapToGrid w:val="0"/>
        <w:spacing w:line="360" w:lineRule="auto"/>
        <w:ind w:firstLine="600" w:firstLineChars="200"/>
        <w:rPr>
          <w:rFonts w:ascii="仿宋_GB2312" w:eastAsia="仿宋_GB2312"/>
          <w:sz w:val="30"/>
          <w:szCs w:val="30"/>
        </w:rPr>
      </w:pPr>
      <w:r>
        <w:rPr>
          <w:rFonts w:hint="eastAsia" w:ascii="仿宋_GB2312" w:eastAsia="仿宋_GB2312"/>
          <w:sz w:val="30"/>
          <w:szCs w:val="30"/>
        </w:rPr>
        <w:t>（二）报价文件凡需要盖章处均须由报价单位盖公章，并由法定代表人或</w:t>
      </w:r>
      <w:r>
        <w:rPr>
          <w:rFonts w:hint="eastAsia" w:ascii="仿宋_GB2312" w:eastAsia="仿宋_GB2312"/>
          <w:sz w:val="30"/>
          <w:szCs w:val="30"/>
          <w:lang w:eastAsia="zh-CN"/>
        </w:rPr>
        <w:t>授权</w:t>
      </w:r>
      <w:r>
        <w:rPr>
          <w:rFonts w:hint="eastAsia" w:ascii="仿宋_GB2312" w:eastAsia="仿宋_GB2312"/>
          <w:sz w:val="30"/>
          <w:szCs w:val="30"/>
        </w:rPr>
        <w:t>代表签署，</w:t>
      </w:r>
      <w:r>
        <w:rPr>
          <w:rFonts w:hint="eastAsia" w:ascii="仿宋_GB2312" w:eastAsia="仿宋_GB2312"/>
          <w:sz w:val="30"/>
          <w:szCs w:val="30"/>
          <w:lang w:val="en-US" w:eastAsia="zh-CN"/>
        </w:rPr>
        <w:t>报价人</w:t>
      </w:r>
      <w:r>
        <w:rPr>
          <w:rFonts w:hint="eastAsia" w:ascii="仿宋_GB2312" w:eastAsia="仿宋_GB2312"/>
          <w:sz w:val="30"/>
          <w:szCs w:val="30"/>
        </w:rPr>
        <w:t>单位应写全称。</w:t>
      </w:r>
    </w:p>
    <w:p w14:paraId="33122ABA">
      <w:pPr>
        <w:pageBreakBefore w:val="0"/>
        <w:kinsoku/>
        <w:wordWrap/>
        <w:topLinePunct w:val="0"/>
        <w:bidi w:val="0"/>
        <w:snapToGrid w:val="0"/>
        <w:spacing w:line="360" w:lineRule="auto"/>
        <w:ind w:firstLine="615" w:firstLineChars="205"/>
        <w:jc w:val="left"/>
        <w:rPr>
          <w:rFonts w:hint="eastAsia" w:ascii="仿宋_GB2312" w:eastAsia="仿宋_GB2312"/>
          <w:sz w:val="30"/>
          <w:szCs w:val="30"/>
          <w:lang w:eastAsia="zh-CN"/>
        </w:rPr>
      </w:pPr>
      <w:r>
        <w:rPr>
          <w:rFonts w:hint="eastAsia" w:ascii="仿宋_GB2312" w:eastAsia="仿宋_GB2312"/>
          <w:sz w:val="30"/>
          <w:szCs w:val="30"/>
        </w:rPr>
        <w:t>（三）</w:t>
      </w:r>
      <w:r>
        <w:rPr>
          <w:rFonts w:hint="eastAsia" w:ascii="仿宋_GB2312" w:eastAsia="仿宋_GB2312"/>
          <w:sz w:val="30"/>
          <w:szCs w:val="30"/>
          <w:lang w:val="en-US" w:eastAsia="zh-CN"/>
        </w:rPr>
        <w:t>报价人</w:t>
      </w:r>
      <w:r>
        <w:rPr>
          <w:rFonts w:hint="eastAsia" w:ascii="仿宋_GB2312" w:eastAsia="仿宋_GB2312"/>
          <w:sz w:val="30"/>
          <w:szCs w:val="30"/>
        </w:rPr>
        <w:t>应按照询价文件的格式要求制作报价文件，报价文件正本1份</w:t>
      </w:r>
      <w:r>
        <w:rPr>
          <w:rFonts w:hint="eastAsia" w:ascii="仿宋_GB2312" w:eastAsia="仿宋_GB2312"/>
          <w:sz w:val="30"/>
          <w:szCs w:val="30"/>
          <w:lang w:eastAsia="zh-CN"/>
        </w:rPr>
        <w:t>，副本</w:t>
      </w:r>
      <w:r>
        <w:rPr>
          <w:rFonts w:hint="eastAsia" w:ascii="仿宋_GB2312" w:eastAsia="仿宋_GB2312"/>
          <w:sz w:val="30"/>
          <w:szCs w:val="30"/>
          <w:lang w:val="en-US" w:eastAsia="zh-CN"/>
        </w:rPr>
        <w:t>4份</w:t>
      </w:r>
      <w:r>
        <w:rPr>
          <w:rFonts w:hint="eastAsia" w:ascii="仿宋_GB2312" w:eastAsia="仿宋_GB2312"/>
          <w:sz w:val="30"/>
          <w:szCs w:val="30"/>
          <w:lang w:eastAsia="zh-CN"/>
        </w:rPr>
        <w:t>。</w:t>
      </w:r>
    </w:p>
    <w:p w14:paraId="1B2E3F7E">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七、报价文件的递交。</w:t>
      </w:r>
    </w:p>
    <w:p w14:paraId="47043CE7">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（一）如果</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未加写标记，</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对报价文件的误投和提前启封不负责任。</w:t>
      </w:r>
    </w:p>
    <w:p w14:paraId="625A1FFB">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（二）</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接受</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报价文件时间：在报价截止时间前接受报价文件。</w:t>
      </w:r>
    </w:p>
    <w:p w14:paraId="5A7BEB9D">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（三）报价截止时间前，</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可以书面形式向</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已递交的报价文件提出补充和修改，</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以最后的补充和修改为准。该书面材料应密封，由法定代表人或授权委托人签字并加盖公章。</w:t>
      </w:r>
    </w:p>
    <w:p w14:paraId="6123A858">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（四）报价文件填写字迹必须清楚、工整，对不同文字文本报价文件的解释发生异议的，以中文文本为准。</w:t>
      </w:r>
    </w:p>
    <w:p w14:paraId="4C731654">
      <w:pPr>
        <w:pageBreakBefore w:val="0"/>
        <w:kinsoku/>
        <w:wordWrap/>
        <w:topLinePunct w:val="0"/>
        <w:bidi w:val="0"/>
        <w:snapToGrid w:val="0"/>
        <w:spacing w:line="360" w:lineRule="auto"/>
        <w:ind w:left="1" w:firstLine="774" w:firstLineChars="257"/>
        <w:outlineLvl w:val="1"/>
        <w:rPr>
          <w:rFonts w:hint="eastAsia" w:ascii="仿宋_GB2312" w:eastAsia="仿宋_GB2312"/>
          <w:b/>
          <w:bCs/>
          <w:sz w:val="30"/>
          <w:szCs w:val="30"/>
          <w:lang w:eastAsia="zh-CN"/>
        </w:rPr>
      </w:pPr>
      <w:r>
        <w:rPr>
          <w:rFonts w:hint="eastAsia" w:ascii="仿宋_GB2312" w:eastAsia="仿宋_GB2312"/>
          <w:b/>
          <w:bCs/>
          <w:sz w:val="30"/>
          <w:szCs w:val="30"/>
          <w:lang w:eastAsia="zh-CN"/>
        </w:rPr>
        <w:t>八</w:t>
      </w:r>
      <w:r>
        <w:rPr>
          <w:rFonts w:hint="eastAsia" w:ascii="仿宋_GB2312" w:eastAsia="仿宋_GB2312"/>
          <w:b/>
          <w:bCs/>
          <w:sz w:val="30"/>
          <w:szCs w:val="30"/>
        </w:rPr>
        <w:t>、无效报价</w:t>
      </w:r>
      <w:r>
        <w:rPr>
          <w:rFonts w:hint="eastAsia" w:ascii="仿宋_GB2312" w:eastAsia="仿宋_GB2312"/>
          <w:b/>
          <w:bCs/>
          <w:sz w:val="30"/>
          <w:szCs w:val="30"/>
          <w:lang w:eastAsia="zh-CN"/>
        </w:rPr>
        <w:t>。</w:t>
      </w:r>
    </w:p>
    <w:p w14:paraId="0FE9A41E">
      <w:pPr>
        <w:pageBreakBefore w:val="0"/>
        <w:kinsoku/>
        <w:wordWrap/>
        <w:topLinePunct w:val="0"/>
        <w:bidi w:val="0"/>
        <w:snapToGrid w:val="0"/>
        <w:spacing w:line="360" w:lineRule="auto"/>
        <w:ind w:left="1" w:firstLine="771" w:firstLineChars="257"/>
        <w:rPr>
          <w:rFonts w:ascii="仿宋_GB2312" w:eastAsia="仿宋_GB2312"/>
          <w:sz w:val="30"/>
          <w:szCs w:val="30"/>
        </w:rPr>
      </w:pPr>
      <w:r>
        <w:rPr>
          <w:rFonts w:hint="eastAsia" w:ascii="仿宋_GB2312" w:eastAsia="仿宋_GB2312"/>
          <w:sz w:val="30"/>
          <w:szCs w:val="30"/>
        </w:rPr>
        <w:t>发生下列情况之一的，</w:t>
      </w:r>
      <w:r>
        <w:rPr>
          <w:rFonts w:hint="eastAsia" w:ascii="仿宋_GB2312" w:eastAsia="仿宋_GB2312"/>
          <w:sz w:val="30"/>
          <w:szCs w:val="30"/>
          <w:lang w:val="en-US" w:eastAsia="zh-CN"/>
        </w:rPr>
        <w:t>采购人</w:t>
      </w:r>
      <w:r>
        <w:rPr>
          <w:rFonts w:hint="eastAsia" w:ascii="仿宋_GB2312" w:eastAsia="仿宋_GB2312"/>
          <w:sz w:val="30"/>
          <w:szCs w:val="30"/>
        </w:rPr>
        <w:t>可视情况作无效报价处理：</w:t>
      </w:r>
    </w:p>
    <w:p w14:paraId="71DDD2CE">
      <w:pPr>
        <w:pageBreakBefore w:val="0"/>
        <w:kinsoku/>
        <w:wordWrap/>
        <w:topLinePunct w:val="0"/>
        <w:bidi w:val="0"/>
        <w:snapToGrid w:val="0"/>
        <w:spacing w:line="360" w:lineRule="auto"/>
        <w:ind w:firstLine="612" w:firstLineChars="204"/>
        <w:rPr>
          <w:rFonts w:ascii="仿宋_GB2312" w:eastAsia="仿宋_GB2312"/>
          <w:sz w:val="30"/>
          <w:szCs w:val="30"/>
        </w:rPr>
      </w:pPr>
      <w:r>
        <w:rPr>
          <w:rFonts w:hint="eastAsia" w:ascii="仿宋_GB2312" w:eastAsia="仿宋_GB2312"/>
          <w:sz w:val="30"/>
          <w:szCs w:val="30"/>
        </w:rPr>
        <w:t>（一）在</w:t>
      </w:r>
      <w:r>
        <w:rPr>
          <w:rFonts w:hint="eastAsia" w:ascii="仿宋_GB2312" w:eastAsia="仿宋_GB2312"/>
          <w:sz w:val="30"/>
          <w:szCs w:val="30"/>
          <w:lang w:val="en-US" w:eastAsia="zh-CN"/>
        </w:rPr>
        <w:t>采购人</w:t>
      </w:r>
      <w:r>
        <w:rPr>
          <w:rFonts w:hint="eastAsia" w:ascii="仿宋_GB2312" w:eastAsia="仿宋_GB2312"/>
          <w:sz w:val="30"/>
          <w:szCs w:val="30"/>
        </w:rPr>
        <w:t>规定的截止时间以后送达的报价文件。</w:t>
      </w:r>
    </w:p>
    <w:p w14:paraId="2E0B90DB">
      <w:pPr>
        <w:pageBreakBefore w:val="0"/>
        <w:kinsoku/>
        <w:wordWrap/>
        <w:topLinePunct w:val="0"/>
        <w:bidi w:val="0"/>
        <w:snapToGrid w:val="0"/>
        <w:spacing w:line="360" w:lineRule="auto"/>
        <w:ind w:firstLine="612" w:firstLineChars="204"/>
        <w:rPr>
          <w:rFonts w:ascii="仿宋_GB2312" w:eastAsia="仿宋_GB2312"/>
          <w:sz w:val="30"/>
          <w:szCs w:val="30"/>
        </w:rPr>
      </w:pPr>
      <w:r>
        <w:rPr>
          <w:rFonts w:hint="eastAsia" w:ascii="仿宋_GB2312" w:eastAsia="仿宋_GB2312"/>
          <w:sz w:val="30"/>
          <w:szCs w:val="30"/>
        </w:rPr>
        <w:t>（二）提供两个或两个以上报价方案的。</w:t>
      </w:r>
    </w:p>
    <w:p w14:paraId="46B05D9D">
      <w:pPr>
        <w:pageBreakBefore w:val="0"/>
        <w:kinsoku/>
        <w:wordWrap/>
        <w:topLinePunct w:val="0"/>
        <w:bidi w:val="0"/>
        <w:snapToGrid w:val="0"/>
        <w:spacing w:line="360" w:lineRule="auto"/>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rPr>
        <w:t>（三）报价文件应盖公章而未盖公章或盖非公司公章、未装订、</w:t>
      </w:r>
      <w:r>
        <w:rPr>
          <w:rFonts w:hint="eastAsia" w:ascii="仿宋_GB2312" w:eastAsia="仿宋_GB2312"/>
          <w:sz w:val="30"/>
          <w:szCs w:val="30"/>
          <w:lang w:val="en-US" w:eastAsia="zh-CN"/>
        </w:rPr>
        <w:t>未密封、未有效授权的。</w:t>
      </w:r>
    </w:p>
    <w:p w14:paraId="11A4A250">
      <w:pPr>
        <w:pageBreakBefore w:val="0"/>
        <w:kinsoku/>
        <w:wordWrap/>
        <w:topLinePunct w:val="0"/>
        <w:bidi w:val="0"/>
        <w:snapToGrid w:val="0"/>
        <w:spacing w:line="360" w:lineRule="auto"/>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 xml:space="preserve">    （四）报价总价超过最高限价的。</w:t>
      </w:r>
    </w:p>
    <w:p w14:paraId="70C8B54B">
      <w:pPr>
        <w:pageBreakBefore w:val="0"/>
        <w:kinsoku/>
        <w:wordWrap/>
        <w:topLinePunct w:val="0"/>
        <w:bidi w:val="0"/>
        <w:snapToGrid w:val="0"/>
        <w:spacing w:line="360" w:lineRule="auto"/>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 xml:space="preserve">    （五）所提供的资料存在弄虚作假的。</w:t>
      </w:r>
    </w:p>
    <w:p w14:paraId="5C1C01D5">
      <w:pPr>
        <w:keepNext w:val="0"/>
        <w:keepLines w:val="0"/>
        <w:pageBreakBefore w:val="0"/>
        <w:widowControl w:val="0"/>
        <w:kinsoku/>
        <w:wordWrap/>
        <w:overflowPunct/>
        <w:topLinePunct w:val="0"/>
        <w:autoSpaceDE/>
        <w:autoSpaceDN/>
        <w:bidi w:val="0"/>
        <w:adjustRightInd/>
        <w:snapToGrid w:val="0"/>
        <w:spacing w:line="360" w:lineRule="auto"/>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（六）不符合法律法规和本询价文件规定的其他要求的。</w:t>
      </w:r>
    </w:p>
    <w:p w14:paraId="5A290253">
      <w:pPr>
        <w:pageBreakBefore w:val="0"/>
        <w:kinsoku/>
        <w:wordWrap/>
        <w:topLinePunct w:val="0"/>
        <w:bidi w:val="0"/>
        <w:snapToGrid w:val="0"/>
        <w:spacing w:line="360" w:lineRule="auto"/>
        <w:ind w:left="1" w:firstLine="774" w:firstLineChars="257"/>
        <w:outlineLvl w:val="1"/>
        <w:rPr>
          <w:rFonts w:hint="eastAsia" w:ascii="仿宋_GB2312" w:eastAsia="仿宋_GB2312"/>
          <w:b/>
          <w:bCs/>
          <w:sz w:val="30"/>
          <w:szCs w:val="30"/>
          <w:lang w:val="en-US" w:eastAsia="zh-CN"/>
        </w:rPr>
      </w:pPr>
      <w:r>
        <w:rPr>
          <w:rFonts w:hint="eastAsia" w:ascii="仿宋_GB2312" w:eastAsia="仿宋_GB2312"/>
          <w:b/>
          <w:bCs/>
          <w:sz w:val="30"/>
          <w:szCs w:val="30"/>
          <w:lang w:val="en-US" w:eastAsia="zh-CN"/>
        </w:rPr>
        <w:t>九、询价过程。</w:t>
      </w:r>
    </w:p>
    <w:p w14:paraId="39B2D471">
      <w:pPr>
        <w:pageBreakBefore w:val="0"/>
        <w:kinsoku/>
        <w:wordWrap/>
        <w:topLinePunct w:val="0"/>
        <w:bidi w:val="0"/>
        <w:snapToGrid w:val="0"/>
        <w:spacing w:line="360" w:lineRule="auto"/>
        <w:jc w:val="left"/>
        <w:rPr>
          <w:rFonts w:ascii="仿宋_GB2312" w:eastAsia="仿宋_GB2312"/>
          <w:sz w:val="30"/>
          <w:szCs w:val="30"/>
        </w:rPr>
      </w:pPr>
      <w:r>
        <w:rPr>
          <w:rFonts w:hint="eastAsia" w:ascii="仿宋_GB2312" w:eastAsia="仿宋_GB2312"/>
          <w:sz w:val="30"/>
          <w:szCs w:val="30"/>
        </w:rPr>
        <w:t xml:space="preserve">    （一）</w:t>
      </w:r>
      <w:r>
        <w:rPr>
          <w:rFonts w:hint="eastAsia" w:ascii="仿宋_GB2312" w:eastAsia="仿宋_GB2312"/>
          <w:sz w:val="30"/>
          <w:szCs w:val="30"/>
          <w:lang w:val="en-US" w:eastAsia="zh-CN"/>
        </w:rPr>
        <w:t>采购人</w:t>
      </w:r>
      <w:r>
        <w:rPr>
          <w:rFonts w:hint="eastAsia" w:ascii="仿宋_GB2312" w:eastAsia="仿宋_GB2312"/>
          <w:sz w:val="30"/>
          <w:szCs w:val="30"/>
        </w:rPr>
        <w:t>组织3人</w:t>
      </w:r>
      <w:r>
        <w:rPr>
          <w:rFonts w:hint="eastAsia" w:ascii="仿宋_GB2312" w:eastAsia="仿宋_GB2312"/>
          <w:sz w:val="30"/>
          <w:szCs w:val="30"/>
          <w:lang w:eastAsia="zh-CN"/>
        </w:rPr>
        <w:t>或</w:t>
      </w:r>
      <w:r>
        <w:rPr>
          <w:rFonts w:hint="eastAsia" w:ascii="仿宋_GB2312" w:eastAsia="仿宋_GB2312"/>
          <w:sz w:val="30"/>
          <w:szCs w:val="30"/>
          <w:lang w:val="en-US" w:eastAsia="zh-CN"/>
        </w:rPr>
        <w:t>3人以上</w:t>
      </w:r>
      <w:r>
        <w:rPr>
          <w:rFonts w:hint="eastAsia" w:ascii="仿宋_GB2312" w:eastAsia="仿宋_GB2312"/>
          <w:sz w:val="30"/>
          <w:szCs w:val="30"/>
        </w:rPr>
        <w:t>组成询价评审小组。</w:t>
      </w:r>
    </w:p>
    <w:p w14:paraId="1B15F8AE">
      <w:pPr>
        <w:pageBreakBefore w:val="0"/>
        <w:kinsoku/>
        <w:wordWrap/>
        <w:topLinePunct w:val="0"/>
        <w:bidi w:val="0"/>
        <w:snapToGrid w:val="0"/>
        <w:spacing w:line="360" w:lineRule="auto"/>
        <w:ind w:firstLine="600" w:firstLineChars="200"/>
        <w:jc w:val="left"/>
        <w:rPr>
          <w:rFonts w:ascii="仿宋_GB2312" w:eastAsia="仿宋_GB2312"/>
          <w:sz w:val="30"/>
          <w:szCs w:val="30"/>
        </w:rPr>
      </w:pPr>
      <w:r>
        <w:rPr>
          <w:rFonts w:hint="eastAsia" w:ascii="仿宋_GB2312" w:eastAsia="仿宋_GB2312"/>
          <w:sz w:val="30"/>
          <w:szCs w:val="30"/>
        </w:rPr>
        <w:t>（二）</w:t>
      </w:r>
      <w:r>
        <w:rPr>
          <w:rFonts w:hint="eastAsia" w:ascii="仿宋_GB2312" w:eastAsia="仿宋_GB2312"/>
          <w:sz w:val="30"/>
          <w:szCs w:val="30"/>
          <w:lang w:val="en-US" w:eastAsia="zh-CN"/>
        </w:rPr>
        <w:t>采购人</w:t>
      </w:r>
      <w:r>
        <w:rPr>
          <w:rFonts w:hint="eastAsia" w:ascii="仿宋_GB2312" w:eastAsia="仿宋_GB2312"/>
          <w:sz w:val="30"/>
          <w:szCs w:val="30"/>
        </w:rPr>
        <w:t>在询价文件规定的时间和地点</w:t>
      </w:r>
      <w:r>
        <w:rPr>
          <w:rFonts w:hint="eastAsia" w:ascii="仿宋_GB2312" w:eastAsia="仿宋_GB2312"/>
          <w:sz w:val="30"/>
          <w:szCs w:val="30"/>
          <w:lang w:eastAsia="zh-CN"/>
        </w:rPr>
        <w:t>进行开标</w:t>
      </w:r>
      <w:r>
        <w:rPr>
          <w:rFonts w:hint="eastAsia" w:ascii="仿宋_GB2312" w:eastAsia="仿宋_GB2312"/>
          <w:sz w:val="30"/>
          <w:szCs w:val="30"/>
        </w:rPr>
        <w:t>。</w:t>
      </w:r>
    </w:p>
    <w:p w14:paraId="598C5C1C">
      <w:pPr>
        <w:pageBreakBefore w:val="0"/>
        <w:kinsoku/>
        <w:wordWrap/>
        <w:topLinePunct w:val="0"/>
        <w:bidi w:val="0"/>
        <w:snapToGrid w:val="0"/>
        <w:spacing w:line="360" w:lineRule="auto"/>
        <w:ind w:firstLine="600" w:firstLineChars="200"/>
        <w:jc w:val="left"/>
        <w:rPr>
          <w:rFonts w:ascii="仿宋_GB2312" w:eastAsia="仿宋_GB2312"/>
          <w:sz w:val="30"/>
          <w:szCs w:val="30"/>
        </w:rPr>
      </w:pPr>
      <w:r>
        <w:rPr>
          <w:rFonts w:hint="eastAsia" w:ascii="仿宋_GB2312" w:eastAsia="仿宋_GB2312"/>
          <w:sz w:val="30"/>
          <w:szCs w:val="30"/>
        </w:rPr>
        <w:t>（三）</w:t>
      </w:r>
      <w:r>
        <w:rPr>
          <w:rFonts w:hint="eastAsia" w:ascii="仿宋_GB2312" w:eastAsia="仿宋_GB2312"/>
          <w:sz w:val="30"/>
          <w:szCs w:val="30"/>
          <w:lang w:eastAsia="zh-CN"/>
        </w:rPr>
        <w:t>开标</w:t>
      </w:r>
      <w:r>
        <w:rPr>
          <w:rFonts w:hint="eastAsia" w:ascii="仿宋_GB2312" w:eastAsia="仿宋_GB2312"/>
          <w:sz w:val="30"/>
          <w:szCs w:val="30"/>
        </w:rPr>
        <w:t>时，</w:t>
      </w:r>
      <w:r>
        <w:rPr>
          <w:rFonts w:hint="eastAsia" w:ascii="仿宋_GB2312" w:eastAsia="仿宋_GB2312"/>
          <w:sz w:val="30"/>
          <w:szCs w:val="30"/>
          <w:lang w:val="en-US" w:eastAsia="zh-CN"/>
        </w:rPr>
        <w:t>采购人</w:t>
      </w:r>
      <w:r>
        <w:rPr>
          <w:rFonts w:hint="eastAsia" w:ascii="仿宋_GB2312" w:eastAsia="仿宋_GB2312"/>
          <w:sz w:val="30"/>
          <w:szCs w:val="30"/>
        </w:rPr>
        <w:t>将查验报价文件密封情况，确认无误后公开拆封报价文件报价。</w:t>
      </w:r>
    </w:p>
    <w:p w14:paraId="06430990">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lang w:eastAsia="zh-CN"/>
        </w:rPr>
      </w:pPr>
      <w:r>
        <w:rPr>
          <w:rFonts w:hint="eastAsia" w:ascii="仿宋_GB2312" w:eastAsia="仿宋_GB2312"/>
          <w:b/>
          <w:bCs/>
          <w:sz w:val="30"/>
          <w:szCs w:val="30"/>
        </w:rPr>
        <w:t>十、</w:t>
      </w:r>
      <w:r>
        <w:rPr>
          <w:rFonts w:hint="eastAsia" w:ascii="仿宋_GB2312" w:eastAsia="仿宋_GB2312"/>
          <w:b/>
          <w:bCs/>
          <w:sz w:val="30"/>
          <w:szCs w:val="30"/>
          <w:lang w:eastAsia="zh-CN"/>
        </w:rPr>
        <w:t>重新询价和不再询价。</w:t>
      </w:r>
    </w:p>
    <w:p w14:paraId="0D7FF31D">
      <w:pPr>
        <w:pageBreakBefore w:val="0"/>
        <w:kinsoku/>
        <w:wordWrap/>
        <w:topLinePunct w:val="0"/>
        <w:bidi w:val="0"/>
        <w:snapToGrid w:val="0"/>
        <w:spacing w:line="360" w:lineRule="auto"/>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（一）重新询价</w:t>
      </w:r>
    </w:p>
    <w:p w14:paraId="3313344D">
      <w:pPr>
        <w:pageBreakBefore w:val="0"/>
        <w:kinsoku/>
        <w:wordWrap/>
        <w:topLinePunct w:val="0"/>
        <w:bidi w:val="0"/>
        <w:snapToGrid w:val="0"/>
        <w:spacing w:line="360" w:lineRule="auto"/>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lang w:eastAsia="zh-CN"/>
        </w:rPr>
        <w:t>询价截止时间止，报价人少于3家的或经评审后有效标不足3家，采购人将重新询价。</w:t>
      </w:r>
    </w:p>
    <w:p w14:paraId="29100C71">
      <w:pPr>
        <w:pageBreakBefore w:val="0"/>
        <w:kinsoku/>
        <w:wordWrap/>
        <w:topLinePunct w:val="0"/>
        <w:bidi w:val="0"/>
        <w:snapToGrid w:val="0"/>
        <w:spacing w:line="360" w:lineRule="auto"/>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（二）不再询价</w:t>
      </w:r>
    </w:p>
    <w:p w14:paraId="33622BEC">
      <w:pPr>
        <w:pageBreakBefore w:val="0"/>
        <w:kinsoku/>
        <w:wordWrap/>
        <w:topLinePunct w:val="0"/>
        <w:bidi w:val="0"/>
        <w:snapToGrid w:val="0"/>
        <w:spacing w:line="360" w:lineRule="auto"/>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重新询价后报价人仍少于3个或者经评审有效标不足3家，直接转为竞争性谈判，询价文件即为谈判文件，评标小组成员即为谈判小组成员。</w:t>
      </w:r>
    </w:p>
    <w:p w14:paraId="78FC0D2E">
      <w:pPr>
        <w:pageBreakBefore w:val="0"/>
        <w:kinsoku/>
        <w:wordWrap/>
        <w:topLinePunct w:val="0"/>
        <w:bidi w:val="0"/>
        <w:snapToGrid w:val="0"/>
        <w:spacing w:line="360" w:lineRule="auto"/>
        <w:ind w:firstLine="602" w:firstLineChars="200"/>
        <w:jc w:val="left"/>
        <w:outlineLvl w:val="1"/>
        <w:rPr>
          <w:rFonts w:ascii="仿宋_GB2312" w:eastAsia="仿宋_GB2312"/>
          <w:b/>
          <w:bCs/>
          <w:color w:val="auto"/>
          <w:sz w:val="30"/>
          <w:szCs w:val="30"/>
          <w:highlight w:val="none"/>
        </w:rPr>
      </w:pPr>
      <w:r>
        <w:rPr>
          <w:rFonts w:hint="eastAsia" w:ascii="仿宋_GB2312" w:eastAsia="仿宋_GB2312"/>
          <w:b/>
          <w:bCs/>
          <w:color w:val="auto"/>
          <w:sz w:val="30"/>
          <w:szCs w:val="30"/>
          <w:highlight w:val="none"/>
          <w:lang w:eastAsia="zh-CN"/>
        </w:rPr>
        <w:t>十一、</w:t>
      </w:r>
      <w:r>
        <w:rPr>
          <w:rFonts w:hint="eastAsia" w:ascii="仿宋_GB2312" w:eastAsia="仿宋_GB2312"/>
          <w:b/>
          <w:bCs/>
          <w:color w:val="auto"/>
          <w:sz w:val="30"/>
          <w:szCs w:val="30"/>
          <w:highlight w:val="none"/>
        </w:rPr>
        <w:t>成交原则与</w:t>
      </w:r>
      <w:r>
        <w:rPr>
          <w:rFonts w:hint="eastAsia" w:ascii="仿宋_GB2312" w:eastAsia="仿宋_GB2312"/>
          <w:b/>
          <w:bCs/>
          <w:color w:val="auto"/>
          <w:sz w:val="30"/>
          <w:szCs w:val="30"/>
          <w:highlight w:val="none"/>
          <w:lang w:val="en-US" w:eastAsia="zh-CN"/>
        </w:rPr>
        <w:t>二次报价</w:t>
      </w:r>
      <w:r>
        <w:rPr>
          <w:rFonts w:hint="eastAsia" w:ascii="仿宋_GB2312" w:eastAsia="仿宋_GB2312"/>
          <w:b/>
          <w:bCs/>
          <w:color w:val="auto"/>
          <w:sz w:val="30"/>
          <w:szCs w:val="30"/>
          <w:highlight w:val="none"/>
        </w:rPr>
        <w:t>。</w:t>
      </w:r>
    </w:p>
    <w:p w14:paraId="366C9130">
      <w:pPr>
        <w:pageBreakBefore w:val="0"/>
        <w:kinsoku/>
        <w:wordWrap/>
        <w:topLinePunct w:val="0"/>
        <w:bidi w:val="0"/>
        <w:snapToGrid w:val="0"/>
        <w:spacing w:line="360" w:lineRule="auto"/>
        <w:ind w:firstLine="600" w:firstLineChars="200"/>
        <w:jc w:val="left"/>
        <w:rPr>
          <w:rFonts w:hint="eastAsia" w:ascii="仿宋_GB2312" w:eastAsia="仿宋_GB2312"/>
          <w:color w:val="auto"/>
          <w:sz w:val="30"/>
          <w:szCs w:val="30"/>
          <w:highlight w:val="none"/>
          <w:lang w:eastAsia="zh-CN"/>
        </w:rPr>
      </w:pPr>
      <w:r>
        <w:rPr>
          <w:rFonts w:hint="eastAsia" w:ascii="仿宋_GB2312" w:eastAsia="仿宋_GB2312"/>
          <w:color w:val="auto"/>
          <w:sz w:val="30"/>
          <w:szCs w:val="30"/>
          <w:highlight w:val="none"/>
        </w:rPr>
        <w:t>（一）为保障公司利益最大化，在初次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rPr>
        <w:t>基础上，我司将开展二次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rPr>
        <w:t>工作。</w:t>
      </w:r>
      <w:r>
        <w:rPr>
          <w:rFonts w:hint="eastAsia" w:ascii="仿宋_GB2312" w:eastAsia="仿宋_GB2312"/>
          <w:color w:val="auto"/>
          <w:sz w:val="30"/>
          <w:szCs w:val="30"/>
          <w:highlight w:val="none"/>
          <w:lang w:eastAsia="zh-CN"/>
        </w:rPr>
        <w:t>二次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lang w:eastAsia="zh-CN"/>
        </w:rPr>
        <w:t>将针对初次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lang w:eastAsia="zh-CN"/>
        </w:rPr>
        <w:t>中部分关键条款或价格存在调整空间的物资/服务，</w:t>
      </w:r>
      <w:r>
        <w:rPr>
          <w:rFonts w:hint="eastAsia" w:ascii="仿宋_GB2312" w:eastAsia="仿宋_GB2312"/>
          <w:color w:val="auto"/>
          <w:sz w:val="30"/>
          <w:szCs w:val="30"/>
          <w:highlight w:val="none"/>
          <w:lang w:val="en-US" w:eastAsia="zh-CN"/>
        </w:rPr>
        <w:t>遵循公平、公正、公开的原则进行。</w:t>
      </w:r>
      <w:r>
        <w:rPr>
          <w:rFonts w:hint="eastAsia" w:ascii="仿宋_GB2312" w:eastAsia="仿宋_GB2312"/>
          <w:color w:val="auto"/>
          <w:sz w:val="30"/>
          <w:szCs w:val="30"/>
          <w:highlight w:val="none"/>
          <w:lang w:eastAsia="zh-CN"/>
        </w:rPr>
        <w:t>参与二次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lang w:eastAsia="zh-CN"/>
        </w:rPr>
        <w:t>的报价人需严格按照</w:t>
      </w:r>
      <w:r>
        <w:rPr>
          <w:rFonts w:hint="eastAsia" w:ascii="仿宋_GB2312" w:eastAsia="仿宋_GB2312"/>
          <w:color w:val="auto"/>
          <w:sz w:val="30"/>
          <w:szCs w:val="30"/>
          <w:highlight w:val="none"/>
          <w:lang w:val="en-US" w:eastAsia="zh-CN"/>
        </w:rPr>
        <w:t>采购人</w:t>
      </w:r>
      <w:r>
        <w:rPr>
          <w:rFonts w:hint="eastAsia" w:ascii="仿宋_GB2312" w:eastAsia="仿宋_GB2312"/>
          <w:color w:val="auto"/>
          <w:sz w:val="30"/>
          <w:szCs w:val="30"/>
          <w:highlight w:val="none"/>
          <w:lang w:eastAsia="zh-CN"/>
        </w:rPr>
        <w:t>提供的二次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lang w:eastAsia="zh-CN"/>
        </w:rPr>
        <w:t>文件要求，在规定的时间内提交详细且具有竞争力的报价及相关说明。报价应涵盖所有费用明细，确保清晰透明。报价人在二次报价时，除需提供更新后的价格信息外，还需对初次报价中的相关疑问或我司提出的特定要求做出明确回应，确保报价的完整性与准确性。</w:t>
      </w:r>
      <w:r>
        <w:rPr>
          <w:rFonts w:hint="eastAsia" w:ascii="仿宋_GB2312" w:eastAsia="仿宋_GB2312"/>
          <w:color w:val="auto"/>
          <w:sz w:val="30"/>
          <w:szCs w:val="30"/>
          <w:highlight w:val="none"/>
          <w:lang w:val="en-US" w:eastAsia="zh-CN"/>
        </w:rPr>
        <w:t>采购人将严格按照既定的招标流程和时间安排，向符合条件的报价人电话发出二次报价通知。报价人的二次报价一经提交，不得更改。采购人组织评审小组对各单位的二次报价资料当场进行审核，在满足采购人要求的前提下，以二次报价金额最低价成交的原则确定中标单位。若出现税率不一致的情况，将以不含税总金额进行比对。 如果出现相同总金额最低报价情况时</w:t>
      </w:r>
      <w:r>
        <w:rPr>
          <w:rFonts w:hint="eastAsia" w:ascii="仿宋_GB2312" w:eastAsia="仿宋_GB2312"/>
          <w:color w:val="auto"/>
          <w:sz w:val="30"/>
          <w:szCs w:val="30"/>
          <w:highlight w:val="none"/>
        </w:rPr>
        <w:t>，总金额最低报价相同的</w:t>
      </w:r>
      <w:r>
        <w:rPr>
          <w:rFonts w:hint="eastAsia" w:ascii="仿宋_GB2312" w:eastAsia="仿宋_GB2312"/>
          <w:color w:val="auto"/>
          <w:sz w:val="30"/>
          <w:szCs w:val="30"/>
          <w:highlight w:val="none"/>
          <w:lang w:val="en-US" w:eastAsia="zh-CN"/>
        </w:rPr>
        <w:t>报价人</w:t>
      </w:r>
      <w:r>
        <w:rPr>
          <w:rFonts w:hint="eastAsia" w:ascii="仿宋_GB2312" w:eastAsia="仿宋_GB2312"/>
          <w:color w:val="auto"/>
          <w:sz w:val="30"/>
          <w:szCs w:val="30"/>
          <w:highlight w:val="none"/>
        </w:rPr>
        <w:t>再进行一轮报价。如报价再相同，则由</w:t>
      </w:r>
      <w:r>
        <w:rPr>
          <w:rFonts w:hint="eastAsia" w:ascii="仿宋_GB2312" w:eastAsia="仿宋_GB2312"/>
          <w:color w:val="auto"/>
          <w:sz w:val="30"/>
          <w:szCs w:val="30"/>
          <w:highlight w:val="none"/>
          <w:lang w:val="en-US" w:eastAsia="zh-CN"/>
        </w:rPr>
        <w:t>采购人</w:t>
      </w:r>
      <w:r>
        <w:rPr>
          <w:rFonts w:hint="eastAsia" w:ascii="仿宋_GB2312" w:eastAsia="仿宋_GB2312"/>
          <w:color w:val="auto"/>
          <w:sz w:val="30"/>
          <w:szCs w:val="30"/>
          <w:highlight w:val="none"/>
        </w:rPr>
        <w:t>抽签决定</w:t>
      </w:r>
      <w:r>
        <w:rPr>
          <w:rFonts w:hint="eastAsia" w:ascii="仿宋_GB2312" w:eastAsia="仿宋_GB2312"/>
          <w:color w:val="auto"/>
          <w:sz w:val="30"/>
          <w:szCs w:val="30"/>
          <w:highlight w:val="none"/>
          <w:lang w:val="en-US" w:eastAsia="zh-CN"/>
        </w:rPr>
        <w:t>中标单位。</w:t>
      </w:r>
    </w:p>
    <w:p w14:paraId="2379838A">
      <w:pPr>
        <w:pStyle w:val="12"/>
        <w:snapToGrid/>
        <w:spacing w:line="360" w:lineRule="auto"/>
        <w:rPr>
          <w:rFonts w:hint="eastAsia"/>
          <w:color w:val="auto"/>
          <w:lang w:eastAsia="zh-CN"/>
        </w:rPr>
      </w:pPr>
      <w:r>
        <w:rPr>
          <w:rFonts w:hint="eastAsia" w:ascii="仿宋_GB2312" w:eastAsia="仿宋_GB2312"/>
          <w:color w:val="auto"/>
          <w:sz w:val="30"/>
          <w:szCs w:val="30"/>
          <w:highlight w:val="none"/>
          <w:lang w:eastAsia="zh-CN"/>
        </w:rPr>
        <w:t>（</w:t>
      </w:r>
      <w:r>
        <w:rPr>
          <w:rFonts w:hint="eastAsia" w:ascii="仿宋_GB2312" w:eastAsia="仿宋_GB2312"/>
          <w:color w:val="auto"/>
          <w:sz w:val="30"/>
          <w:szCs w:val="30"/>
          <w:highlight w:val="none"/>
          <w:lang w:val="en-US" w:eastAsia="zh-CN"/>
        </w:rPr>
        <w:t>二</w:t>
      </w:r>
      <w:r>
        <w:rPr>
          <w:rFonts w:hint="eastAsia" w:ascii="仿宋_GB2312" w:eastAsia="仿宋_GB2312"/>
          <w:color w:val="auto"/>
          <w:sz w:val="30"/>
          <w:szCs w:val="30"/>
          <w:highlight w:val="none"/>
          <w:lang w:eastAsia="zh-CN"/>
        </w:rPr>
        <w:t>）</w:t>
      </w:r>
      <w:r>
        <w:rPr>
          <w:rFonts w:hint="eastAsia" w:ascii="仿宋_GB2312" w:eastAsia="仿宋_GB2312"/>
          <w:color w:val="auto"/>
          <w:sz w:val="30"/>
          <w:szCs w:val="30"/>
          <w:highlight w:val="none"/>
          <w:lang w:val="en-US" w:eastAsia="zh-CN"/>
        </w:rPr>
        <w:t>二次报价流程仅限于采购总金额限价人民币10万元（含）以上的采购项目展开，若采购总金额限价低于人民币10万元（不含）则不进行二次报价，以初次递交报价文件为最终报价。</w:t>
      </w:r>
    </w:p>
    <w:p w14:paraId="7BB50CC3">
      <w:pPr>
        <w:pStyle w:val="12"/>
        <w:snapToGrid/>
        <w:spacing w:line="360" w:lineRule="auto"/>
        <w:ind w:left="0" w:leftChars="0" w:firstLine="600" w:firstLineChars="0"/>
        <w:rPr>
          <w:rFonts w:hint="default" w:ascii="仿宋_GB2312" w:eastAsia="仿宋_GB2312"/>
          <w:color w:val="auto"/>
          <w:sz w:val="30"/>
          <w:szCs w:val="30"/>
          <w:highlight w:val="none"/>
          <w:lang w:val="en-US" w:eastAsia="zh-CN"/>
        </w:rPr>
      </w:pPr>
      <w:r>
        <w:rPr>
          <w:rFonts w:hint="eastAsia" w:ascii="仿宋_GB2312" w:eastAsia="仿宋_GB2312"/>
          <w:color w:val="auto"/>
          <w:sz w:val="30"/>
          <w:szCs w:val="30"/>
          <w:highlight w:val="none"/>
          <w:lang w:val="en-US" w:eastAsia="zh-CN"/>
        </w:rPr>
        <w:t>（三）参与二次报价的报价人需在接到采购人电话通知后30分钟内将盖章后的二次报价文件电子版发至邮箱dzw@sxszsny.com。若超过30分钟采购人未收到准确有效的二次报价文件，则默认报价人保持原价。二次报价文件内容参照附件“二次报价一览表”。</w:t>
      </w:r>
    </w:p>
    <w:p w14:paraId="2E154B8E">
      <w:pPr>
        <w:pageBreakBefore w:val="0"/>
        <w:kinsoku/>
        <w:wordWrap/>
        <w:topLinePunct w:val="0"/>
        <w:bidi w:val="0"/>
        <w:snapToGrid w:val="0"/>
        <w:spacing w:line="360" w:lineRule="auto"/>
        <w:ind w:left="974" w:leftChars="64" w:hanging="840" w:hangingChars="280"/>
        <w:jc w:val="left"/>
        <w:rPr>
          <w:rFonts w:ascii="仿宋_GB2312" w:eastAsia="仿宋_GB2312"/>
          <w:color w:val="auto"/>
          <w:sz w:val="30"/>
          <w:szCs w:val="30"/>
        </w:rPr>
      </w:pPr>
      <w:r>
        <w:rPr>
          <w:rFonts w:hint="eastAsia" w:ascii="仿宋_GB2312" w:eastAsia="仿宋_GB2312"/>
          <w:color w:val="auto"/>
          <w:sz w:val="30"/>
          <w:szCs w:val="30"/>
          <w:highlight w:val="none"/>
        </w:rPr>
        <w:t xml:space="preserve">   （</w:t>
      </w:r>
      <w:r>
        <w:rPr>
          <w:rFonts w:hint="eastAsia" w:ascii="仿宋_GB2312" w:eastAsia="仿宋_GB2312"/>
          <w:color w:val="auto"/>
          <w:sz w:val="30"/>
          <w:szCs w:val="30"/>
          <w:highlight w:val="none"/>
          <w:lang w:val="en-US" w:eastAsia="zh-CN"/>
        </w:rPr>
        <w:t>四</w:t>
      </w:r>
      <w:r>
        <w:rPr>
          <w:rFonts w:hint="eastAsia" w:ascii="仿宋_GB2312" w:eastAsia="仿宋_GB2312"/>
          <w:color w:val="auto"/>
          <w:sz w:val="30"/>
          <w:szCs w:val="30"/>
          <w:highlight w:val="none"/>
        </w:rPr>
        <w:t>）</w:t>
      </w:r>
      <w:r>
        <w:rPr>
          <w:rFonts w:hint="eastAsia" w:ascii="仿宋_GB2312" w:eastAsia="仿宋_GB2312"/>
          <w:color w:val="auto"/>
          <w:sz w:val="30"/>
          <w:szCs w:val="30"/>
          <w:highlight w:val="none"/>
          <w:lang w:val="en-US" w:eastAsia="zh-CN"/>
        </w:rPr>
        <w:t>采购人</w:t>
      </w:r>
      <w:r>
        <w:rPr>
          <w:rFonts w:hint="eastAsia" w:ascii="仿宋_GB2312" w:eastAsia="仿宋_GB2312"/>
          <w:color w:val="auto"/>
          <w:sz w:val="30"/>
          <w:szCs w:val="30"/>
          <w:highlight w:val="none"/>
        </w:rPr>
        <w:t>不向未</w:t>
      </w:r>
      <w:r>
        <w:rPr>
          <w:rFonts w:hint="eastAsia" w:ascii="仿宋_GB2312" w:eastAsia="仿宋_GB2312"/>
          <w:color w:val="auto"/>
          <w:sz w:val="30"/>
          <w:szCs w:val="30"/>
          <w:highlight w:val="none"/>
          <w:lang w:val="en-US" w:eastAsia="zh-CN"/>
        </w:rPr>
        <w:t>中标单位</w:t>
      </w:r>
      <w:r>
        <w:rPr>
          <w:rFonts w:hint="eastAsia" w:ascii="仿宋_GB2312" w:eastAsia="仿宋_GB2312"/>
          <w:color w:val="auto"/>
          <w:sz w:val="30"/>
          <w:szCs w:val="30"/>
          <w:highlight w:val="none"/>
        </w:rPr>
        <w:t>解释未成交原因，不退还报价文件。</w:t>
      </w:r>
    </w:p>
    <w:p w14:paraId="43F8FA11">
      <w:pPr>
        <w:pStyle w:val="20"/>
        <w:pageBreakBefore w:val="0"/>
        <w:widowControl w:val="0"/>
        <w:kinsoku/>
        <w:wordWrap/>
        <w:topLinePunct w:val="0"/>
        <w:bidi w:val="0"/>
        <w:snapToGrid w:val="0"/>
        <w:spacing w:line="360" w:lineRule="auto"/>
        <w:ind w:firstLine="601"/>
        <w:outlineLvl w:val="1"/>
        <w:rPr>
          <w:rFonts w:hint="eastAsia" w:ascii="仿宋_GB2312" w:eastAsia="仿宋_GB2312"/>
          <w:b/>
          <w:bCs/>
          <w:sz w:val="30"/>
          <w:szCs w:val="30"/>
          <w:lang w:eastAsia="zh-CN"/>
        </w:rPr>
      </w:pPr>
      <w:r>
        <w:rPr>
          <w:rFonts w:hint="eastAsia" w:ascii="仿宋_GB2312" w:eastAsia="仿宋_GB2312"/>
          <w:b/>
          <w:bCs/>
          <w:sz w:val="30"/>
          <w:szCs w:val="30"/>
        </w:rPr>
        <w:t>十</w:t>
      </w:r>
      <w:r>
        <w:rPr>
          <w:rFonts w:hint="eastAsia" w:ascii="仿宋_GB2312" w:eastAsia="仿宋_GB2312"/>
          <w:b/>
          <w:bCs/>
          <w:sz w:val="30"/>
          <w:szCs w:val="30"/>
          <w:lang w:eastAsia="zh-CN"/>
        </w:rPr>
        <w:t>二</w:t>
      </w:r>
      <w:r>
        <w:rPr>
          <w:rFonts w:hint="eastAsia" w:ascii="仿宋_GB2312" w:eastAsia="仿宋_GB2312"/>
          <w:b/>
          <w:bCs/>
          <w:sz w:val="30"/>
          <w:szCs w:val="30"/>
        </w:rPr>
        <w:t>、合同</w:t>
      </w:r>
      <w:r>
        <w:rPr>
          <w:rFonts w:hint="eastAsia" w:ascii="仿宋_GB2312" w:eastAsia="仿宋_GB2312"/>
          <w:b/>
          <w:bCs/>
          <w:sz w:val="30"/>
          <w:szCs w:val="30"/>
          <w:lang w:eastAsia="zh-CN"/>
        </w:rPr>
        <w:t>。</w:t>
      </w:r>
    </w:p>
    <w:p w14:paraId="5D3BE94D">
      <w:pPr>
        <w:pageBreakBefore w:val="0"/>
        <w:kinsoku/>
        <w:wordWrap/>
        <w:topLinePunct w:val="0"/>
        <w:bidi w:val="0"/>
        <w:snapToGrid w:val="0"/>
        <w:spacing w:line="360" w:lineRule="auto"/>
        <w:ind w:firstLine="600" w:firstLineChars="200"/>
        <w:jc w:val="left"/>
        <w:rPr>
          <w:rFonts w:hint="eastAsia" w:ascii="仿宋_GB2312" w:hAnsi="Times New Roman" w:eastAsia="仿宋_GB2312" w:cs="Times New Roman"/>
          <w:sz w:val="30"/>
          <w:szCs w:val="30"/>
          <w:lang w:eastAsia="zh-CN"/>
        </w:rPr>
      </w:pPr>
      <w:r>
        <w:rPr>
          <w:rFonts w:hint="eastAsia" w:ascii="仿宋_GB2312" w:eastAsia="仿宋_GB2312"/>
          <w:sz w:val="30"/>
          <w:szCs w:val="30"/>
        </w:rPr>
        <w:t>合同签订：</w:t>
      </w:r>
      <w:r>
        <w:rPr>
          <w:rFonts w:hint="eastAsia" w:ascii="仿宋_GB2312" w:eastAsia="仿宋_GB2312"/>
          <w:sz w:val="30"/>
          <w:szCs w:val="30"/>
          <w:lang w:val="en-US" w:eastAsia="zh-CN"/>
        </w:rPr>
        <w:t>报价人</w:t>
      </w:r>
      <w:r>
        <w:rPr>
          <w:rFonts w:hint="eastAsia" w:ascii="仿宋_GB2312" w:eastAsia="仿宋_GB2312"/>
          <w:sz w:val="30"/>
          <w:szCs w:val="30"/>
        </w:rPr>
        <w:t>按照上述第十</w:t>
      </w:r>
      <w:r>
        <w:rPr>
          <w:rFonts w:hint="eastAsia" w:ascii="仿宋_GB2312" w:eastAsia="仿宋_GB2312"/>
          <w:sz w:val="30"/>
          <w:szCs w:val="30"/>
          <w:lang w:eastAsia="zh-CN"/>
        </w:rPr>
        <w:t>一</w:t>
      </w:r>
      <w:r>
        <w:rPr>
          <w:rFonts w:hint="eastAsia" w:ascii="仿宋_GB2312" w:eastAsia="仿宋_GB2312"/>
          <w:sz w:val="30"/>
          <w:szCs w:val="30"/>
        </w:rPr>
        <w:t>条规定确定</w:t>
      </w:r>
      <w:r>
        <w:rPr>
          <w:rFonts w:hint="eastAsia" w:ascii="仿宋_GB2312" w:eastAsia="仿宋_GB2312"/>
          <w:sz w:val="30"/>
          <w:szCs w:val="30"/>
          <w:lang w:val="en-US" w:eastAsia="zh-CN"/>
        </w:rPr>
        <w:t>中标单位</w:t>
      </w:r>
      <w:r>
        <w:rPr>
          <w:rFonts w:hint="eastAsia" w:ascii="仿宋_GB2312" w:eastAsia="仿宋_GB2312"/>
          <w:sz w:val="30"/>
          <w:szCs w:val="30"/>
        </w:rPr>
        <w:t>，并签订采购合同，签约单位为</w:t>
      </w:r>
      <w:r>
        <w:rPr>
          <w:rFonts w:hint="eastAsia" w:ascii="仿宋_GB2312" w:eastAsia="仿宋_GB2312"/>
          <w:sz w:val="30"/>
          <w:szCs w:val="30"/>
          <w:lang w:eastAsia="zh-CN"/>
        </w:rPr>
        <w:t>绍兴市再生能源发展有限公司</w:t>
      </w:r>
      <w:r>
        <w:rPr>
          <w:rFonts w:hint="eastAsia" w:ascii="仿宋_GB2312" w:eastAsia="仿宋_GB2312"/>
          <w:sz w:val="30"/>
          <w:szCs w:val="30"/>
        </w:rPr>
        <w:t>。合同履行期间，采购人可根据实际需要，按照成交价格，调整采购数量。</w:t>
      </w:r>
      <w:r>
        <w:rPr>
          <w:rFonts w:hint="eastAsia" w:ascii="仿宋_GB2312" w:hAnsi="Times New Roman" w:eastAsia="仿宋_GB2312" w:cs="Times New Roman"/>
          <w:sz w:val="30"/>
          <w:szCs w:val="30"/>
          <w:lang w:eastAsia="zh-CN"/>
        </w:rPr>
        <w:t>（成交价格及采购数量不得超过原合同的百分之十）</w:t>
      </w:r>
    </w:p>
    <w:p w14:paraId="13281489">
      <w:pPr>
        <w:pageBreakBefore w:val="0"/>
        <w:kinsoku/>
        <w:wordWrap/>
        <w:topLinePunct w:val="0"/>
        <w:bidi w:val="0"/>
        <w:snapToGrid w:val="0"/>
        <w:spacing w:line="360" w:lineRule="auto"/>
        <w:ind w:firstLine="600" w:firstLineChars="200"/>
        <w:jc w:val="left"/>
        <w:rPr>
          <w:rFonts w:hint="eastAsia"/>
        </w:rPr>
      </w:pPr>
      <w:r>
        <w:rPr>
          <w:rFonts w:hint="eastAsia" w:ascii="仿宋_GB2312" w:eastAsia="仿宋_GB2312"/>
          <w:sz w:val="30"/>
          <w:szCs w:val="30"/>
          <w:lang w:eastAsia="zh-CN"/>
        </w:rPr>
        <w:t>标书内合同主要条款为拟定条款，具体合同条款在签订合同时由双方协商后确定。</w:t>
      </w:r>
    </w:p>
    <w:p w14:paraId="60B7FBAB">
      <w:pPr>
        <w:keepNext w:val="0"/>
        <w:keepLines w:val="0"/>
        <w:pageBreakBefore w:val="0"/>
        <w:widowControl w:val="0"/>
        <w:kinsoku/>
        <w:wordWrap/>
        <w:overflowPunct/>
        <w:topLinePunct w:val="0"/>
        <w:autoSpaceDE/>
        <w:autoSpaceDN/>
        <w:bidi w:val="0"/>
        <w:adjustRightInd/>
        <w:snapToGrid w:val="0"/>
        <w:spacing w:line="360" w:lineRule="auto"/>
        <w:ind w:firstLine="602" w:firstLineChars="200"/>
        <w:textAlignment w:val="auto"/>
        <w:outlineLvl w:val="1"/>
        <w:rPr>
          <w:rFonts w:hint="eastAsia" w:ascii="仿宋" w:hAnsi="仿宋" w:eastAsia="仿宋" w:cs="仿宋"/>
          <w:b/>
          <w:bCs/>
          <w:sz w:val="30"/>
          <w:szCs w:val="30"/>
        </w:rPr>
      </w:pPr>
      <w:r>
        <w:rPr>
          <w:rFonts w:hint="eastAsia" w:ascii="仿宋" w:hAnsi="仿宋" w:eastAsia="仿宋" w:cs="仿宋"/>
          <w:b/>
          <w:bCs/>
          <w:sz w:val="30"/>
          <w:szCs w:val="30"/>
        </w:rPr>
        <w:t>十</w:t>
      </w:r>
      <w:r>
        <w:rPr>
          <w:rFonts w:hint="eastAsia" w:ascii="仿宋" w:hAnsi="仿宋" w:eastAsia="仿宋" w:cs="仿宋"/>
          <w:b/>
          <w:bCs/>
          <w:sz w:val="30"/>
          <w:szCs w:val="30"/>
          <w:lang w:val="en-US" w:eastAsia="zh-CN"/>
        </w:rPr>
        <w:t>三</w:t>
      </w:r>
      <w:r>
        <w:rPr>
          <w:rFonts w:hint="eastAsia" w:ascii="仿宋" w:hAnsi="仿宋" w:eastAsia="仿宋" w:cs="仿宋"/>
          <w:b/>
          <w:bCs/>
          <w:sz w:val="30"/>
          <w:szCs w:val="30"/>
        </w:rPr>
        <w:t>、其他。</w:t>
      </w:r>
    </w:p>
    <w:p w14:paraId="3C874DA5">
      <w:pPr>
        <w:keepNext w:val="0"/>
        <w:keepLines w:val="0"/>
        <w:pageBreakBefore w:val="0"/>
        <w:widowControl w:val="0"/>
        <w:kinsoku/>
        <w:wordWrap/>
        <w:overflowPunct/>
        <w:topLinePunct w:val="0"/>
        <w:autoSpaceDE/>
        <w:autoSpaceDN/>
        <w:bidi w:val="0"/>
        <w:adjustRightInd/>
        <w:snapToGrid w:val="0"/>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（一）如果有证据证明各</w:t>
      </w:r>
      <w:r>
        <w:rPr>
          <w:rFonts w:hint="eastAsia" w:ascii="仿宋" w:hAnsi="仿宋" w:eastAsia="仿宋" w:cs="仿宋"/>
          <w:sz w:val="30"/>
          <w:szCs w:val="30"/>
          <w:lang w:eastAsia="zh-CN"/>
        </w:rPr>
        <w:t>报价人</w:t>
      </w:r>
      <w:r>
        <w:rPr>
          <w:rFonts w:hint="eastAsia" w:ascii="仿宋" w:hAnsi="仿宋" w:eastAsia="仿宋" w:cs="仿宋"/>
          <w:sz w:val="30"/>
          <w:szCs w:val="30"/>
        </w:rPr>
        <w:t>之间存在串通等舞弊、违法行为，</w:t>
      </w:r>
      <w:r>
        <w:rPr>
          <w:rFonts w:hint="eastAsia" w:ascii="仿宋" w:hAnsi="仿宋" w:eastAsia="仿宋" w:cs="仿宋"/>
          <w:sz w:val="30"/>
          <w:szCs w:val="30"/>
          <w:lang w:eastAsia="zh-CN"/>
        </w:rPr>
        <w:t>采购人</w:t>
      </w:r>
      <w:r>
        <w:rPr>
          <w:rFonts w:hint="eastAsia" w:ascii="仿宋" w:hAnsi="仿宋" w:eastAsia="仿宋" w:cs="仿宋"/>
          <w:sz w:val="30"/>
          <w:szCs w:val="30"/>
        </w:rPr>
        <w:t>有权拒绝存在此行为的</w:t>
      </w:r>
      <w:r>
        <w:rPr>
          <w:rFonts w:hint="eastAsia" w:ascii="仿宋" w:hAnsi="仿宋" w:eastAsia="仿宋" w:cs="仿宋"/>
          <w:sz w:val="30"/>
          <w:szCs w:val="30"/>
          <w:lang w:eastAsia="zh-CN"/>
        </w:rPr>
        <w:t>报价人</w:t>
      </w:r>
      <w:r>
        <w:rPr>
          <w:rFonts w:hint="eastAsia" w:ascii="仿宋" w:hAnsi="仿宋" w:eastAsia="仿宋" w:cs="仿宋"/>
          <w:sz w:val="30"/>
          <w:szCs w:val="30"/>
        </w:rPr>
        <w:t>报价。</w:t>
      </w:r>
    </w:p>
    <w:p w14:paraId="0ECF3099">
      <w:pPr>
        <w:keepNext w:val="0"/>
        <w:keepLines w:val="0"/>
        <w:pageBreakBefore w:val="0"/>
        <w:widowControl w:val="0"/>
        <w:kinsoku/>
        <w:wordWrap/>
        <w:overflowPunct/>
        <w:topLinePunct w:val="0"/>
        <w:autoSpaceDE/>
        <w:autoSpaceDN/>
        <w:bidi w:val="0"/>
        <w:adjustRightInd/>
        <w:snapToGrid w:val="0"/>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（二）本询价文件未及事项，在签订合同时双方友好商定。</w:t>
      </w:r>
    </w:p>
    <w:p w14:paraId="6A507DF1">
      <w:pPr>
        <w:keepNext w:val="0"/>
        <w:keepLines w:val="0"/>
        <w:pageBreakBefore w:val="0"/>
        <w:widowControl w:val="0"/>
        <w:kinsoku/>
        <w:wordWrap/>
        <w:overflowPunct/>
        <w:topLinePunct w:val="0"/>
        <w:autoSpaceDE/>
        <w:autoSpaceDN/>
        <w:bidi w:val="0"/>
        <w:adjustRightInd/>
        <w:snapToGrid w:val="0"/>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（三）凡涉及本次询价的解释权均属于</w:t>
      </w:r>
      <w:r>
        <w:rPr>
          <w:rFonts w:hint="eastAsia" w:ascii="仿宋" w:hAnsi="仿宋" w:eastAsia="仿宋" w:cs="仿宋"/>
          <w:sz w:val="30"/>
          <w:szCs w:val="30"/>
          <w:lang w:eastAsia="zh-CN"/>
        </w:rPr>
        <w:t>绍兴市再生能源发展有限公司</w:t>
      </w:r>
      <w:r>
        <w:rPr>
          <w:rFonts w:hint="eastAsia" w:ascii="仿宋" w:hAnsi="仿宋" w:eastAsia="仿宋" w:cs="仿宋"/>
          <w:sz w:val="30"/>
          <w:szCs w:val="30"/>
        </w:rPr>
        <w:t>。</w:t>
      </w:r>
    </w:p>
    <w:p w14:paraId="6BD434A3">
      <w:pPr>
        <w:pStyle w:val="2"/>
        <w:numPr>
          <w:ilvl w:val="0"/>
          <w:numId w:val="0"/>
        </w:numPr>
        <w:jc w:val="center"/>
        <w:outlineLvl w:val="9"/>
        <w:rPr>
          <w:rFonts w:hint="eastAsia" w:ascii="仿宋" w:hAnsi="仿宋" w:eastAsia="仿宋" w:cs="仿宋"/>
          <w:snapToGrid w:val="0"/>
          <w:sz w:val="44"/>
          <w:szCs w:val="44"/>
        </w:rPr>
      </w:pPr>
    </w:p>
    <w:p w14:paraId="5108F7AF">
      <w:pPr>
        <w:rPr>
          <w:rFonts w:hint="eastAsia" w:ascii="仿宋" w:hAnsi="仿宋" w:eastAsia="仿宋" w:cs="仿宋"/>
          <w:snapToGrid w:val="0"/>
          <w:sz w:val="44"/>
          <w:szCs w:val="44"/>
        </w:rPr>
      </w:pPr>
    </w:p>
    <w:p w14:paraId="1ACF9921">
      <w:pPr>
        <w:pStyle w:val="4"/>
        <w:rPr>
          <w:rFonts w:hint="eastAsia" w:ascii="仿宋" w:hAnsi="仿宋" w:eastAsia="仿宋" w:cs="仿宋"/>
          <w:snapToGrid w:val="0"/>
          <w:sz w:val="44"/>
          <w:szCs w:val="44"/>
        </w:rPr>
      </w:pPr>
    </w:p>
    <w:p w14:paraId="5677F180">
      <w:pPr>
        <w:pStyle w:val="2"/>
        <w:numPr>
          <w:ilvl w:val="0"/>
          <w:numId w:val="0"/>
        </w:numPr>
        <w:jc w:val="both"/>
        <w:rPr>
          <w:rFonts w:hint="eastAsia" w:ascii="仿宋" w:hAnsi="仿宋" w:eastAsia="仿宋" w:cs="仿宋"/>
          <w:snapToGrid w:val="0"/>
          <w:sz w:val="44"/>
          <w:szCs w:val="44"/>
        </w:rPr>
      </w:pPr>
    </w:p>
    <w:p w14:paraId="4BFC861E">
      <w:pPr>
        <w:rPr>
          <w:rFonts w:hint="eastAsia" w:ascii="仿宋" w:hAnsi="仿宋" w:eastAsia="仿宋" w:cs="仿宋"/>
          <w:snapToGrid w:val="0"/>
          <w:sz w:val="44"/>
          <w:szCs w:val="44"/>
        </w:rPr>
      </w:pPr>
    </w:p>
    <w:p w14:paraId="694DD683">
      <w:pPr>
        <w:pStyle w:val="12"/>
        <w:rPr>
          <w:rFonts w:hint="eastAsia"/>
        </w:rPr>
      </w:pPr>
    </w:p>
    <w:p w14:paraId="0A40157F">
      <w:pPr>
        <w:pStyle w:val="12"/>
        <w:rPr>
          <w:rFonts w:hint="eastAsia"/>
        </w:rPr>
      </w:pPr>
    </w:p>
    <w:p w14:paraId="0020011C">
      <w:pPr>
        <w:pStyle w:val="12"/>
        <w:rPr>
          <w:rFonts w:hint="eastAsia"/>
        </w:rPr>
      </w:pPr>
    </w:p>
    <w:p w14:paraId="55792CFC">
      <w:pPr>
        <w:pStyle w:val="12"/>
        <w:rPr>
          <w:rFonts w:hint="eastAsia"/>
        </w:rPr>
      </w:pPr>
    </w:p>
    <w:p w14:paraId="7777F8FC">
      <w:pPr>
        <w:pStyle w:val="2"/>
        <w:numPr>
          <w:ilvl w:val="0"/>
          <w:numId w:val="0"/>
        </w:numPr>
        <w:jc w:val="center"/>
        <w:rPr>
          <w:rFonts w:hint="eastAsia" w:ascii="仿宋" w:hAnsi="仿宋" w:eastAsia="仿宋" w:cs="仿宋"/>
          <w:b w:val="0"/>
          <w:bCs/>
          <w:snapToGrid w:val="0"/>
          <w:sz w:val="44"/>
        </w:rPr>
      </w:pPr>
      <w:bookmarkStart w:id="12" w:name="_Toc1501"/>
      <w:r>
        <w:rPr>
          <w:rFonts w:hint="eastAsia" w:ascii="仿宋" w:hAnsi="仿宋" w:eastAsia="仿宋" w:cs="仿宋"/>
          <w:snapToGrid w:val="0"/>
          <w:sz w:val="44"/>
          <w:szCs w:val="44"/>
        </w:rPr>
        <w:t>第三部分   询价内容</w:t>
      </w:r>
      <w:bookmarkEnd w:id="7"/>
      <w:bookmarkEnd w:id="8"/>
      <w:bookmarkEnd w:id="12"/>
    </w:p>
    <w:p w14:paraId="19320ECE">
      <w:pPr>
        <w:pStyle w:val="20"/>
        <w:keepNext w:val="0"/>
        <w:keepLines w:val="0"/>
        <w:pageBreakBefore w:val="0"/>
        <w:widowControl/>
        <w:kinsoku/>
        <w:wordWrap/>
        <w:overflowPunct/>
        <w:topLinePunct w:val="0"/>
        <w:autoSpaceDE/>
        <w:autoSpaceDN/>
        <w:bidi w:val="0"/>
        <w:adjustRightInd/>
        <w:snapToGrid w:val="0"/>
        <w:spacing w:line="360" w:lineRule="auto"/>
        <w:ind w:firstLine="601"/>
        <w:textAlignment w:val="baseline"/>
        <w:outlineLvl w:val="1"/>
        <w:rPr>
          <w:rFonts w:hint="eastAsia" w:ascii="仿宋" w:hAnsi="仿宋" w:eastAsia="仿宋" w:cs="仿宋"/>
          <w:color w:val="auto"/>
          <w:kern w:val="2"/>
          <w:sz w:val="30"/>
          <w:szCs w:val="30"/>
        </w:rPr>
      </w:pPr>
      <w:r>
        <w:rPr>
          <w:rFonts w:hint="eastAsia" w:ascii="仿宋" w:hAnsi="仿宋" w:eastAsia="仿宋" w:cs="仿宋"/>
          <w:color w:val="auto"/>
          <w:kern w:val="2"/>
          <w:sz w:val="30"/>
          <w:szCs w:val="30"/>
          <w:lang w:eastAsia="zh-CN"/>
        </w:rPr>
        <w:t>一、</w:t>
      </w:r>
      <w:r>
        <w:rPr>
          <w:rFonts w:hint="eastAsia" w:ascii="仿宋" w:hAnsi="仿宋" w:eastAsia="仿宋" w:cs="仿宋"/>
          <w:color w:val="auto"/>
          <w:kern w:val="2"/>
          <w:sz w:val="30"/>
          <w:szCs w:val="30"/>
        </w:rPr>
        <w:t>采购内容及相关说明</w:t>
      </w:r>
    </w:p>
    <w:p w14:paraId="5B18D0B5">
      <w:pPr>
        <w:pStyle w:val="20"/>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kern w:val="2"/>
          <w:sz w:val="30"/>
          <w:szCs w:val="30"/>
          <w:highlight w:val="none"/>
          <w:lang w:eastAsia="zh-CN"/>
        </w:rPr>
      </w:pPr>
      <w:r>
        <w:rPr>
          <w:rFonts w:hint="eastAsia" w:ascii="仿宋" w:hAnsi="仿宋" w:eastAsia="仿宋" w:cs="仿宋"/>
          <w:color w:val="auto"/>
          <w:kern w:val="2"/>
          <w:sz w:val="30"/>
          <w:szCs w:val="30"/>
          <w:lang w:val="en-US" w:eastAsia="zh-CN"/>
        </w:rPr>
        <w:t>详</w:t>
      </w:r>
      <w:r>
        <w:rPr>
          <w:rFonts w:hint="eastAsia" w:ascii="仿宋" w:hAnsi="仿宋" w:eastAsia="仿宋" w:cs="仿宋"/>
          <w:color w:val="auto"/>
          <w:kern w:val="2"/>
          <w:sz w:val="30"/>
          <w:szCs w:val="30"/>
          <w:highlight w:val="none"/>
          <w:lang w:val="en-US" w:eastAsia="zh-CN"/>
        </w:rPr>
        <w:t>见报价清单</w:t>
      </w:r>
    </w:p>
    <w:p w14:paraId="70E1D45F">
      <w:pPr>
        <w:pStyle w:val="20"/>
        <w:keepNext w:val="0"/>
        <w:keepLines w:val="0"/>
        <w:pageBreakBefore w:val="0"/>
        <w:widowControl/>
        <w:kinsoku/>
        <w:wordWrap/>
        <w:overflowPunct/>
        <w:topLinePunct w:val="0"/>
        <w:autoSpaceDE/>
        <w:autoSpaceDN/>
        <w:bidi w:val="0"/>
        <w:adjustRightInd/>
        <w:snapToGrid w:val="0"/>
        <w:spacing w:line="360" w:lineRule="auto"/>
        <w:ind w:firstLine="601"/>
        <w:textAlignment w:val="baseline"/>
        <w:outlineLvl w:val="1"/>
        <w:rPr>
          <w:rFonts w:hint="eastAsia" w:ascii="仿宋" w:hAnsi="仿宋" w:eastAsia="仿宋" w:cs="仿宋"/>
          <w:color w:val="auto"/>
          <w:kern w:val="2"/>
          <w:sz w:val="30"/>
          <w:szCs w:val="30"/>
          <w:highlight w:val="none"/>
        </w:rPr>
      </w:pPr>
      <w:r>
        <w:rPr>
          <w:rFonts w:hint="eastAsia" w:ascii="仿宋" w:hAnsi="仿宋" w:eastAsia="仿宋" w:cs="仿宋"/>
          <w:color w:val="auto"/>
          <w:kern w:val="2"/>
          <w:sz w:val="30"/>
          <w:szCs w:val="30"/>
          <w:highlight w:val="none"/>
          <w:lang w:val="en-US" w:eastAsia="zh-CN"/>
        </w:rPr>
        <w:t>二、供货方</w:t>
      </w:r>
      <w:r>
        <w:rPr>
          <w:rFonts w:hint="eastAsia" w:ascii="仿宋" w:hAnsi="仿宋" w:eastAsia="仿宋" w:cs="仿宋"/>
          <w:color w:val="auto"/>
          <w:kern w:val="2"/>
          <w:sz w:val="30"/>
          <w:szCs w:val="30"/>
          <w:highlight w:val="none"/>
        </w:rPr>
        <w:t>式</w:t>
      </w:r>
    </w:p>
    <w:p w14:paraId="50D646C6">
      <w:pPr>
        <w:pStyle w:val="20"/>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kern w:val="2"/>
          <w:sz w:val="30"/>
          <w:szCs w:val="30"/>
          <w:highlight w:val="none"/>
          <w:lang w:val="en-US" w:eastAsia="zh-CN"/>
        </w:rPr>
      </w:pPr>
      <w:r>
        <w:rPr>
          <w:rFonts w:hint="eastAsia" w:ascii="仿宋" w:hAnsi="仿宋" w:eastAsia="仿宋" w:cs="仿宋"/>
          <w:color w:val="auto"/>
          <w:kern w:val="2"/>
          <w:sz w:val="30"/>
          <w:szCs w:val="30"/>
          <w:highlight w:val="none"/>
          <w:lang w:val="en-US" w:eastAsia="zh-CN"/>
        </w:rPr>
        <w:t>本项目采用“固定总价包干”的承包方式，总工期为3个日历天。供货方需在接到采购人开工通知后立即响应，并于1日内组织人员及设备进场施工。供货方须确保在进场后3天内完成所有设备的供货、安装、调试及旧设备拆除清运工作，并交付采购人验收使用。</w:t>
      </w:r>
    </w:p>
    <w:p w14:paraId="1B05ACEF">
      <w:pPr>
        <w:pStyle w:val="20"/>
        <w:keepNext w:val="0"/>
        <w:keepLines w:val="0"/>
        <w:pageBreakBefore w:val="0"/>
        <w:widowControl/>
        <w:kinsoku/>
        <w:wordWrap/>
        <w:overflowPunct/>
        <w:topLinePunct w:val="0"/>
        <w:autoSpaceDE/>
        <w:autoSpaceDN/>
        <w:bidi w:val="0"/>
        <w:adjustRightInd/>
        <w:snapToGrid w:val="0"/>
        <w:spacing w:line="360" w:lineRule="auto"/>
        <w:ind w:firstLine="601"/>
        <w:textAlignment w:val="baseline"/>
        <w:outlineLvl w:val="1"/>
        <w:rPr>
          <w:rFonts w:hint="eastAsia" w:ascii="仿宋" w:hAnsi="仿宋" w:eastAsia="仿宋" w:cs="仿宋"/>
          <w:color w:val="auto"/>
          <w:kern w:val="2"/>
          <w:sz w:val="30"/>
          <w:szCs w:val="30"/>
        </w:rPr>
      </w:pPr>
      <w:r>
        <w:rPr>
          <w:rFonts w:hint="eastAsia" w:ascii="仿宋" w:hAnsi="仿宋" w:eastAsia="仿宋" w:cs="仿宋"/>
          <w:color w:val="auto"/>
          <w:kern w:val="2"/>
          <w:sz w:val="30"/>
          <w:szCs w:val="30"/>
        </w:rPr>
        <w:t>三、付款方式</w:t>
      </w:r>
    </w:p>
    <w:p w14:paraId="33200522">
      <w:pPr>
        <w:pStyle w:val="20"/>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kern w:val="2"/>
          <w:sz w:val="30"/>
          <w:szCs w:val="30"/>
          <w:highlight w:val="none"/>
        </w:rPr>
      </w:pPr>
      <w:r>
        <w:rPr>
          <w:rFonts w:hint="eastAsia" w:ascii="仿宋" w:hAnsi="仿宋" w:eastAsia="仿宋" w:cs="仿宋"/>
          <w:color w:val="auto"/>
          <w:kern w:val="2"/>
          <w:sz w:val="30"/>
          <w:szCs w:val="30"/>
          <w:highlight w:val="none"/>
          <w:lang w:val="en-US" w:eastAsia="zh-CN"/>
        </w:rPr>
        <w:t>全部货物运送至采购人指定地点并安装调试完成，经由采购人验收合格后，供货方提供经双方确认的送货清单及等额、合法、有效的增值税专用发票，采购人自收到准确清单和发票且核对无误后，于次二月完成款项支付，若供货方未按时提供发票，或提供的发票不符合税务及采购人财务要求（包括但不限于信息错误、无法认证等），采购人有权顺延付款期限，直至收到合规发票为止。由此产生的付款延迟不视为采购人违约，采购人无需承担任何逾期付款利息或违约责任。供货方需提供三年质保服务（其中LED显示屏体灯珠质保3年、整机质保1年，电子桌牌整机质保3年，智能液晶电视整机质保3年，其他设备整机质保1年），其履约保证金（合同价的5%）到时（验收合格后）自动转为质保金，质保金于质保期满且无未决质量争议后无息退还。</w:t>
      </w:r>
    </w:p>
    <w:p w14:paraId="7987A4B7">
      <w:pPr>
        <w:pStyle w:val="20"/>
        <w:keepNext w:val="0"/>
        <w:keepLines w:val="0"/>
        <w:pageBreakBefore w:val="0"/>
        <w:widowControl/>
        <w:kinsoku/>
        <w:wordWrap/>
        <w:overflowPunct/>
        <w:topLinePunct w:val="0"/>
        <w:autoSpaceDE/>
        <w:autoSpaceDN/>
        <w:bidi w:val="0"/>
        <w:adjustRightInd/>
        <w:snapToGrid w:val="0"/>
        <w:spacing w:line="360" w:lineRule="auto"/>
        <w:ind w:firstLine="601"/>
        <w:textAlignment w:val="baseline"/>
        <w:outlineLvl w:val="1"/>
        <w:rPr>
          <w:rFonts w:hint="eastAsia" w:ascii="仿宋" w:hAnsi="仿宋" w:eastAsia="仿宋" w:cs="仿宋"/>
          <w:color w:val="auto"/>
          <w:kern w:val="2"/>
          <w:sz w:val="30"/>
          <w:szCs w:val="30"/>
        </w:rPr>
      </w:pPr>
      <w:r>
        <w:rPr>
          <w:rFonts w:hint="eastAsia" w:ascii="仿宋" w:hAnsi="仿宋" w:eastAsia="仿宋" w:cs="仿宋"/>
          <w:color w:val="auto"/>
          <w:kern w:val="2"/>
          <w:sz w:val="30"/>
          <w:szCs w:val="30"/>
        </w:rPr>
        <w:t>四、售后服务</w:t>
      </w:r>
    </w:p>
    <w:p w14:paraId="0FC08D62">
      <w:pPr>
        <w:pStyle w:val="20"/>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kern w:val="2"/>
          <w:sz w:val="30"/>
          <w:szCs w:val="30"/>
        </w:rPr>
      </w:pPr>
      <w:r>
        <w:rPr>
          <w:rFonts w:hint="eastAsia" w:ascii="仿宋" w:hAnsi="仿宋" w:eastAsia="仿宋" w:cs="仿宋"/>
          <w:color w:val="auto"/>
          <w:kern w:val="2"/>
          <w:sz w:val="30"/>
          <w:szCs w:val="30"/>
        </w:rPr>
        <w:t>1.</w:t>
      </w:r>
      <w:r>
        <w:rPr>
          <w:rFonts w:hint="eastAsia" w:ascii="仿宋" w:hAnsi="仿宋" w:eastAsia="仿宋" w:cs="仿宋"/>
          <w:color w:val="auto"/>
          <w:kern w:val="2"/>
          <w:sz w:val="30"/>
          <w:szCs w:val="30"/>
          <w:lang w:val="en-US" w:eastAsia="zh-CN"/>
        </w:rPr>
        <w:t>供货方</w:t>
      </w:r>
      <w:r>
        <w:rPr>
          <w:rFonts w:hint="eastAsia" w:ascii="仿宋" w:hAnsi="仿宋" w:eastAsia="仿宋" w:cs="仿宋"/>
          <w:color w:val="auto"/>
          <w:kern w:val="2"/>
          <w:sz w:val="30"/>
          <w:szCs w:val="30"/>
        </w:rPr>
        <w:t>必须满足采购人售后服务要求。如产品使用过程发生问题，</w:t>
      </w:r>
      <w:r>
        <w:rPr>
          <w:rFonts w:hint="eastAsia" w:ascii="仿宋" w:hAnsi="仿宋" w:eastAsia="仿宋" w:cs="仿宋"/>
          <w:color w:val="auto"/>
          <w:kern w:val="2"/>
          <w:sz w:val="30"/>
          <w:szCs w:val="30"/>
          <w:lang w:val="en-US" w:eastAsia="zh-CN"/>
        </w:rPr>
        <w:t>供货方</w:t>
      </w:r>
      <w:r>
        <w:rPr>
          <w:rFonts w:hint="eastAsia" w:ascii="仿宋" w:hAnsi="仿宋" w:eastAsia="仿宋" w:cs="仿宋"/>
          <w:color w:val="auto"/>
          <w:kern w:val="2"/>
          <w:sz w:val="30"/>
          <w:szCs w:val="30"/>
        </w:rPr>
        <w:t>须在接到</w:t>
      </w:r>
      <w:r>
        <w:rPr>
          <w:rFonts w:hint="eastAsia" w:ascii="仿宋" w:hAnsi="仿宋" w:eastAsia="仿宋" w:cs="仿宋"/>
          <w:color w:val="auto"/>
          <w:kern w:val="2"/>
          <w:sz w:val="30"/>
          <w:szCs w:val="30"/>
          <w:lang w:val="en-US" w:eastAsia="zh-CN"/>
        </w:rPr>
        <w:t>采购人</w:t>
      </w:r>
      <w:r>
        <w:rPr>
          <w:rFonts w:hint="eastAsia" w:ascii="仿宋" w:hAnsi="仿宋" w:eastAsia="仿宋" w:cs="仿宋"/>
          <w:color w:val="auto"/>
          <w:kern w:val="2"/>
          <w:sz w:val="30"/>
          <w:szCs w:val="30"/>
        </w:rPr>
        <w:t>通知后24小时内做出书面答复并提供解决方案。若需要派遣技术人员，则应在接到采购人通知后48小时内派人员到达现场进行免费指导解决问题。</w:t>
      </w:r>
    </w:p>
    <w:p w14:paraId="4F121412">
      <w:pPr>
        <w:pStyle w:val="20"/>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kern w:val="2"/>
          <w:sz w:val="30"/>
          <w:szCs w:val="30"/>
        </w:rPr>
      </w:pPr>
      <w:r>
        <w:rPr>
          <w:rFonts w:hint="eastAsia" w:ascii="仿宋" w:hAnsi="仿宋" w:eastAsia="仿宋" w:cs="仿宋"/>
          <w:color w:val="auto"/>
          <w:kern w:val="2"/>
          <w:sz w:val="30"/>
          <w:szCs w:val="30"/>
          <w:lang w:val="en-US" w:eastAsia="zh-CN"/>
        </w:rPr>
        <w:t>2</w:t>
      </w:r>
      <w:r>
        <w:rPr>
          <w:rFonts w:hint="eastAsia" w:ascii="仿宋" w:hAnsi="仿宋" w:eastAsia="仿宋" w:cs="仿宋"/>
          <w:color w:val="auto"/>
          <w:kern w:val="2"/>
          <w:sz w:val="30"/>
          <w:szCs w:val="30"/>
        </w:rPr>
        <w:t>.采购人不再对任何售后服务进行付费。</w:t>
      </w:r>
      <w:r>
        <w:rPr>
          <w:rFonts w:hint="eastAsia" w:ascii="仿宋" w:hAnsi="仿宋" w:eastAsia="仿宋" w:cs="仿宋"/>
          <w:color w:val="auto"/>
          <w:kern w:val="2"/>
          <w:sz w:val="30"/>
          <w:szCs w:val="30"/>
          <w:lang w:val="en-US" w:eastAsia="zh-CN"/>
        </w:rPr>
        <w:t>供货方</w:t>
      </w:r>
      <w:r>
        <w:rPr>
          <w:rFonts w:hint="eastAsia" w:ascii="仿宋" w:hAnsi="仿宋" w:eastAsia="仿宋" w:cs="仿宋"/>
          <w:color w:val="auto"/>
          <w:kern w:val="2"/>
          <w:sz w:val="30"/>
          <w:szCs w:val="30"/>
        </w:rPr>
        <w:t>的派遣人员产生的一切费用由</w:t>
      </w:r>
      <w:r>
        <w:rPr>
          <w:rFonts w:hint="eastAsia" w:ascii="仿宋" w:hAnsi="仿宋" w:eastAsia="仿宋" w:cs="仿宋"/>
          <w:color w:val="auto"/>
          <w:kern w:val="2"/>
          <w:sz w:val="30"/>
          <w:szCs w:val="30"/>
          <w:lang w:val="en-US" w:eastAsia="zh-CN"/>
        </w:rPr>
        <w:t>供货方</w:t>
      </w:r>
      <w:r>
        <w:rPr>
          <w:rFonts w:hint="eastAsia" w:ascii="仿宋" w:hAnsi="仿宋" w:eastAsia="仿宋" w:cs="仿宋"/>
          <w:color w:val="auto"/>
          <w:kern w:val="2"/>
          <w:sz w:val="30"/>
          <w:szCs w:val="30"/>
        </w:rPr>
        <w:t>承担。</w:t>
      </w:r>
    </w:p>
    <w:p w14:paraId="54F100F9">
      <w:pPr>
        <w:pStyle w:val="2"/>
        <w:numPr>
          <w:ilvl w:val="0"/>
          <w:numId w:val="0"/>
        </w:numPr>
        <w:jc w:val="center"/>
        <w:outlineLvl w:val="9"/>
        <w:rPr>
          <w:rFonts w:hint="eastAsia" w:ascii="仿宋" w:hAnsi="仿宋" w:eastAsia="仿宋" w:cs="仿宋"/>
          <w:snapToGrid w:val="0"/>
          <w:sz w:val="30"/>
          <w:szCs w:val="30"/>
        </w:rPr>
      </w:pPr>
      <w:bookmarkStart w:id="13" w:name="_Toc530583924"/>
      <w:r>
        <w:rPr>
          <w:rFonts w:hint="eastAsia" w:ascii="仿宋" w:hAnsi="仿宋" w:eastAsia="仿宋" w:cs="仿宋"/>
          <w:snapToGrid w:val="0"/>
          <w:sz w:val="30"/>
          <w:szCs w:val="30"/>
        </w:rPr>
        <w:br w:type="page"/>
      </w:r>
    </w:p>
    <w:p w14:paraId="1C6CD68D">
      <w:pPr>
        <w:pStyle w:val="2"/>
        <w:numPr>
          <w:ilvl w:val="0"/>
          <w:numId w:val="3"/>
        </w:numPr>
        <w:ind w:left="840" w:leftChars="0" w:firstLineChars="0"/>
        <w:jc w:val="center"/>
        <w:rPr>
          <w:rFonts w:hint="eastAsia" w:ascii="仿宋" w:hAnsi="仿宋" w:eastAsia="仿宋" w:cs="仿宋"/>
          <w:snapToGrid w:val="0"/>
          <w:sz w:val="44"/>
          <w:szCs w:val="44"/>
          <w:lang w:val="en-US" w:eastAsia="zh-CN"/>
        </w:rPr>
      </w:pPr>
      <w:r>
        <w:rPr>
          <w:rFonts w:hint="eastAsia" w:ascii="仿宋" w:hAnsi="仿宋" w:eastAsia="仿宋" w:cs="仿宋"/>
          <w:snapToGrid w:val="0"/>
          <w:sz w:val="44"/>
          <w:szCs w:val="44"/>
          <w:lang w:val="en-US" w:eastAsia="zh-CN"/>
        </w:rPr>
        <w:t xml:space="preserve">   </w:t>
      </w:r>
      <w:bookmarkStart w:id="14" w:name="_Toc28946"/>
      <w:r>
        <w:rPr>
          <w:rFonts w:hint="eastAsia" w:ascii="仿宋" w:hAnsi="仿宋" w:eastAsia="仿宋" w:cs="仿宋"/>
          <w:snapToGrid w:val="0"/>
          <w:sz w:val="44"/>
          <w:szCs w:val="44"/>
          <w:lang w:val="en-US" w:eastAsia="zh-CN"/>
        </w:rPr>
        <w:t>合同主要条款</w:t>
      </w:r>
      <w:bookmarkEnd w:id="14"/>
      <w:r>
        <w:rPr>
          <w:rFonts w:hint="eastAsia" w:ascii="仿宋" w:hAnsi="仿宋" w:eastAsia="仿宋" w:cs="仿宋"/>
          <w:snapToGrid w:val="0"/>
          <w:sz w:val="44"/>
          <w:szCs w:val="44"/>
          <w:lang w:val="en-US" w:eastAsia="zh-CN"/>
        </w:rPr>
        <w:t>（供参考）</w:t>
      </w:r>
    </w:p>
    <w:p w14:paraId="2F20F9C4">
      <w:pPr>
        <w:keepNext w:val="0"/>
        <w:keepLines w:val="0"/>
        <w:pageBreakBefore w:val="0"/>
        <w:widowControl/>
        <w:kinsoku/>
        <w:wordWrap/>
        <w:overflowPunct/>
        <w:topLinePunct w:val="0"/>
        <w:autoSpaceDE/>
        <w:autoSpaceDN/>
        <w:bidi w:val="0"/>
        <w:adjustRightInd w:val="0"/>
        <w:snapToGrid w:val="0"/>
        <w:spacing w:after="0" w:line="579" w:lineRule="exact"/>
        <w:ind w:firstLine="560" w:firstLineChars="200"/>
        <w:jc w:val="both"/>
        <w:textAlignment w:val="auto"/>
        <w:rPr>
          <w:rFonts w:hint="default" w:ascii="Times New Roman" w:hAnsi="Times New Roman" w:eastAsia="方正仿宋_GBK" w:cs="Times New Roman"/>
          <w:sz w:val="28"/>
          <w:szCs w:val="28"/>
        </w:rPr>
      </w:pPr>
      <w:r>
        <w:rPr>
          <w:rFonts w:hint="eastAsia" w:ascii="Times New Roman" w:hAnsi="Times New Roman" w:eastAsia="方正仿宋_GBK" w:cs="Times New Roman"/>
          <w:sz w:val="28"/>
          <w:szCs w:val="28"/>
        </w:rPr>
        <w:t>经</w:t>
      </w:r>
      <w:r>
        <w:rPr>
          <w:rFonts w:hint="eastAsia" w:eastAsia="方正仿宋_GBK" w:cs="Times New Roman"/>
          <w:sz w:val="28"/>
          <w:szCs w:val="28"/>
          <w:lang w:val="en-US" w:eastAsia="zh-CN"/>
        </w:rPr>
        <w:t>甲乙</w:t>
      </w:r>
      <w:r>
        <w:rPr>
          <w:rFonts w:hint="eastAsia" w:ascii="Times New Roman" w:hAnsi="Times New Roman" w:eastAsia="方正仿宋_GBK" w:cs="Times New Roman"/>
          <w:sz w:val="28"/>
          <w:szCs w:val="28"/>
        </w:rPr>
        <w:t>双方友好协商，一致同意签订本合同，以便遵照执行。</w:t>
      </w:r>
    </w:p>
    <w:p w14:paraId="55F35E2E">
      <w:pPr>
        <w:pStyle w:val="23"/>
        <w:keepNext w:val="0"/>
        <w:keepLines w:val="0"/>
        <w:pageBreakBefore w:val="0"/>
        <w:numPr>
          <w:ilvl w:val="0"/>
          <w:numId w:val="0"/>
        </w:numPr>
        <w:kinsoku/>
        <w:wordWrap/>
        <w:overflowPunct/>
        <w:topLinePunct w:val="0"/>
        <w:autoSpaceDE/>
        <w:autoSpaceDN/>
        <w:bidi w:val="0"/>
        <w:adjustRightInd w:val="0"/>
        <w:snapToGrid w:val="0"/>
        <w:spacing w:after="0" w:line="579" w:lineRule="exact"/>
        <w:ind w:left="0" w:leftChars="0"/>
        <w:jc w:val="both"/>
        <w:textAlignment w:val="auto"/>
        <w:outlineLvl w:val="1"/>
        <w:rPr>
          <w:rFonts w:hint="eastAsia" w:ascii="黑体" w:hAnsi="黑体" w:eastAsia="黑体" w:cs="黑体"/>
          <w:sz w:val="28"/>
          <w:szCs w:val="28"/>
          <w:lang w:eastAsia="zh-CN"/>
        </w:rPr>
      </w:pPr>
      <w:r>
        <w:rPr>
          <w:rFonts w:hint="eastAsia" w:ascii="黑体" w:hAnsi="黑体" w:eastAsia="黑体" w:cs="黑体"/>
          <w:sz w:val="28"/>
          <w:szCs w:val="28"/>
          <w:lang w:eastAsia="zh-CN"/>
        </w:rPr>
        <w:t>第一条</w:t>
      </w:r>
      <w:r>
        <w:rPr>
          <w:rFonts w:hint="eastAsia" w:ascii="黑体" w:hAnsi="黑体" w:eastAsia="黑体" w:cs="黑体"/>
          <w:sz w:val="28"/>
          <w:szCs w:val="28"/>
          <w:lang w:val="en-US" w:eastAsia="zh-CN"/>
        </w:rPr>
        <w:t xml:space="preserve"> 服务</w:t>
      </w:r>
      <w:r>
        <w:rPr>
          <w:rFonts w:hint="eastAsia" w:ascii="黑体" w:hAnsi="黑体" w:eastAsia="黑体" w:cs="黑体"/>
          <w:sz w:val="28"/>
          <w:szCs w:val="28"/>
        </w:rPr>
        <w:t>范围及价格</w:t>
      </w:r>
    </w:p>
    <w:tbl>
      <w:tblPr>
        <w:tblStyle w:val="13"/>
        <w:tblW w:w="10967" w:type="dxa"/>
        <w:jc w:val="center"/>
        <w:tblLayout w:type="fixed"/>
        <w:tblCellMar>
          <w:top w:w="0" w:type="dxa"/>
          <w:left w:w="108" w:type="dxa"/>
          <w:bottom w:w="0" w:type="dxa"/>
          <w:right w:w="108" w:type="dxa"/>
        </w:tblCellMar>
      </w:tblPr>
      <w:tblGrid>
        <w:gridCol w:w="751"/>
        <w:gridCol w:w="1439"/>
        <w:gridCol w:w="2509"/>
        <w:gridCol w:w="777"/>
        <w:gridCol w:w="1064"/>
        <w:gridCol w:w="1609"/>
        <w:gridCol w:w="1427"/>
        <w:gridCol w:w="1391"/>
      </w:tblGrid>
      <w:tr w14:paraId="29AA74A6">
        <w:tblPrEx>
          <w:tblCellMar>
            <w:top w:w="0" w:type="dxa"/>
            <w:left w:w="108" w:type="dxa"/>
            <w:bottom w:w="0" w:type="dxa"/>
            <w:right w:w="108" w:type="dxa"/>
          </w:tblCellMar>
        </w:tblPrEx>
        <w:trPr>
          <w:trHeight w:val="796" w:hRule="atLeast"/>
          <w:jc w:val="center"/>
        </w:trPr>
        <w:tc>
          <w:tcPr>
            <w:tcW w:w="751" w:type="dxa"/>
            <w:tcBorders>
              <w:top w:val="single" w:color="auto" w:sz="4" w:space="0"/>
              <w:left w:val="single" w:color="auto" w:sz="4" w:space="0"/>
              <w:bottom w:val="single" w:color="auto" w:sz="4" w:space="0"/>
              <w:right w:val="single" w:color="auto" w:sz="4" w:space="0"/>
            </w:tcBorders>
            <w:noWrap w:val="0"/>
            <w:vAlign w:val="center"/>
          </w:tcPr>
          <w:p w14:paraId="1CC6D6BD">
            <w:pPr>
              <w:adjustRightInd/>
              <w:snapToGrid/>
              <w:spacing w:after="0"/>
              <w:jc w:val="center"/>
              <w:rPr>
                <w:rFonts w:hint="default" w:ascii="Times New Roman" w:hAnsi="Times New Roman" w:eastAsia="方正仿宋_GBK" w:cs="Times New Roman"/>
                <w:b/>
                <w:bCs/>
                <w:sz w:val="24"/>
                <w:szCs w:val="24"/>
              </w:rPr>
            </w:pPr>
            <w:r>
              <w:rPr>
                <w:rFonts w:hint="eastAsia" w:ascii="Times New Roman" w:hAnsi="Times New Roman" w:eastAsia="方正仿宋_GBK" w:cs="Times New Roman"/>
                <w:b/>
                <w:bCs/>
                <w:sz w:val="24"/>
                <w:szCs w:val="24"/>
                <w:lang w:val="en-US" w:eastAsia="zh-CN"/>
              </w:rPr>
              <w:t>序号</w:t>
            </w:r>
          </w:p>
        </w:tc>
        <w:tc>
          <w:tcPr>
            <w:tcW w:w="1439" w:type="dxa"/>
            <w:tcBorders>
              <w:top w:val="single" w:color="auto" w:sz="4" w:space="0"/>
              <w:left w:val="nil"/>
              <w:bottom w:val="single" w:color="auto" w:sz="4" w:space="0"/>
              <w:right w:val="single" w:color="auto" w:sz="4" w:space="0"/>
            </w:tcBorders>
            <w:noWrap w:val="0"/>
            <w:vAlign w:val="center"/>
          </w:tcPr>
          <w:p w14:paraId="62F442D1">
            <w:pPr>
              <w:adjustRightInd/>
              <w:snapToGrid/>
              <w:spacing w:after="0"/>
              <w:jc w:val="center"/>
              <w:rPr>
                <w:rFonts w:hint="default" w:ascii="Times New Roman" w:hAnsi="Times New Roman" w:eastAsia="方正仿宋_GBK" w:cs="Times New Roman"/>
                <w:b/>
                <w:bCs/>
                <w:sz w:val="24"/>
                <w:szCs w:val="24"/>
              </w:rPr>
            </w:pPr>
            <w:r>
              <w:rPr>
                <w:rFonts w:hint="default" w:ascii="Times New Roman" w:hAnsi="Times New Roman" w:eastAsia="方正仿宋_GBK" w:cs="Times New Roman"/>
                <w:b/>
                <w:bCs/>
                <w:sz w:val="24"/>
                <w:szCs w:val="24"/>
                <w:lang w:val="en-US" w:eastAsia="zh-CN"/>
              </w:rPr>
              <w:t>设备名称</w:t>
            </w:r>
          </w:p>
        </w:tc>
        <w:tc>
          <w:tcPr>
            <w:tcW w:w="2509" w:type="dxa"/>
            <w:tcBorders>
              <w:top w:val="single" w:color="auto" w:sz="4" w:space="0"/>
              <w:left w:val="nil"/>
              <w:bottom w:val="single" w:color="auto" w:sz="4" w:space="0"/>
              <w:right w:val="single" w:color="auto" w:sz="4" w:space="0"/>
            </w:tcBorders>
            <w:noWrap w:val="0"/>
            <w:vAlign w:val="center"/>
          </w:tcPr>
          <w:p w14:paraId="49F54B8F">
            <w:pPr>
              <w:adjustRightInd/>
              <w:snapToGrid/>
              <w:spacing w:after="0"/>
              <w:jc w:val="center"/>
              <w:rPr>
                <w:rFonts w:hint="default" w:ascii="Times New Roman" w:hAnsi="Times New Roman" w:eastAsia="方正仿宋_GBK" w:cs="Times New Roman"/>
                <w:b/>
                <w:bCs/>
                <w:sz w:val="24"/>
                <w:szCs w:val="24"/>
              </w:rPr>
            </w:pPr>
            <w:r>
              <w:rPr>
                <w:rFonts w:hint="default" w:ascii="Times New Roman" w:hAnsi="Times New Roman" w:eastAsia="方正仿宋_GBK" w:cs="Times New Roman"/>
                <w:b/>
                <w:bCs/>
                <w:sz w:val="24"/>
                <w:szCs w:val="24"/>
                <w:lang w:val="en-US" w:eastAsia="zh-CN"/>
              </w:rPr>
              <w:t>详细技术参数</w:t>
            </w:r>
          </w:p>
        </w:tc>
        <w:tc>
          <w:tcPr>
            <w:tcW w:w="777" w:type="dxa"/>
            <w:tcBorders>
              <w:top w:val="single" w:color="auto" w:sz="4" w:space="0"/>
              <w:left w:val="nil"/>
              <w:bottom w:val="single" w:color="auto" w:sz="4" w:space="0"/>
              <w:right w:val="single" w:color="auto" w:sz="4" w:space="0"/>
            </w:tcBorders>
            <w:noWrap w:val="0"/>
            <w:vAlign w:val="center"/>
          </w:tcPr>
          <w:p w14:paraId="15113C0B">
            <w:pPr>
              <w:adjustRightInd/>
              <w:snapToGrid/>
              <w:spacing w:after="0"/>
              <w:jc w:val="center"/>
              <w:rPr>
                <w:rFonts w:hint="default" w:ascii="Times New Roman" w:hAnsi="Times New Roman" w:eastAsia="方正仿宋_GBK" w:cs="Times New Roman"/>
                <w:b/>
                <w:bCs/>
                <w:sz w:val="24"/>
                <w:szCs w:val="24"/>
              </w:rPr>
            </w:pPr>
            <w:r>
              <w:rPr>
                <w:rFonts w:hint="eastAsia" w:ascii="Times New Roman" w:hAnsi="Times New Roman" w:eastAsia="方正仿宋_GBK" w:cs="Times New Roman"/>
                <w:b/>
                <w:bCs/>
                <w:sz w:val="24"/>
                <w:szCs w:val="24"/>
                <w:lang w:val="en-US" w:eastAsia="zh-CN"/>
              </w:rPr>
              <w:t>数量</w:t>
            </w:r>
          </w:p>
        </w:tc>
        <w:tc>
          <w:tcPr>
            <w:tcW w:w="1064" w:type="dxa"/>
            <w:tcBorders>
              <w:top w:val="single" w:color="auto" w:sz="4" w:space="0"/>
              <w:left w:val="nil"/>
              <w:bottom w:val="single" w:color="auto" w:sz="4" w:space="0"/>
              <w:right w:val="single" w:color="auto" w:sz="4" w:space="0"/>
            </w:tcBorders>
            <w:noWrap w:val="0"/>
            <w:vAlign w:val="center"/>
          </w:tcPr>
          <w:p w14:paraId="19A2C23D">
            <w:pPr>
              <w:adjustRightInd/>
              <w:snapToGrid/>
              <w:spacing w:after="0"/>
              <w:jc w:val="center"/>
              <w:rPr>
                <w:rFonts w:hint="default" w:ascii="Times New Roman" w:hAnsi="Times New Roman" w:eastAsia="方正仿宋_GBK" w:cs="Times New Roman"/>
                <w:b/>
                <w:bCs/>
                <w:sz w:val="24"/>
                <w:szCs w:val="24"/>
              </w:rPr>
            </w:pPr>
            <w:r>
              <w:rPr>
                <w:rFonts w:hint="eastAsia" w:ascii="Times New Roman" w:hAnsi="Times New Roman" w:eastAsia="方正仿宋_GBK" w:cs="Times New Roman"/>
                <w:b/>
                <w:bCs/>
                <w:sz w:val="24"/>
                <w:szCs w:val="24"/>
                <w:lang w:val="en-US" w:eastAsia="zh-CN"/>
              </w:rPr>
              <w:t>单位</w:t>
            </w:r>
          </w:p>
        </w:tc>
        <w:tc>
          <w:tcPr>
            <w:tcW w:w="1609" w:type="dxa"/>
            <w:tcBorders>
              <w:top w:val="single" w:color="auto" w:sz="4" w:space="0"/>
              <w:left w:val="nil"/>
              <w:bottom w:val="single" w:color="auto" w:sz="4" w:space="0"/>
              <w:right w:val="single" w:color="auto" w:sz="4" w:space="0"/>
            </w:tcBorders>
            <w:noWrap w:val="0"/>
            <w:vAlign w:val="center"/>
          </w:tcPr>
          <w:p w14:paraId="31AAB67A">
            <w:pPr>
              <w:adjustRightInd/>
              <w:snapToGrid/>
              <w:spacing w:after="0"/>
              <w:jc w:val="center"/>
              <w:rPr>
                <w:rFonts w:hint="default" w:ascii="Times New Roman" w:hAnsi="Times New Roman" w:eastAsia="方正仿宋_GBK" w:cs="Times New Roman"/>
                <w:b/>
                <w:bCs/>
                <w:sz w:val="24"/>
                <w:szCs w:val="24"/>
              </w:rPr>
            </w:pPr>
            <w:r>
              <w:rPr>
                <w:rFonts w:hint="eastAsia" w:eastAsia="方正仿宋_GBK" w:cs="Times New Roman"/>
                <w:b/>
                <w:bCs/>
                <w:sz w:val="24"/>
                <w:szCs w:val="24"/>
                <w:lang w:val="en-US" w:eastAsia="zh-CN"/>
              </w:rPr>
              <w:t>品牌</w:t>
            </w:r>
          </w:p>
        </w:tc>
        <w:tc>
          <w:tcPr>
            <w:tcW w:w="1427" w:type="dxa"/>
            <w:tcBorders>
              <w:top w:val="single" w:color="auto" w:sz="4" w:space="0"/>
              <w:left w:val="nil"/>
              <w:bottom w:val="single" w:color="auto" w:sz="4" w:space="0"/>
              <w:right w:val="single" w:color="auto" w:sz="4" w:space="0"/>
            </w:tcBorders>
            <w:noWrap w:val="0"/>
            <w:vAlign w:val="center"/>
          </w:tcPr>
          <w:p w14:paraId="42DFF0D2">
            <w:pPr>
              <w:adjustRightInd/>
              <w:snapToGrid/>
              <w:spacing w:after="0"/>
              <w:jc w:val="center"/>
              <w:rPr>
                <w:rFonts w:hint="eastAsia" w:ascii="Times New Roman" w:hAnsi="Times New Roman" w:eastAsia="方正仿宋_GBK" w:cs="Times New Roman"/>
                <w:b/>
                <w:bCs/>
                <w:sz w:val="24"/>
                <w:szCs w:val="24"/>
              </w:rPr>
            </w:pPr>
            <w:r>
              <w:rPr>
                <w:rFonts w:hint="eastAsia" w:ascii="Times New Roman" w:hAnsi="Times New Roman" w:eastAsia="方正仿宋_GBK" w:cs="Times New Roman"/>
                <w:b/>
                <w:bCs/>
                <w:sz w:val="24"/>
                <w:szCs w:val="24"/>
                <w:lang w:val="en-US" w:eastAsia="zh-CN"/>
              </w:rPr>
              <w:t>单价（元）</w:t>
            </w:r>
          </w:p>
        </w:tc>
        <w:tc>
          <w:tcPr>
            <w:tcW w:w="1391" w:type="dxa"/>
            <w:tcBorders>
              <w:top w:val="single" w:color="auto" w:sz="4" w:space="0"/>
              <w:left w:val="nil"/>
              <w:bottom w:val="single" w:color="auto" w:sz="4" w:space="0"/>
              <w:right w:val="single" w:color="auto" w:sz="4" w:space="0"/>
            </w:tcBorders>
            <w:noWrap w:val="0"/>
            <w:vAlign w:val="center"/>
          </w:tcPr>
          <w:p w14:paraId="5D4B485B">
            <w:pPr>
              <w:adjustRightInd/>
              <w:snapToGrid/>
              <w:spacing w:after="0"/>
              <w:jc w:val="center"/>
              <w:rPr>
                <w:rFonts w:hint="eastAsia" w:ascii="Times New Roman" w:hAnsi="Times New Roman" w:eastAsia="方正仿宋_GBK" w:cs="Times New Roman"/>
                <w:b/>
                <w:bCs/>
                <w:sz w:val="24"/>
                <w:szCs w:val="24"/>
              </w:rPr>
            </w:pPr>
            <w:r>
              <w:rPr>
                <w:rFonts w:hint="eastAsia" w:ascii="Times New Roman" w:hAnsi="Times New Roman" w:eastAsia="方正仿宋_GBK" w:cs="Times New Roman"/>
                <w:b/>
                <w:bCs/>
                <w:sz w:val="24"/>
                <w:szCs w:val="24"/>
                <w:lang w:val="en-US" w:eastAsia="zh-CN"/>
              </w:rPr>
              <w:t>金额（元）</w:t>
            </w:r>
          </w:p>
        </w:tc>
      </w:tr>
      <w:tr w14:paraId="56798474">
        <w:tblPrEx>
          <w:tblCellMar>
            <w:top w:w="0" w:type="dxa"/>
            <w:left w:w="108" w:type="dxa"/>
            <w:bottom w:w="0" w:type="dxa"/>
            <w:right w:w="108" w:type="dxa"/>
          </w:tblCellMar>
        </w:tblPrEx>
        <w:trPr>
          <w:trHeight w:val="798" w:hRule="atLeast"/>
          <w:jc w:val="center"/>
        </w:trPr>
        <w:tc>
          <w:tcPr>
            <w:tcW w:w="751" w:type="dxa"/>
            <w:tcBorders>
              <w:top w:val="nil"/>
              <w:left w:val="single" w:color="auto" w:sz="4" w:space="0"/>
              <w:bottom w:val="single" w:color="auto" w:sz="4" w:space="0"/>
              <w:right w:val="single" w:color="auto" w:sz="4" w:space="0"/>
            </w:tcBorders>
            <w:shd w:val="clear" w:color="auto" w:fill="auto"/>
            <w:noWrap w:val="0"/>
            <w:vAlign w:val="center"/>
          </w:tcPr>
          <w:p w14:paraId="000A6060">
            <w:pPr>
              <w:adjustRightInd/>
              <w:snapToGrid/>
              <w:spacing w:after="0"/>
              <w:jc w:val="center"/>
              <w:rPr>
                <w:rFonts w:hint="default" w:ascii="Times New Roman" w:hAnsi="Times New Roman" w:eastAsia="方正仿宋_GBK" w:cs="Times New Roman"/>
                <w:b/>
                <w:bCs/>
                <w:sz w:val="24"/>
                <w:szCs w:val="24"/>
              </w:rPr>
            </w:pPr>
            <w:r>
              <w:rPr>
                <w:rFonts w:hint="eastAsia" w:ascii="Times New Roman" w:hAnsi="Times New Roman" w:eastAsia="方正仿宋_GBK" w:cs="Times New Roman"/>
                <w:b/>
                <w:bCs/>
                <w:sz w:val="24"/>
                <w:szCs w:val="24"/>
              </w:rPr>
              <w:t>1</w:t>
            </w:r>
          </w:p>
        </w:tc>
        <w:tc>
          <w:tcPr>
            <w:tcW w:w="1439" w:type="dxa"/>
            <w:tcBorders>
              <w:top w:val="nil"/>
              <w:left w:val="nil"/>
              <w:bottom w:val="single" w:color="auto" w:sz="4" w:space="0"/>
              <w:right w:val="single" w:color="auto" w:sz="4" w:space="0"/>
            </w:tcBorders>
            <w:shd w:val="clear" w:color="000000" w:fill="FFFFFF"/>
            <w:noWrap w:val="0"/>
            <w:vAlign w:val="center"/>
          </w:tcPr>
          <w:p w14:paraId="4EB58504">
            <w:pPr>
              <w:adjustRightInd/>
              <w:snapToGrid/>
              <w:spacing w:after="0"/>
              <w:jc w:val="center"/>
              <w:rPr>
                <w:rFonts w:hint="eastAsia" w:ascii="Times New Roman" w:hAnsi="Times New Roman" w:eastAsia="方正仿宋_GBK" w:cs="Times New Roman"/>
                <w:b/>
                <w:bCs/>
                <w:sz w:val="24"/>
                <w:szCs w:val="24"/>
              </w:rPr>
            </w:pPr>
          </w:p>
        </w:tc>
        <w:tc>
          <w:tcPr>
            <w:tcW w:w="2509" w:type="dxa"/>
            <w:tcBorders>
              <w:top w:val="nil"/>
              <w:left w:val="nil"/>
              <w:bottom w:val="single" w:color="auto" w:sz="4" w:space="0"/>
              <w:right w:val="single" w:color="auto" w:sz="4" w:space="0"/>
            </w:tcBorders>
            <w:shd w:val="clear" w:color="000000" w:fill="FFFFFF"/>
            <w:noWrap w:val="0"/>
            <w:vAlign w:val="center"/>
          </w:tcPr>
          <w:p w14:paraId="6CA8FB00">
            <w:pPr>
              <w:adjustRightInd/>
              <w:snapToGrid/>
              <w:spacing w:after="0"/>
              <w:jc w:val="center"/>
              <w:rPr>
                <w:rFonts w:hint="default" w:ascii="Times New Roman" w:hAnsi="Times New Roman" w:eastAsia="方正仿宋_GBK" w:cs="Times New Roman"/>
                <w:b/>
                <w:bCs/>
                <w:sz w:val="24"/>
                <w:szCs w:val="24"/>
              </w:rPr>
            </w:pPr>
          </w:p>
        </w:tc>
        <w:tc>
          <w:tcPr>
            <w:tcW w:w="777" w:type="dxa"/>
            <w:tcBorders>
              <w:top w:val="nil"/>
              <w:left w:val="nil"/>
              <w:bottom w:val="single" w:color="auto" w:sz="4" w:space="0"/>
              <w:right w:val="single" w:color="auto" w:sz="4" w:space="0"/>
            </w:tcBorders>
            <w:noWrap w:val="0"/>
            <w:vAlign w:val="center"/>
          </w:tcPr>
          <w:p w14:paraId="2AEA6612">
            <w:pPr>
              <w:adjustRightInd/>
              <w:snapToGrid/>
              <w:spacing w:after="0"/>
              <w:jc w:val="center"/>
              <w:rPr>
                <w:rFonts w:hint="default" w:ascii="Times New Roman" w:hAnsi="Times New Roman" w:eastAsia="方正仿宋_GBK" w:cs="Times New Roman"/>
                <w:b/>
                <w:bCs/>
                <w:sz w:val="24"/>
                <w:szCs w:val="24"/>
              </w:rPr>
            </w:pPr>
          </w:p>
        </w:tc>
        <w:tc>
          <w:tcPr>
            <w:tcW w:w="1064" w:type="dxa"/>
            <w:tcBorders>
              <w:top w:val="nil"/>
              <w:left w:val="nil"/>
              <w:bottom w:val="single" w:color="auto" w:sz="4" w:space="0"/>
              <w:right w:val="single" w:color="auto" w:sz="4" w:space="0"/>
            </w:tcBorders>
            <w:noWrap w:val="0"/>
            <w:vAlign w:val="center"/>
          </w:tcPr>
          <w:p w14:paraId="5B49E6E8">
            <w:pPr>
              <w:adjustRightInd/>
              <w:snapToGrid/>
              <w:spacing w:after="0"/>
              <w:jc w:val="center"/>
              <w:rPr>
                <w:rFonts w:hint="default" w:ascii="Times New Roman" w:hAnsi="Times New Roman" w:eastAsia="方正仿宋_GBK" w:cs="Times New Roman"/>
                <w:b/>
                <w:bCs/>
                <w:sz w:val="24"/>
                <w:szCs w:val="24"/>
              </w:rPr>
            </w:pPr>
          </w:p>
        </w:tc>
        <w:tc>
          <w:tcPr>
            <w:tcW w:w="1609" w:type="dxa"/>
            <w:tcBorders>
              <w:top w:val="nil"/>
              <w:left w:val="nil"/>
              <w:bottom w:val="single" w:color="auto" w:sz="4" w:space="0"/>
              <w:right w:val="single" w:color="auto" w:sz="4" w:space="0"/>
            </w:tcBorders>
            <w:noWrap w:val="0"/>
            <w:vAlign w:val="center"/>
          </w:tcPr>
          <w:p w14:paraId="08598B4A">
            <w:pPr>
              <w:adjustRightInd/>
              <w:snapToGrid/>
              <w:spacing w:after="0"/>
              <w:jc w:val="center"/>
              <w:rPr>
                <w:rFonts w:hint="eastAsia" w:ascii="Times New Roman" w:hAnsi="Times New Roman" w:eastAsia="方正仿宋_GBK" w:cs="Times New Roman"/>
                <w:b/>
                <w:bCs/>
                <w:sz w:val="24"/>
                <w:szCs w:val="24"/>
              </w:rPr>
            </w:pPr>
          </w:p>
        </w:tc>
        <w:tc>
          <w:tcPr>
            <w:tcW w:w="1427" w:type="dxa"/>
            <w:tcBorders>
              <w:top w:val="nil"/>
              <w:left w:val="nil"/>
              <w:bottom w:val="single" w:color="auto" w:sz="4" w:space="0"/>
              <w:right w:val="single" w:color="auto" w:sz="4" w:space="0"/>
            </w:tcBorders>
            <w:noWrap w:val="0"/>
            <w:vAlign w:val="center"/>
          </w:tcPr>
          <w:p w14:paraId="6C76821E">
            <w:pPr>
              <w:adjustRightInd/>
              <w:snapToGrid/>
              <w:spacing w:after="0"/>
              <w:jc w:val="center"/>
              <w:rPr>
                <w:rFonts w:hint="eastAsia" w:ascii="Times New Roman" w:hAnsi="Times New Roman" w:eastAsia="方正仿宋_GBK" w:cs="Times New Roman"/>
                <w:b/>
                <w:bCs/>
                <w:sz w:val="24"/>
                <w:szCs w:val="24"/>
              </w:rPr>
            </w:pPr>
          </w:p>
        </w:tc>
        <w:tc>
          <w:tcPr>
            <w:tcW w:w="1391" w:type="dxa"/>
            <w:tcBorders>
              <w:top w:val="nil"/>
              <w:left w:val="nil"/>
              <w:bottom w:val="single" w:color="auto" w:sz="4" w:space="0"/>
              <w:right w:val="single" w:color="auto" w:sz="4" w:space="0"/>
            </w:tcBorders>
            <w:noWrap w:val="0"/>
            <w:vAlign w:val="center"/>
          </w:tcPr>
          <w:p w14:paraId="32553EA7">
            <w:pPr>
              <w:adjustRightInd/>
              <w:snapToGrid/>
              <w:spacing w:after="0"/>
              <w:jc w:val="center"/>
              <w:rPr>
                <w:rFonts w:hint="eastAsia" w:ascii="Times New Roman" w:hAnsi="Times New Roman" w:eastAsia="方正仿宋_GBK" w:cs="Times New Roman"/>
                <w:b/>
                <w:bCs/>
                <w:sz w:val="24"/>
                <w:szCs w:val="24"/>
              </w:rPr>
            </w:pPr>
          </w:p>
        </w:tc>
      </w:tr>
      <w:tr w14:paraId="365F6283">
        <w:tblPrEx>
          <w:tblCellMar>
            <w:top w:w="0" w:type="dxa"/>
            <w:left w:w="108" w:type="dxa"/>
            <w:bottom w:w="0" w:type="dxa"/>
            <w:right w:w="108" w:type="dxa"/>
          </w:tblCellMar>
        </w:tblPrEx>
        <w:trPr>
          <w:trHeight w:val="836" w:hRule="atLeast"/>
          <w:jc w:val="center"/>
        </w:trPr>
        <w:tc>
          <w:tcPr>
            <w:tcW w:w="8149" w:type="dxa"/>
            <w:gridSpan w:val="6"/>
            <w:tcBorders>
              <w:top w:val="nil"/>
              <w:left w:val="single" w:color="auto" w:sz="4" w:space="0"/>
              <w:bottom w:val="single" w:color="auto" w:sz="4" w:space="0"/>
              <w:right w:val="single" w:color="auto" w:sz="4" w:space="0"/>
            </w:tcBorders>
            <w:noWrap w:val="0"/>
            <w:vAlign w:val="center"/>
          </w:tcPr>
          <w:p w14:paraId="3DC161D1">
            <w:pPr>
              <w:adjustRightInd/>
              <w:snapToGrid/>
              <w:spacing w:after="0"/>
              <w:jc w:val="left"/>
              <w:rPr>
                <w:rFonts w:hint="eastAsia" w:ascii="Times New Roman" w:hAnsi="Times New Roman" w:eastAsia="方正仿宋_GBK" w:cs="Times New Roman"/>
                <w:b/>
                <w:bCs/>
                <w:sz w:val="24"/>
                <w:szCs w:val="24"/>
              </w:rPr>
            </w:pPr>
            <w:r>
              <w:rPr>
                <w:rFonts w:hint="eastAsia" w:ascii="Times New Roman" w:hAnsi="Times New Roman" w:eastAsia="方正仿宋_GBK" w:cs="Times New Roman"/>
                <w:b/>
                <w:bCs/>
                <w:sz w:val="24"/>
                <w:szCs w:val="24"/>
              </w:rPr>
              <w:t>合同总金额人民币（大写）：</w:t>
            </w:r>
          </w:p>
        </w:tc>
        <w:tc>
          <w:tcPr>
            <w:tcW w:w="2818" w:type="dxa"/>
            <w:gridSpan w:val="2"/>
            <w:tcBorders>
              <w:top w:val="nil"/>
              <w:left w:val="single" w:color="auto" w:sz="4" w:space="0"/>
              <w:bottom w:val="single" w:color="auto" w:sz="4" w:space="0"/>
              <w:right w:val="single" w:color="auto" w:sz="4" w:space="0"/>
            </w:tcBorders>
            <w:noWrap w:val="0"/>
            <w:vAlign w:val="center"/>
          </w:tcPr>
          <w:p w14:paraId="6A94C4AE">
            <w:pPr>
              <w:adjustRightInd/>
              <w:snapToGrid/>
              <w:spacing w:after="0"/>
              <w:jc w:val="left"/>
              <w:rPr>
                <w:rFonts w:hint="eastAsia" w:ascii="Times New Roman" w:hAnsi="Times New Roman" w:eastAsia="方正仿宋_GBK" w:cs="Times New Roman"/>
                <w:b/>
                <w:bCs/>
                <w:sz w:val="24"/>
                <w:szCs w:val="24"/>
              </w:rPr>
            </w:pPr>
            <w:r>
              <w:rPr>
                <w:rFonts w:hint="eastAsia" w:ascii="Times New Roman" w:hAnsi="Times New Roman" w:eastAsia="方正仿宋_GBK" w:cs="Times New Roman"/>
                <w:b/>
                <w:bCs/>
                <w:sz w:val="24"/>
                <w:szCs w:val="24"/>
              </w:rPr>
              <w:t>￥</w:t>
            </w:r>
          </w:p>
        </w:tc>
      </w:tr>
      <w:tr w14:paraId="0C8556FF">
        <w:tblPrEx>
          <w:tblCellMar>
            <w:top w:w="0" w:type="dxa"/>
            <w:left w:w="108" w:type="dxa"/>
            <w:bottom w:w="0" w:type="dxa"/>
            <w:right w:w="108" w:type="dxa"/>
          </w:tblCellMar>
        </w:tblPrEx>
        <w:trPr>
          <w:trHeight w:val="716" w:hRule="atLeast"/>
          <w:jc w:val="center"/>
        </w:trPr>
        <w:tc>
          <w:tcPr>
            <w:tcW w:w="10967" w:type="dxa"/>
            <w:gridSpan w:val="8"/>
            <w:tcBorders>
              <w:top w:val="nil"/>
              <w:left w:val="single" w:color="auto" w:sz="4" w:space="0"/>
              <w:bottom w:val="single" w:color="auto" w:sz="4" w:space="0"/>
              <w:right w:val="single" w:color="auto" w:sz="4" w:space="0"/>
            </w:tcBorders>
            <w:noWrap w:val="0"/>
            <w:vAlign w:val="center"/>
          </w:tcPr>
          <w:p w14:paraId="61EE78DA">
            <w:pPr>
              <w:adjustRightInd/>
              <w:snapToGrid/>
              <w:spacing w:after="0"/>
              <w:jc w:val="left"/>
              <w:rPr>
                <w:rFonts w:hint="eastAsia" w:ascii="Times New Roman" w:hAnsi="Times New Roman" w:eastAsia="方正仿宋_GBK" w:cs="Times New Roman"/>
                <w:b/>
                <w:bCs/>
                <w:sz w:val="24"/>
                <w:szCs w:val="24"/>
              </w:rPr>
            </w:pPr>
            <w:r>
              <w:rPr>
                <w:rFonts w:hint="eastAsia" w:ascii="Times New Roman" w:hAnsi="Times New Roman" w:eastAsia="方正仿宋_GBK" w:cs="Times New Roman"/>
                <w:b/>
                <w:bCs/>
                <w:sz w:val="24"/>
                <w:szCs w:val="24"/>
              </w:rPr>
              <w:t>备注：以上金额含</w:t>
            </w:r>
            <w:r>
              <w:rPr>
                <w:rFonts w:hint="eastAsia" w:eastAsia="方正仿宋_GBK" w:cs="Times New Roman"/>
                <w:b/>
                <w:bCs/>
                <w:sz w:val="24"/>
                <w:szCs w:val="24"/>
                <w:lang w:val="en-US" w:eastAsia="zh-CN"/>
              </w:rPr>
              <w:t xml:space="preserve">  </w:t>
            </w:r>
            <w:r>
              <w:rPr>
                <w:rFonts w:hint="eastAsia" w:ascii="Times New Roman" w:hAnsi="Times New Roman" w:eastAsia="方正仿宋_GBK" w:cs="Times New Roman"/>
                <w:b/>
                <w:bCs/>
                <w:sz w:val="24"/>
                <w:szCs w:val="24"/>
              </w:rPr>
              <w:t>%增值税和运费</w:t>
            </w:r>
          </w:p>
        </w:tc>
      </w:tr>
    </w:tbl>
    <w:p w14:paraId="66319F51">
      <w:pPr>
        <w:pStyle w:val="23"/>
        <w:keepNext w:val="0"/>
        <w:keepLines w:val="0"/>
        <w:pageBreakBefore w:val="0"/>
        <w:numPr>
          <w:ilvl w:val="0"/>
          <w:numId w:val="0"/>
        </w:numPr>
        <w:kinsoku/>
        <w:wordWrap/>
        <w:overflowPunct/>
        <w:topLinePunct w:val="0"/>
        <w:autoSpaceDE/>
        <w:autoSpaceDN/>
        <w:bidi w:val="0"/>
        <w:adjustRightInd w:val="0"/>
        <w:snapToGrid w:val="0"/>
        <w:spacing w:after="0" w:line="579" w:lineRule="exact"/>
        <w:ind w:left="0" w:leftChars="0"/>
        <w:jc w:val="both"/>
        <w:textAlignment w:val="auto"/>
        <w:outlineLvl w:val="1"/>
        <w:rPr>
          <w:rFonts w:hint="eastAsia" w:ascii="黑体" w:hAnsi="黑体" w:eastAsia="黑体" w:cs="黑体"/>
          <w:sz w:val="28"/>
          <w:szCs w:val="28"/>
          <w:lang w:eastAsia="zh-CN"/>
        </w:rPr>
      </w:pPr>
      <w:r>
        <w:rPr>
          <w:rFonts w:hint="eastAsia" w:ascii="黑体" w:hAnsi="黑体" w:eastAsia="黑体" w:cs="黑体"/>
          <w:sz w:val="28"/>
          <w:szCs w:val="28"/>
        </w:rPr>
        <w:t xml:space="preserve">第二条  </w:t>
      </w:r>
      <w:r>
        <w:rPr>
          <w:rFonts w:hint="eastAsia" w:ascii="黑体" w:hAnsi="黑体" w:eastAsia="黑体" w:cs="黑体"/>
          <w:sz w:val="28"/>
          <w:szCs w:val="28"/>
          <w:lang w:val="en-US" w:eastAsia="zh-CN"/>
        </w:rPr>
        <w:t>服务</w:t>
      </w:r>
      <w:r>
        <w:rPr>
          <w:rFonts w:hint="eastAsia" w:ascii="黑体" w:hAnsi="黑体" w:eastAsia="黑体" w:cs="黑体"/>
          <w:sz w:val="28"/>
          <w:szCs w:val="28"/>
        </w:rPr>
        <w:t>时间、地点</w:t>
      </w:r>
    </w:p>
    <w:p w14:paraId="5375B587">
      <w:pPr>
        <w:pStyle w:val="35"/>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1.</w:t>
      </w:r>
      <w:r>
        <w:rPr>
          <w:rFonts w:hint="eastAsia" w:ascii="方正仿宋_GBK" w:hAnsi="方正仿宋_GBK" w:eastAsia="方正仿宋_GBK" w:cs="方正仿宋_GBK"/>
          <w:sz w:val="28"/>
          <w:szCs w:val="28"/>
          <w:lang w:val="en-US" w:eastAsia="zh-CN"/>
        </w:rPr>
        <w:t>服务</w:t>
      </w:r>
      <w:r>
        <w:rPr>
          <w:rFonts w:hint="eastAsia" w:ascii="方正仿宋_GBK" w:hAnsi="方正仿宋_GBK" w:eastAsia="方正仿宋_GBK" w:cs="方正仿宋_GBK"/>
          <w:sz w:val="28"/>
          <w:szCs w:val="28"/>
        </w:rPr>
        <w:t>时间：</w:t>
      </w:r>
      <w:r>
        <w:rPr>
          <w:rFonts w:hint="eastAsia" w:ascii="方正仿宋_GBK" w:hAnsi="方正仿宋_GBK" w:eastAsia="方正仿宋_GBK" w:cs="方正仿宋_GBK"/>
          <w:sz w:val="28"/>
          <w:szCs w:val="28"/>
          <w:lang w:val="en-US" w:eastAsia="zh-CN"/>
        </w:rPr>
        <w:t>本项目采用“固定总价包干”的承包方式，总工期为3个日历天。乙方需在接到甲方开工通知后立即响应，并于1日内组织人员及设备进场施工。乙方须确保在进场后3天内完成所有设备的供货、安装、调试及旧设备拆除清运工作，并交付甲方验收使用</w:t>
      </w:r>
      <w:r>
        <w:rPr>
          <w:rFonts w:hint="eastAsia" w:ascii="方正仿宋_GBK" w:hAnsi="方正仿宋_GBK" w:eastAsia="方正仿宋_GBK" w:cs="方正仿宋_GBK"/>
          <w:sz w:val="28"/>
          <w:szCs w:val="28"/>
          <w:highlight w:val="none"/>
        </w:rPr>
        <w:t>。</w:t>
      </w:r>
    </w:p>
    <w:p w14:paraId="60D356AC">
      <w:pPr>
        <w:pStyle w:val="35"/>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2.</w:t>
      </w:r>
      <w:r>
        <w:rPr>
          <w:rFonts w:hint="eastAsia" w:ascii="方正仿宋_GBK" w:hAnsi="方正仿宋_GBK" w:eastAsia="方正仿宋_GBK" w:cs="方正仿宋_GBK"/>
          <w:sz w:val="28"/>
          <w:szCs w:val="28"/>
          <w:lang w:val="en-US" w:eastAsia="zh-CN"/>
        </w:rPr>
        <w:t>服务</w:t>
      </w:r>
      <w:r>
        <w:rPr>
          <w:rFonts w:hint="eastAsia" w:ascii="方正仿宋_GBK" w:hAnsi="方正仿宋_GBK" w:eastAsia="方正仿宋_GBK" w:cs="方正仿宋_GBK"/>
          <w:sz w:val="28"/>
          <w:szCs w:val="28"/>
        </w:rPr>
        <w:t>地点：</w:t>
      </w:r>
      <w:r>
        <w:rPr>
          <w:rFonts w:hint="eastAsia" w:ascii="方正仿宋_GBK" w:hAnsi="方正仿宋_GBK" w:eastAsia="方正仿宋_GBK" w:cs="方正仿宋_GBK"/>
          <w:sz w:val="28"/>
          <w:szCs w:val="28"/>
          <w:lang w:eastAsia="zh-CN"/>
        </w:rPr>
        <w:t>浙江省绍兴市柯桥区钱滨线二线海塘绍兴市再生能源发展有限公司。</w:t>
      </w:r>
    </w:p>
    <w:p w14:paraId="3024D424">
      <w:pPr>
        <w:pStyle w:val="23"/>
        <w:keepNext w:val="0"/>
        <w:keepLines w:val="0"/>
        <w:pageBreakBefore w:val="0"/>
        <w:numPr>
          <w:ilvl w:val="0"/>
          <w:numId w:val="0"/>
        </w:numPr>
        <w:kinsoku/>
        <w:wordWrap/>
        <w:overflowPunct/>
        <w:topLinePunct w:val="0"/>
        <w:autoSpaceDE/>
        <w:autoSpaceDN/>
        <w:bidi w:val="0"/>
        <w:adjustRightInd w:val="0"/>
        <w:snapToGrid w:val="0"/>
        <w:spacing w:after="0" w:line="579" w:lineRule="exact"/>
        <w:ind w:left="0" w:leftChars="0"/>
        <w:jc w:val="both"/>
        <w:textAlignment w:val="auto"/>
        <w:outlineLvl w:val="1"/>
        <w:rPr>
          <w:rFonts w:hint="default" w:ascii="黑体" w:hAnsi="黑体" w:eastAsia="黑体" w:cs="黑体"/>
          <w:sz w:val="28"/>
          <w:szCs w:val="28"/>
          <w:lang w:val="en-US" w:eastAsia="zh-CN"/>
        </w:rPr>
      </w:pPr>
      <w:r>
        <w:rPr>
          <w:rFonts w:hint="eastAsia" w:ascii="黑体" w:hAnsi="黑体" w:eastAsia="黑体" w:cs="黑体"/>
          <w:sz w:val="28"/>
          <w:szCs w:val="28"/>
        </w:rPr>
        <w:t xml:space="preserve">第三条 </w:t>
      </w:r>
      <w:r>
        <w:rPr>
          <w:rFonts w:hint="eastAsia" w:ascii="黑体" w:hAnsi="黑体" w:eastAsia="黑体" w:cs="黑体"/>
          <w:sz w:val="28"/>
          <w:szCs w:val="28"/>
          <w:lang w:val="en-US" w:eastAsia="zh-CN"/>
        </w:rPr>
        <w:t>工作量</w:t>
      </w:r>
    </w:p>
    <w:p w14:paraId="500D2948">
      <w:pPr>
        <w:pStyle w:val="35"/>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1.二楼会议室： 拆除原有投影设备，安装P1.5室内全彩LED显示屏及配套播控系统；原有音响设备利旧，需与新播控系统实现无缝对接，并接入话筒，最终调试至音质清晰、无杂音，确保音视频系统整体正常运行。</w:t>
      </w:r>
    </w:p>
    <w:p w14:paraId="7F4EF072">
      <w:pPr>
        <w:pStyle w:val="35"/>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2.三楼会议室： 拆除原有投影设备，安装100英寸商用智能液晶电视。</w:t>
      </w:r>
    </w:p>
    <w:p w14:paraId="2B8064BB">
      <w:pPr>
        <w:pStyle w:val="35"/>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3.通用设备： 采购并配置20套7.4英寸双面墨水屏电子桌牌。</w:t>
      </w:r>
    </w:p>
    <w:p w14:paraId="3D7B16A3">
      <w:pPr>
        <w:pStyle w:val="35"/>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4.系统集成： 完成所有设备的综合布线、系统联调及操作培训。</w:t>
      </w:r>
    </w:p>
    <w:p w14:paraId="2654752D">
      <w:pPr>
        <w:pStyle w:val="35"/>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5.场文明施工与成品保护要求：</w:t>
      </w:r>
    </w:p>
    <w:p w14:paraId="007AF4AB">
      <w:pPr>
        <w:pStyle w:val="35"/>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①原有旧投影仪、幕布拆除后，须对顶面、墙面遗留的孔洞及破损进行填补、找平、刷漆，修复效果须与周边饰面协调一致。</w:t>
      </w:r>
    </w:p>
    <w:p w14:paraId="1B4E080F">
      <w:pPr>
        <w:pStyle w:val="35"/>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②二楼LED屏安装过程中对原有成品背景墙裁切开孔造成的破损，施工方须负责复原修复。</w:t>
      </w:r>
    </w:p>
    <w:p w14:paraId="238FDF5E">
      <w:pPr>
        <w:pStyle w:val="35"/>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yellow"/>
          <w:lang w:val="en-US" w:eastAsia="zh-CN"/>
        </w:rPr>
      </w:pPr>
      <w:r>
        <w:rPr>
          <w:rFonts w:hint="eastAsia" w:ascii="方正仿宋_GBK" w:hAnsi="方正仿宋_GBK" w:eastAsia="方正仿宋_GBK" w:cs="方正仿宋_GBK"/>
          <w:sz w:val="28"/>
          <w:szCs w:val="28"/>
          <w:highlight w:val="none"/>
          <w:lang w:val="en-US" w:eastAsia="zh-CN"/>
        </w:rPr>
        <w:t>③地面布线掀开的地毯，施工完毕后须复位铺平，确保无起翘、无褶皱。</w:t>
      </w:r>
    </w:p>
    <w:p w14:paraId="38BF1386">
      <w:pPr>
        <w:pStyle w:val="23"/>
        <w:keepNext w:val="0"/>
        <w:keepLines w:val="0"/>
        <w:pageBreakBefore w:val="0"/>
        <w:numPr>
          <w:ilvl w:val="0"/>
          <w:numId w:val="0"/>
        </w:numPr>
        <w:kinsoku/>
        <w:wordWrap/>
        <w:overflowPunct/>
        <w:topLinePunct w:val="0"/>
        <w:autoSpaceDE/>
        <w:autoSpaceDN/>
        <w:bidi w:val="0"/>
        <w:adjustRightInd w:val="0"/>
        <w:snapToGrid w:val="0"/>
        <w:spacing w:after="0" w:line="579" w:lineRule="exact"/>
        <w:ind w:left="0" w:leftChars="0"/>
        <w:jc w:val="both"/>
        <w:textAlignment w:val="auto"/>
        <w:outlineLvl w:val="1"/>
        <w:rPr>
          <w:rFonts w:hint="eastAsia" w:ascii="黑体" w:hAnsi="黑体" w:eastAsia="黑体" w:cs="黑体"/>
          <w:sz w:val="28"/>
          <w:szCs w:val="28"/>
        </w:rPr>
      </w:pPr>
      <w:r>
        <w:rPr>
          <w:rFonts w:hint="eastAsia" w:ascii="黑体" w:hAnsi="黑体" w:eastAsia="黑体" w:cs="黑体"/>
          <w:sz w:val="28"/>
          <w:szCs w:val="28"/>
        </w:rPr>
        <w:t xml:space="preserve">第四条 合同价格   </w:t>
      </w:r>
    </w:p>
    <w:p w14:paraId="3C7D9374">
      <w:pPr>
        <w:pStyle w:val="35"/>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rPr>
      </w:pPr>
      <w:r>
        <w:rPr>
          <w:rFonts w:hint="eastAsia" w:ascii="方正仿宋_GBK" w:hAnsi="方正仿宋_GBK" w:eastAsia="方正仿宋_GBK" w:cs="方正仿宋_GBK"/>
          <w:sz w:val="28"/>
          <w:szCs w:val="28"/>
        </w:rPr>
        <w:t>合同总金额人民币（大写）</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元整，本合同</w:t>
      </w:r>
      <w:r>
        <w:rPr>
          <w:rFonts w:hint="eastAsia" w:ascii="方正仿宋_GBK" w:hAnsi="方正仿宋_GBK" w:eastAsia="方正仿宋_GBK" w:cs="方正仿宋_GBK"/>
          <w:sz w:val="28"/>
          <w:szCs w:val="28"/>
          <w:highlight w:val="none"/>
        </w:rPr>
        <w:t>为固定</w:t>
      </w:r>
      <w:r>
        <w:rPr>
          <w:rFonts w:hint="eastAsia" w:ascii="方正仿宋_GBK" w:hAnsi="方正仿宋_GBK" w:eastAsia="方正仿宋_GBK" w:cs="方正仿宋_GBK"/>
          <w:sz w:val="28"/>
          <w:szCs w:val="28"/>
          <w:highlight w:val="none"/>
          <w:lang w:val="en-US" w:eastAsia="zh-CN"/>
        </w:rPr>
        <w:t>总价</w:t>
      </w:r>
      <w:r>
        <w:rPr>
          <w:rFonts w:hint="eastAsia" w:ascii="方正仿宋_GBK" w:hAnsi="方正仿宋_GBK" w:eastAsia="方正仿宋_GBK" w:cs="方正仿宋_GBK"/>
          <w:sz w:val="28"/>
          <w:szCs w:val="28"/>
          <w:highlight w:val="none"/>
        </w:rPr>
        <w:t>合同，金额包含</w:t>
      </w:r>
      <w:r>
        <w:rPr>
          <w:rFonts w:hint="eastAsia" w:ascii="方正仿宋_GBK" w:hAnsi="方正仿宋_GBK" w:eastAsia="方正仿宋_GBK" w:cs="方正仿宋_GBK"/>
          <w:sz w:val="28"/>
          <w:szCs w:val="28"/>
          <w:highlight w:val="none"/>
          <w:lang w:val="en-US" w:eastAsia="zh-CN"/>
        </w:rPr>
        <w:t>设备费、运输费、保险费、安装调试费、辅材费、垃圾清运费、</w:t>
      </w:r>
      <w:r>
        <w:rPr>
          <w:rFonts w:hint="eastAsia" w:ascii="方正仿宋_GBK" w:hAnsi="方正仿宋_GBK" w:eastAsia="方正仿宋_GBK" w:cs="方正仿宋_GBK"/>
          <w:sz w:val="28"/>
          <w:szCs w:val="28"/>
          <w:lang w:val="en-US" w:eastAsia="zh-CN"/>
        </w:rPr>
        <w:t>税金及技术服务等完成本项目所需的一切费用</w:t>
      </w:r>
      <w:r>
        <w:rPr>
          <w:rFonts w:hint="eastAsia" w:ascii="方正仿宋_GBK" w:hAnsi="方正仿宋_GBK" w:eastAsia="方正仿宋_GBK" w:cs="方正仿宋_GBK"/>
          <w:sz w:val="28"/>
          <w:szCs w:val="28"/>
        </w:rPr>
        <w:t>，</w:t>
      </w:r>
      <w:r>
        <w:rPr>
          <w:rFonts w:hint="eastAsia" w:ascii="方正仿宋_GBK" w:hAnsi="方正仿宋_GBK" w:eastAsia="方正仿宋_GBK" w:cs="方正仿宋_GBK"/>
          <w:sz w:val="28"/>
          <w:szCs w:val="28"/>
          <w:lang w:val="en-US" w:eastAsia="zh-CN"/>
        </w:rPr>
        <w:t>甲乙</w:t>
      </w:r>
      <w:r>
        <w:rPr>
          <w:rFonts w:hint="eastAsia" w:ascii="方正仿宋_GBK" w:hAnsi="方正仿宋_GBK" w:eastAsia="方正仿宋_GBK" w:cs="方正仿宋_GBK"/>
          <w:sz w:val="28"/>
          <w:szCs w:val="28"/>
        </w:rPr>
        <w:t>双方不能因市场价格</w:t>
      </w:r>
      <w:r>
        <w:rPr>
          <w:rFonts w:hint="eastAsia" w:ascii="方正仿宋_GBK" w:hAnsi="方正仿宋_GBK" w:eastAsia="方正仿宋_GBK" w:cs="方正仿宋_GBK"/>
          <w:sz w:val="28"/>
          <w:szCs w:val="28"/>
          <w:highlight w:val="none"/>
        </w:rPr>
        <w:t>变化而调整合同价。</w:t>
      </w:r>
    </w:p>
    <w:p w14:paraId="3C0CA234">
      <w:pPr>
        <w:pStyle w:val="35"/>
        <w:keepNext w:val="0"/>
        <w:keepLines w:val="0"/>
        <w:pageBreakBefore w:val="0"/>
        <w:numPr>
          <w:ilvl w:val="0"/>
          <w:numId w:val="4"/>
        </w:numPr>
        <w:kinsoku/>
        <w:wordWrap/>
        <w:overflowPunct/>
        <w:topLinePunct w:val="0"/>
        <w:autoSpaceDE/>
        <w:autoSpaceDN/>
        <w:bidi w:val="0"/>
        <w:adjustRightInd w:val="0"/>
        <w:snapToGrid w:val="0"/>
        <w:spacing w:line="579" w:lineRule="exact"/>
        <w:ind w:left="0" w:hanging="560" w:hangingChars="200"/>
        <w:contextualSpacing/>
        <w:jc w:val="both"/>
        <w:textAlignment w:val="auto"/>
        <w:outlineLvl w:val="1"/>
        <w:rPr>
          <w:rFonts w:hint="eastAsia" w:ascii="黑体" w:hAnsi="黑体" w:eastAsia="黑体" w:cs="黑体"/>
          <w:kern w:val="2"/>
          <w:sz w:val="28"/>
          <w:szCs w:val="28"/>
          <w:highlight w:val="none"/>
          <w:lang w:val="en-US" w:eastAsia="zh-CN" w:bidi="ar-SA"/>
        </w:rPr>
      </w:pPr>
      <w:r>
        <w:rPr>
          <w:rFonts w:hint="eastAsia" w:ascii="黑体" w:hAnsi="黑体" w:eastAsia="黑体" w:cs="黑体"/>
          <w:kern w:val="2"/>
          <w:sz w:val="28"/>
          <w:szCs w:val="28"/>
          <w:highlight w:val="none"/>
          <w:lang w:val="en-US" w:eastAsia="zh-CN" w:bidi="ar-SA"/>
        </w:rPr>
        <w:t>付款方式</w:t>
      </w:r>
    </w:p>
    <w:p w14:paraId="4B8BA801">
      <w:pPr>
        <w:pStyle w:val="20"/>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kern w:val="2"/>
          <w:sz w:val="30"/>
          <w:szCs w:val="30"/>
          <w:highlight w:val="none"/>
        </w:rPr>
      </w:pPr>
      <w:r>
        <w:rPr>
          <w:rFonts w:hint="eastAsia" w:ascii="仿宋" w:hAnsi="仿宋" w:eastAsia="仿宋" w:cs="仿宋"/>
          <w:color w:val="auto"/>
          <w:kern w:val="2"/>
          <w:sz w:val="30"/>
          <w:szCs w:val="30"/>
          <w:highlight w:val="none"/>
          <w:lang w:val="en-US" w:eastAsia="zh-CN"/>
        </w:rPr>
        <w:t>全部货物运送至甲方指定地点并安装调试完成，经由甲方验收合格后，乙方提供经双方确认的送货清单及等额、合法、有效的增值税专用发票，甲方自收到准确清单和发票且核对无误后，于次二月完成款项支付，若乙方未按时提供发票，或提供的发票不符合税务及甲方财务要求（包括但不限于信息错误、无法认证等），甲方有权顺延付款期限，直至收到合规发票为止。由此产生的付款延迟不视为甲方违约，甲方无需承担任何逾期付款利息或违约责任。乙方需提供三年质保服务（其中LED显示屏体灯珠质保3年、整机质保1年，电子桌牌整机质保3年，智能液晶电视整机质保3年，其他设备整机质保1年），其履约保证金（合同价的5%）到时（验收合格后）自动转为质保金，质保金于质保期满且无未决质量争议后无息退还</w:t>
      </w:r>
      <w:r>
        <w:rPr>
          <w:rFonts w:hint="eastAsia" w:ascii="仿宋" w:hAnsi="仿宋" w:eastAsia="仿宋" w:cs="仿宋"/>
          <w:color w:val="auto"/>
          <w:kern w:val="2"/>
          <w:sz w:val="30"/>
          <w:szCs w:val="30"/>
          <w:highlight w:val="none"/>
          <w:lang w:eastAsia="zh-CN"/>
        </w:rPr>
        <w:t>。</w:t>
      </w:r>
    </w:p>
    <w:p w14:paraId="379255D2">
      <w:pPr>
        <w:pStyle w:val="35"/>
        <w:numPr>
          <w:ilvl w:val="0"/>
          <w:numId w:val="0"/>
        </w:numPr>
        <w:spacing w:line="579" w:lineRule="exact"/>
        <w:ind w:left="560" w:leftChars="0" w:hanging="560" w:hangingChars="200"/>
        <w:contextualSpacing/>
        <w:jc w:val="both"/>
        <w:outlineLvl w:val="0"/>
        <w:rPr>
          <w:rFonts w:ascii="Times New Roman" w:hAnsi="Times New Roman" w:eastAsia="黑体"/>
          <w:kern w:val="2"/>
          <w:sz w:val="28"/>
          <w:szCs w:val="28"/>
        </w:rPr>
      </w:pPr>
      <w:r>
        <w:rPr>
          <w:rFonts w:hint="eastAsia" w:ascii="Times New Roman" w:hAnsi="Times New Roman" w:eastAsia="黑体" w:cs="Times New Roman"/>
          <w:kern w:val="2"/>
          <w:sz w:val="28"/>
          <w:szCs w:val="28"/>
          <w:lang w:val="en-US" w:eastAsia="zh-CN" w:bidi="ar-SA"/>
        </w:rPr>
        <w:t>第六</w:t>
      </w:r>
      <w:r>
        <w:rPr>
          <w:rFonts w:hint="eastAsia" w:ascii="Times New Roman" w:hAnsi="Times New Roman" w:eastAsia="黑体" w:cs="Times New Roman"/>
          <w:kern w:val="2"/>
          <w:sz w:val="28"/>
          <w:szCs w:val="28"/>
          <w:highlight w:val="none"/>
          <w:lang w:val="en-US" w:eastAsia="zh-CN" w:bidi="ar-SA"/>
        </w:rPr>
        <w:t xml:space="preserve">条 </w:t>
      </w:r>
      <w:r>
        <w:rPr>
          <w:rFonts w:ascii="Times New Roman" w:hAnsi="Times New Roman" w:eastAsia="黑体"/>
          <w:kern w:val="2"/>
          <w:sz w:val="28"/>
          <w:szCs w:val="28"/>
          <w:highlight w:val="none"/>
        </w:rPr>
        <w:t>验收标准</w:t>
      </w:r>
    </w:p>
    <w:p w14:paraId="3697D57A">
      <w:pPr>
        <w:pStyle w:val="35"/>
        <w:spacing w:line="579" w:lineRule="exact"/>
        <w:ind w:firstLine="560" w:firstLineChars="200"/>
        <w:contextualSpacing/>
        <w:jc w:val="both"/>
        <w:rPr>
          <w:rFonts w:hint="default" w:ascii="Times New Roman" w:hAnsi="Times New Roman" w:eastAsia="方正仿宋_GBK"/>
          <w:sz w:val="28"/>
          <w:szCs w:val="28"/>
          <w:highlight w:val="none"/>
          <w:lang w:eastAsia="zh-CN"/>
        </w:rPr>
      </w:pPr>
      <w:r>
        <w:rPr>
          <w:rFonts w:hint="default" w:ascii="Times New Roman" w:hAnsi="Times New Roman" w:eastAsia="方正仿宋_GBK"/>
          <w:sz w:val="28"/>
          <w:szCs w:val="28"/>
          <w:highlight w:val="none"/>
          <w:lang w:val="en-US" w:eastAsia="zh-CN"/>
        </w:rPr>
        <w:t>本次验收只能视为初步验收，并不能视为解除乙方对其服务成果</w:t>
      </w:r>
      <w:r>
        <w:rPr>
          <w:rFonts w:hint="eastAsia" w:ascii="Times New Roman" w:hAnsi="Times New Roman" w:eastAsia="方正仿宋_GBK"/>
          <w:sz w:val="28"/>
          <w:szCs w:val="28"/>
          <w:highlight w:val="none"/>
          <w:lang w:val="en-US" w:eastAsia="zh-CN"/>
        </w:rPr>
        <w:t>/产品</w:t>
      </w:r>
      <w:r>
        <w:rPr>
          <w:rFonts w:hint="default" w:ascii="Times New Roman" w:hAnsi="Times New Roman" w:eastAsia="方正仿宋_GBK"/>
          <w:sz w:val="28"/>
          <w:szCs w:val="28"/>
          <w:highlight w:val="none"/>
          <w:lang w:val="en-US" w:eastAsia="zh-CN"/>
        </w:rPr>
        <w:t>在</w:t>
      </w:r>
      <w:r>
        <w:rPr>
          <w:rFonts w:hint="eastAsia" w:ascii="Times New Roman" w:hAnsi="Times New Roman" w:eastAsia="方正仿宋_GBK"/>
          <w:sz w:val="28"/>
          <w:szCs w:val="28"/>
          <w:highlight w:val="none"/>
          <w:lang w:val="en-US" w:eastAsia="zh-CN"/>
        </w:rPr>
        <w:t>合同</w:t>
      </w:r>
      <w:r>
        <w:rPr>
          <w:rFonts w:hint="default" w:ascii="Times New Roman" w:hAnsi="Times New Roman" w:eastAsia="方正仿宋_GBK"/>
          <w:sz w:val="28"/>
          <w:szCs w:val="28"/>
          <w:highlight w:val="none"/>
          <w:lang w:val="en-US" w:eastAsia="zh-CN"/>
        </w:rPr>
        <w:t>期内（如有后续整改需求）应负责任的凭据。</w:t>
      </w:r>
    </w:p>
    <w:p w14:paraId="7DCCA065">
      <w:pPr>
        <w:pStyle w:val="35"/>
        <w:spacing w:line="579" w:lineRule="exact"/>
        <w:ind w:firstLine="560" w:firstLineChars="200"/>
        <w:contextualSpacing/>
        <w:jc w:val="both"/>
        <w:rPr>
          <w:rFonts w:ascii="Times New Roman" w:hAnsi="Times New Roman"/>
          <w:highlight w:val="none"/>
        </w:rPr>
      </w:pPr>
      <w:r>
        <w:rPr>
          <w:rFonts w:hint="default" w:ascii="Times New Roman" w:hAnsi="Times New Roman" w:eastAsia="方正仿宋_GBK"/>
          <w:sz w:val="28"/>
          <w:szCs w:val="28"/>
          <w:highlight w:val="none"/>
          <w:lang w:val="en-US" w:eastAsia="zh-CN"/>
        </w:rPr>
        <w:t>凡甲方验收过程中发现的乙方提供的服务</w:t>
      </w:r>
      <w:r>
        <w:rPr>
          <w:rFonts w:hint="eastAsia" w:ascii="Times New Roman" w:hAnsi="Times New Roman" w:eastAsia="方正仿宋_GBK"/>
          <w:sz w:val="28"/>
          <w:szCs w:val="28"/>
          <w:highlight w:val="none"/>
          <w:lang w:val="en-US" w:eastAsia="zh-CN"/>
        </w:rPr>
        <w:t>/产品</w:t>
      </w:r>
      <w:r>
        <w:rPr>
          <w:rFonts w:hint="default" w:ascii="Times New Roman" w:hAnsi="Times New Roman" w:eastAsia="方正仿宋_GBK"/>
          <w:sz w:val="28"/>
          <w:szCs w:val="28"/>
          <w:highlight w:val="none"/>
          <w:lang w:val="en-US" w:eastAsia="zh-CN"/>
        </w:rPr>
        <w:t>不符合合同约定的，乙方必须无偿进行整改直至符合甲方要求，并承担整改过程中所发生的一切费用和甲方的所有经济损失，整改 2 次后仍无法达到要求的，甲方有权解除合同并要求乙方支付甲方合同总金额 5% 的违约金并扣除履约保证金。因整改而超过合同约定服务时间的，乙方应按本合同第</w:t>
      </w:r>
      <w:r>
        <w:rPr>
          <w:rFonts w:hint="eastAsia" w:ascii="Times New Roman" w:hAnsi="Times New Roman" w:eastAsia="方正仿宋_GBK"/>
          <w:sz w:val="28"/>
          <w:szCs w:val="28"/>
          <w:highlight w:val="none"/>
          <w:lang w:val="en-US" w:eastAsia="zh-CN"/>
        </w:rPr>
        <w:t>八</w:t>
      </w:r>
      <w:r>
        <w:rPr>
          <w:rFonts w:hint="default" w:ascii="Times New Roman" w:hAnsi="Times New Roman" w:eastAsia="方正仿宋_GBK"/>
          <w:sz w:val="28"/>
          <w:szCs w:val="28"/>
          <w:highlight w:val="none"/>
          <w:lang w:val="en-US" w:eastAsia="zh-CN"/>
        </w:rPr>
        <w:t>条承担逾期服务违约责任</w:t>
      </w:r>
      <w:r>
        <w:rPr>
          <w:rFonts w:hint="eastAsia" w:ascii="Times New Roman" w:hAnsi="Times New Roman" w:eastAsia="方正仿宋_GBK"/>
          <w:sz w:val="28"/>
          <w:szCs w:val="28"/>
          <w:highlight w:val="none"/>
          <w:lang w:val="en-US" w:eastAsia="zh-CN"/>
        </w:rPr>
        <w:t>。</w:t>
      </w:r>
      <w:r>
        <w:rPr>
          <w:rFonts w:ascii="Times New Roman" w:hAnsi="Times New Roman"/>
          <w:highlight w:val="none"/>
        </w:rPr>
        <w:t xml:space="preserve">                                                                                                                                 </w:t>
      </w:r>
    </w:p>
    <w:p w14:paraId="2A49888C">
      <w:pPr>
        <w:pStyle w:val="35"/>
        <w:spacing w:line="579" w:lineRule="exact"/>
        <w:contextualSpacing/>
        <w:jc w:val="both"/>
        <w:outlineLvl w:val="0"/>
        <w:rPr>
          <w:rFonts w:ascii="Times New Roman" w:hAnsi="Times New Roman" w:eastAsia="黑体"/>
          <w:sz w:val="28"/>
          <w:szCs w:val="28"/>
          <w:highlight w:val="none"/>
        </w:rPr>
      </w:pPr>
      <w:r>
        <w:rPr>
          <w:rFonts w:ascii="Times New Roman" w:hAnsi="Times New Roman" w:eastAsia="黑体"/>
          <w:sz w:val="28"/>
          <w:szCs w:val="28"/>
          <w:highlight w:val="none"/>
        </w:rPr>
        <w:t>第</w:t>
      </w:r>
      <w:r>
        <w:rPr>
          <w:rFonts w:hint="eastAsia" w:ascii="Times New Roman" w:hAnsi="Times New Roman" w:eastAsia="黑体"/>
          <w:sz w:val="28"/>
          <w:szCs w:val="28"/>
          <w:highlight w:val="none"/>
          <w:lang w:val="en-US" w:eastAsia="zh-CN"/>
        </w:rPr>
        <w:t>七</w:t>
      </w:r>
      <w:r>
        <w:rPr>
          <w:rFonts w:ascii="Times New Roman" w:hAnsi="Times New Roman" w:eastAsia="黑体"/>
          <w:sz w:val="28"/>
          <w:szCs w:val="28"/>
          <w:highlight w:val="none"/>
        </w:rPr>
        <w:t>条 质量保证</w:t>
      </w:r>
    </w:p>
    <w:p w14:paraId="58345FDD">
      <w:pPr>
        <w:pStyle w:val="35"/>
        <w:spacing w:after="0" w:line="579" w:lineRule="exact"/>
        <w:ind w:firstLine="560" w:firstLineChars="200"/>
        <w:contextualSpacing/>
        <w:jc w:val="both"/>
        <w:rPr>
          <w:rFonts w:ascii="Times New Roman" w:hAnsi="Times New Roman"/>
        </w:rPr>
      </w:pPr>
      <w:r>
        <w:rPr>
          <w:rFonts w:hint="eastAsia" w:ascii="方正仿宋_GBK" w:hAnsi="方正仿宋_GBK" w:eastAsia="方正仿宋_GBK" w:cs="方正仿宋_GBK"/>
          <w:sz w:val="28"/>
          <w:szCs w:val="28"/>
          <w:highlight w:val="none"/>
          <w:lang w:eastAsia="zh-CN"/>
        </w:rPr>
        <w:t>乙方保证其供应的本合同标的是全新的，技术水平先进、成熟、质量优良、安全可靠、经济</w:t>
      </w:r>
      <w:r>
        <w:rPr>
          <w:rFonts w:hint="eastAsia" w:ascii="方正仿宋_GBK" w:hAnsi="方正仿宋_GBK" w:eastAsia="方正仿宋_GBK" w:cs="方正仿宋_GBK"/>
          <w:sz w:val="28"/>
          <w:szCs w:val="28"/>
          <w:lang w:eastAsia="zh-CN"/>
        </w:rPr>
        <w:t>运行和易于维护。本合同下质量标准为国家标准及相关行业标准（不同标准之间如有冲突，比较严格者为准）。</w:t>
      </w:r>
      <w:r>
        <w:rPr>
          <w:rFonts w:hint="default" w:ascii="Times New Roman" w:hAnsi="Times New Roman" w:eastAsia="方正仿宋_GBK"/>
          <w:sz w:val="28"/>
          <w:szCs w:val="28"/>
        </w:rPr>
        <w:t xml:space="preserve"> </w:t>
      </w:r>
      <w:r>
        <w:rPr>
          <w:rFonts w:ascii="Times New Roman" w:hAnsi="Times New Roman" w:eastAsia="方正仿宋_GBK"/>
          <w:sz w:val="28"/>
          <w:szCs w:val="28"/>
        </w:rPr>
        <w:t xml:space="preserve"> </w:t>
      </w:r>
      <w:r>
        <w:rPr>
          <w:rFonts w:ascii="Times New Roman" w:hAnsi="Times New Roman"/>
        </w:rPr>
        <w:t xml:space="preserve">                                                                                                                                                                                                                                                                                                                                               </w:t>
      </w:r>
    </w:p>
    <w:p w14:paraId="7D06FED0">
      <w:pPr>
        <w:pStyle w:val="35"/>
        <w:spacing w:after="0" w:line="579" w:lineRule="exact"/>
        <w:contextualSpacing/>
        <w:jc w:val="both"/>
        <w:outlineLvl w:val="0"/>
        <w:rPr>
          <w:rFonts w:ascii="Times New Roman" w:hAnsi="Times New Roman" w:eastAsia="黑体"/>
          <w:sz w:val="28"/>
          <w:szCs w:val="28"/>
          <w:highlight w:val="none"/>
        </w:rPr>
      </w:pPr>
      <w:r>
        <w:rPr>
          <w:rFonts w:ascii="Times New Roman" w:hAnsi="Times New Roman" w:eastAsia="黑体"/>
          <w:sz w:val="28"/>
          <w:szCs w:val="28"/>
        </w:rPr>
        <w:t>第</w:t>
      </w:r>
      <w:r>
        <w:rPr>
          <w:rFonts w:hint="eastAsia" w:ascii="Times New Roman" w:hAnsi="Times New Roman" w:eastAsia="黑体"/>
          <w:sz w:val="28"/>
          <w:szCs w:val="28"/>
          <w:lang w:val="en-US" w:eastAsia="zh-CN"/>
        </w:rPr>
        <w:t>八</w:t>
      </w:r>
      <w:r>
        <w:rPr>
          <w:rFonts w:ascii="Times New Roman" w:hAnsi="Times New Roman" w:eastAsia="黑体"/>
          <w:sz w:val="28"/>
          <w:szCs w:val="28"/>
          <w:highlight w:val="none"/>
        </w:rPr>
        <w:t>条 违约责任</w:t>
      </w:r>
    </w:p>
    <w:p w14:paraId="65A74FB8">
      <w:pPr>
        <w:pStyle w:val="35"/>
        <w:spacing w:after="0" w:line="579" w:lineRule="exact"/>
        <w:ind w:firstLine="560" w:firstLineChars="200"/>
        <w:contextualSpacing/>
        <w:jc w:val="both"/>
        <w:rPr>
          <w:rFonts w:hint="eastAsia" w:ascii="Times New Roman" w:hAnsi="Times New Roman" w:eastAsia="方正仿宋_GBK"/>
          <w:sz w:val="28"/>
          <w:szCs w:val="28"/>
          <w:highlight w:val="none"/>
          <w:lang w:val="en-US" w:eastAsia="zh-CN"/>
        </w:rPr>
      </w:pPr>
      <w:r>
        <w:rPr>
          <w:rFonts w:hint="eastAsia" w:ascii="Times New Roman" w:hAnsi="Times New Roman" w:eastAsia="方正仿宋_GBK"/>
          <w:sz w:val="28"/>
          <w:szCs w:val="28"/>
          <w:highlight w:val="none"/>
          <w:lang w:val="en-US" w:eastAsia="zh-CN"/>
        </w:rPr>
        <w:t>若乙方未按合同约定的时间完成项目内容，每逾期一日，应向甲方支付合同总金额千分之五的违约金，甲方有权直接从应付合同款或履约保证金中扣除。</w:t>
      </w:r>
    </w:p>
    <w:p w14:paraId="603FCC66">
      <w:pPr>
        <w:pStyle w:val="35"/>
        <w:spacing w:after="0" w:line="579" w:lineRule="exact"/>
        <w:ind w:firstLine="560" w:firstLineChars="200"/>
        <w:contextualSpacing/>
        <w:jc w:val="both"/>
        <w:rPr>
          <w:rFonts w:hint="eastAsia" w:ascii="Times New Roman" w:hAnsi="Times New Roman" w:eastAsia="方正仿宋_GBK"/>
          <w:sz w:val="28"/>
          <w:szCs w:val="28"/>
          <w:highlight w:val="none"/>
          <w:lang w:val="en-US" w:eastAsia="zh-CN"/>
        </w:rPr>
      </w:pPr>
      <w:r>
        <w:rPr>
          <w:rFonts w:hint="eastAsia" w:ascii="Times New Roman" w:hAnsi="Times New Roman" w:eastAsia="方正仿宋_GBK"/>
          <w:sz w:val="28"/>
          <w:szCs w:val="28"/>
          <w:highlight w:val="none"/>
          <w:lang w:val="en-US" w:eastAsia="zh-CN"/>
        </w:rPr>
        <w:t>若乙方逾期超过10日（含），视为乙方根本违约，甲方有权单方解除合同。在此情形下，甲方有权拒绝支付剩余合同款项，并不予退还乙方已缴纳的全部履约保证金。同时，还应另行向甲方支付合同总价10%的违约金；若该违约金不足以弥补甲方因此遭受的损失，乙方还应予以补足。</w:t>
      </w:r>
    </w:p>
    <w:p w14:paraId="62877B4D">
      <w:pPr>
        <w:pStyle w:val="35"/>
        <w:spacing w:after="0" w:line="579" w:lineRule="exact"/>
        <w:ind w:firstLine="560" w:firstLineChars="200"/>
        <w:contextualSpacing/>
        <w:jc w:val="both"/>
        <w:rPr>
          <w:rFonts w:hint="eastAsia" w:ascii="Times New Roman" w:hAnsi="Times New Roman" w:eastAsia="方正仿宋_GBK"/>
          <w:sz w:val="28"/>
          <w:szCs w:val="28"/>
        </w:rPr>
      </w:pPr>
      <w:r>
        <w:rPr>
          <w:rFonts w:ascii="Times New Roman" w:hAnsi="Times New Roman" w:eastAsia="方正仿宋_GBK"/>
          <w:sz w:val="28"/>
          <w:szCs w:val="28"/>
        </w:rPr>
        <w:t xml:space="preserve"> 因乙方服务</w:t>
      </w:r>
      <w:r>
        <w:rPr>
          <w:rFonts w:hint="eastAsia" w:ascii="Times New Roman" w:hAnsi="Times New Roman" w:eastAsia="方正仿宋_GBK"/>
          <w:sz w:val="28"/>
          <w:szCs w:val="28"/>
          <w:lang w:val="en-US" w:eastAsia="zh-CN"/>
        </w:rPr>
        <w:t>/产品</w:t>
      </w:r>
      <w:r>
        <w:rPr>
          <w:rFonts w:ascii="Times New Roman" w:hAnsi="Times New Roman" w:eastAsia="方正仿宋_GBK"/>
          <w:sz w:val="28"/>
          <w:szCs w:val="28"/>
        </w:rPr>
        <w:t>存在质量问题或不符合合同约定，致使甲方在项目审批、验收过程中受阻，或在使用过程中产生人身伤害、财产损失及行政处罚的，一切经济与法律责任均由乙方承担；若因此导致甲方先行赔付或被相关部门处罚的，甲方有权向乙方全额追偿，并要求乙方赔偿因此给甲方造成的损失。</w:t>
      </w:r>
    </w:p>
    <w:p w14:paraId="7DB3E674">
      <w:pPr>
        <w:pStyle w:val="35"/>
        <w:spacing w:after="0" w:line="579" w:lineRule="exact"/>
        <w:ind w:firstLine="560" w:firstLineChars="200"/>
        <w:contextualSpacing/>
        <w:jc w:val="both"/>
        <w:rPr>
          <w:rFonts w:hint="eastAsia" w:ascii="Times New Roman" w:hAnsi="Times New Roman" w:eastAsia="方正仿宋_GBK"/>
          <w:sz w:val="28"/>
          <w:szCs w:val="28"/>
        </w:rPr>
      </w:pPr>
      <w:r>
        <w:rPr>
          <w:rFonts w:hint="eastAsia" w:ascii="Times New Roman" w:hAnsi="Times New Roman" w:eastAsia="方正仿宋_GBK"/>
          <w:sz w:val="28"/>
          <w:szCs w:val="28"/>
        </w:rPr>
        <w:t>本合同项下乙方应支付的违约金、赔偿金等，甲方有权直接从应付货款或履约保证金中扣除，不足部分有权向乙方追偿。</w:t>
      </w:r>
    </w:p>
    <w:p w14:paraId="0907CE5C">
      <w:pPr>
        <w:pStyle w:val="35"/>
        <w:numPr>
          <w:ilvl w:val="0"/>
          <w:numId w:val="0"/>
        </w:numPr>
        <w:spacing w:after="0" w:line="579" w:lineRule="exact"/>
        <w:ind w:firstLine="560" w:firstLineChars="200"/>
        <w:contextualSpacing/>
        <w:jc w:val="both"/>
        <w:outlineLvl w:val="0"/>
        <w:rPr>
          <w:rFonts w:hint="eastAsia" w:ascii="Times New Roman" w:hAnsi="Times New Roman" w:eastAsia="方正仿宋_GBK"/>
          <w:sz w:val="28"/>
          <w:szCs w:val="28"/>
          <w:highlight w:val="none"/>
          <w:lang w:eastAsia="zh-CN"/>
        </w:rPr>
      </w:pPr>
      <w:r>
        <w:rPr>
          <w:rFonts w:hint="eastAsia" w:ascii="Times New Roman" w:hAnsi="Times New Roman" w:eastAsia="方正仿宋_GBK"/>
          <w:sz w:val="28"/>
          <w:szCs w:val="28"/>
        </w:rPr>
        <w:t>违约方因违约行为造成守约方损失的，违约方应赔偿守约方的直接经济损失，包括但不限于鉴定费、律师费、诉讼费、保全费、差旅费、赔偿</w:t>
      </w:r>
      <w:r>
        <w:rPr>
          <w:rFonts w:hint="eastAsia" w:ascii="Times New Roman" w:hAnsi="Times New Roman" w:eastAsia="方正仿宋_GBK"/>
          <w:sz w:val="28"/>
          <w:szCs w:val="28"/>
          <w:highlight w:val="none"/>
        </w:rPr>
        <w:t>金等</w:t>
      </w:r>
      <w:r>
        <w:rPr>
          <w:rFonts w:hint="eastAsia" w:ascii="Times New Roman" w:hAnsi="Times New Roman" w:eastAsia="方正仿宋_GBK"/>
          <w:sz w:val="28"/>
          <w:szCs w:val="28"/>
          <w:highlight w:val="none"/>
          <w:lang w:eastAsia="zh-CN"/>
        </w:rPr>
        <w:t>。</w:t>
      </w:r>
    </w:p>
    <w:p w14:paraId="21FD59D4">
      <w:pPr>
        <w:pStyle w:val="35"/>
        <w:numPr>
          <w:ilvl w:val="0"/>
          <w:numId w:val="0"/>
        </w:numPr>
        <w:spacing w:after="0" w:line="579" w:lineRule="exact"/>
        <w:contextualSpacing/>
        <w:jc w:val="both"/>
        <w:outlineLvl w:val="0"/>
        <w:rPr>
          <w:rFonts w:ascii="Times New Roman" w:hAnsi="Times New Roman" w:eastAsia="黑体"/>
          <w:sz w:val="28"/>
          <w:szCs w:val="28"/>
          <w:highlight w:val="none"/>
        </w:rPr>
      </w:pPr>
      <w:r>
        <w:rPr>
          <w:rFonts w:hint="eastAsia" w:ascii="Times New Roman" w:hAnsi="Times New Roman" w:eastAsia="黑体"/>
          <w:sz w:val="28"/>
          <w:szCs w:val="28"/>
          <w:highlight w:val="none"/>
          <w:lang w:val="en-US" w:eastAsia="zh-CN"/>
        </w:rPr>
        <w:t xml:space="preserve">第九条 </w:t>
      </w:r>
      <w:r>
        <w:rPr>
          <w:rFonts w:ascii="Times New Roman" w:hAnsi="Times New Roman" w:eastAsia="黑体"/>
          <w:sz w:val="28"/>
          <w:szCs w:val="28"/>
          <w:highlight w:val="none"/>
        </w:rPr>
        <w:t>本合同解除的条件</w:t>
      </w:r>
    </w:p>
    <w:p w14:paraId="50CED801">
      <w:pPr>
        <w:pStyle w:val="35"/>
        <w:spacing w:after="0" w:line="579" w:lineRule="exact"/>
        <w:ind w:firstLine="560" w:firstLineChars="200"/>
        <w:contextualSpacing/>
        <w:jc w:val="both"/>
        <w:rPr>
          <w:rFonts w:hint="eastAsia" w:ascii="Times New Roman" w:hAnsi="Times New Roman" w:eastAsia="方正仿宋_GBK"/>
          <w:sz w:val="28"/>
          <w:szCs w:val="28"/>
          <w:highlight w:val="none"/>
          <w:lang w:eastAsia="zh-CN"/>
        </w:rPr>
      </w:pPr>
      <w:r>
        <w:rPr>
          <w:rFonts w:hint="eastAsia" w:ascii="Times New Roman" w:hAnsi="Times New Roman" w:eastAsia="方正仿宋_GBK"/>
          <w:sz w:val="28"/>
          <w:szCs w:val="28"/>
          <w:highlight w:val="none"/>
          <w:lang w:eastAsia="zh-CN"/>
        </w:rPr>
        <w:t>1. 甲乙双方的任何一方由于不可抗力的原因不能履行合同时，应及时向对方通报不能履行或不能完全履行的理由。在取得有关证明后，允许延期履行、部分履行或协商一致解除合同。</w:t>
      </w:r>
    </w:p>
    <w:p w14:paraId="60372484">
      <w:pPr>
        <w:pStyle w:val="35"/>
        <w:spacing w:after="0" w:line="579" w:lineRule="exact"/>
        <w:ind w:firstLine="560" w:firstLineChars="200"/>
        <w:contextualSpacing/>
        <w:jc w:val="both"/>
        <w:rPr>
          <w:rFonts w:hint="eastAsia" w:ascii="Times New Roman" w:hAnsi="Times New Roman" w:eastAsia="方正仿宋_GBK"/>
          <w:sz w:val="28"/>
          <w:szCs w:val="28"/>
          <w:highlight w:val="none"/>
          <w:lang w:eastAsia="zh-CN"/>
        </w:rPr>
      </w:pPr>
      <w:r>
        <w:rPr>
          <w:rFonts w:hint="eastAsia" w:ascii="Times New Roman" w:hAnsi="Times New Roman" w:eastAsia="方正仿宋_GBK"/>
          <w:sz w:val="28"/>
          <w:szCs w:val="28"/>
          <w:highlight w:val="none"/>
          <w:lang w:eastAsia="zh-CN"/>
        </w:rPr>
        <w:t>2. 乙方出现下列情形之一的，甲方有权单方解除本合同，且乙方已支付的履约保证金不予退还，并要求乙方支付合同总额</w:t>
      </w:r>
      <w:r>
        <w:rPr>
          <w:rFonts w:hint="eastAsia" w:ascii="Times New Roman" w:hAnsi="Times New Roman" w:eastAsia="方正仿宋_GBK"/>
          <w:sz w:val="28"/>
          <w:szCs w:val="28"/>
          <w:highlight w:val="none"/>
          <w:lang w:val="en-US" w:eastAsia="zh-CN"/>
        </w:rPr>
        <w:t>10</w:t>
      </w:r>
      <w:r>
        <w:rPr>
          <w:rFonts w:hint="eastAsia" w:ascii="Times New Roman" w:hAnsi="Times New Roman" w:eastAsia="方正仿宋_GBK"/>
          <w:sz w:val="28"/>
          <w:szCs w:val="28"/>
          <w:highlight w:val="none"/>
          <w:lang w:eastAsia="zh-CN"/>
        </w:rPr>
        <w:t>%违约金，同时对甲方造成损失的，甲方有权另行向乙方追偿：</w:t>
      </w:r>
    </w:p>
    <w:p w14:paraId="276E356B">
      <w:pPr>
        <w:pStyle w:val="35"/>
        <w:spacing w:after="0" w:line="579" w:lineRule="exact"/>
        <w:ind w:firstLine="560" w:firstLineChars="200"/>
        <w:contextualSpacing/>
        <w:jc w:val="both"/>
        <w:rPr>
          <w:rFonts w:hint="eastAsia" w:ascii="Times New Roman" w:hAnsi="Times New Roman" w:eastAsia="方正仿宋_GBK"/>
          <w:sz w:val="28"/>
          <w:szCs w:val="28"/>
          <w:highlight w:val="none"/>
          <w:lang w:eastAsia="zh-CN"/>
        </w:rPr>
      </w:pPr>
      <w:r>
        <w:rPr>
          <w:rFonts w:hint="eastAsia" w:ascii="Times New Roman" w:hAnsi="Times New Roman" w:eastAsia="方正仿宋_GBK"/>
          <w:sz w:val="28"/>
          <w:szCs w:val="28"/>
          <w:highlight w:val="none"/>
          <w:lang w:val="en-US" w:eastAsia="zh-CN"/>
        </w:rPr>
        <w:t>2.1</w:t>
      </w:r>
      <w:r>
        <w:rPr>
          <w:rFonts w:hint="eastAsia" w:ascii="Times New Roman" w:hAnsi="Times New Roman" w:eastAsia="方正仿宋_GBK"/>
          <w:sz w:val="28"/>
          <w:szCs w:val="28"/>
          <w:highlight w:val="none"/>
          <w:lang w:eastAsia="zh-CN"/>
        </w:rPr>
        <w:t>乙方以书面形式明确表示或以行为表明将不履行本合同主要义务的；</w:t>
      </w:r>
    </w:p>
    <w:p w14:paraId="7E7BB7FA">
      <w:pPr>
        <w:pStyle w:val="35"/>
        <w:spacing w:after="0" w:line="579" w:lineRule="exact"/>
        <w:ind w:firstLine="560" w:firstLineChars="200"/>
        <w:contextualSpacing/>
        <w:jc w:val="both"/>
        <w:rPr>
          <w:rFonts w:hint="eastAsia" w:ascii="Times New Roman" w:hAnsi="Times New Roman" w:eastAsia="方正仿宋_GBK"/>
          <w:sz w:val="28"/>
          <w:szCs w:val="28"/>
          <w:highlight w:val="none"/>
          <w:lang w:eastAsia="zh-CN"/>
        </w:rPr>
      </w:pPr>
      <w:r>
        <w:rPr>
          <w:rFonts w:hint="eastAsia" w:ascii="Times New Roman" w:hAnsi="Times New Roman" w:eastAsia="方正仿宋_GBK"/>
          <w:sz w:val="28"/>
          <w:szCs w:val="28"/>
          <w:highlight w:val="none"/>
          <w:lang w:val="en-US" w:eastAsia="zh-CN"/>
        </w:rPr>
        <w:t>2.2</w:t>
      </w:r>
      <w:r>
        <w:rPr>
          <w:rFonts w:hint="eastAsia" w:ascii="Times New Roman" w:hAnsi="Times New Roman" w:eastAsia="方正仿宋_GBK"/>
          <w:sz w:val="28"/>
          <w:szCs w:val="28"/>
          <w:highlight w:val="none"/>
          <w:lang w:eastAsia="zh-CN"/>
        </w:rPr>
        <w:t>在合同履约过程中，乙方提供的服务/交付的</w:t>
      </w:r>
      <w:r>
        <w:rPr>
          <w:rFonts w:hint="eastAsia" w:ascii="Times New Roman" w:hAnsi="Times New Roman" w:eastAsia="方正仿宋_GBK"/>
          <w:sz w:val="28"/>
          <w:szCs w:val="28"/>
          <w:highlight w:val="none"/>
          <w:lang w:val="en-US" w:eastAsia="zh-CN"/>
        </w:rPr>
        <w:t>产品</w:t>
      </w:r>
      <w:r>
        <w:rPr>
          <w:rFonts w:hint="eastAsia" w:ascii="Times New Roman" w:hAnsi="Times New Roman" w:eastAsia="方正仿宋_GBK"/>
          <w:sz w:val="28"/>
          <w:szCs w:val="28"/>
          <w:highlight w:val="none"/>
          <w:lang w:eastAsia="zh-CN"/>
        </w:rPr>
        <w:t>存在严重质量问题或重大缺陷，经甲方书面要求限期改进后，乙方仍未完成改进或改进后仍无法达到合同约定标准，导致合同目的无法实现的；</w:t>
      </w:r>
    </w:p>
    <w:p w14:paraId="2B978855">
      <w:pPr>
        <w:pStyle w:val="35"/>
        <w:spacing w:after="0" w:line="579" w:lineRule="exact"/>
        <w:ind w:firstLine="560" w:firstLineChars="200"/>
        <w:contextualSpacing/>
        <w:jc w:val="both"/>
        <w:rPr>
          <w:rFonts w:hint="eastAsia" w:ascii="Times New Roman" w:hAnsi="Times New Roman" w:eastAsia="方正仿宋_GBK"/>
          <w:sz w:val="28"/>
          <w:szCs w:val="28"/>
          <w:highlight w:val="none"/>
          <w:lang w:eastAsia="zh-CN"/>
        </w:rPr>
      </w:pPr>
      <w:r>
        <w:rPr>
          <w:rFonts w:hint="eastAsia" w:ascii="Times New Roman" w:hAnsi="Times New Roman" w:eastAsia="方正仿宋_GBK"/>
          <w:sz w:val="28"/>
          <w:szCs w:val="28"/>
          <w:highlight w:val="none"/>
          <w:lang w:val="en-US" w:eastAsia="zh-CN"/>
        </w:rPr>
        <w:t>2.3</w:t>
      </w:r>
      <w:r>
        <w:rPr>
          <w:rFonts w:hint="eastAsia" w:ascii="Times New Roman" w:hAnsi="Times New Roman" w:eastAsia="方正仿宋_GBK"/>
          <w:sz w:val="28"/>
          <w:szCs w:val="28"/>
          <w:highlight w:val="none"/>
          <w:lang w:eastAsia="zh-CN"/>
        </w:rPr>
        <w:t>乙方实施违反法律、行政法规强制性规定的行为，且该行为与本合同履行直接相关，经查证属实的；</w:t>
      </w:r>
    </w:p>
    <w:p w14:paraId="43579203">
      <w:pPr>
        <w:pStyle w:val="35"/>
        <w:spacing w:after="0" w:line="579" w:lineRule="exact"/>
        <w:ind w:firstLine="560" w:firstLineChars="200"/>
        <w:contextualSpacing/>
        <w:jc w:val="both"/>
        <w:rPr>
          <w:rFonts w:hint="eastAsia" w:ascii="Times New Roman" w:hAnsi="Times New Roman" w:eastAsia="方正仿宋_GBK"/>
          <w:sz w:val="28"/>
          <w:szCs w:val="28"/>
          <w:highlight w:val="none"/>
          <w:lang w:eastAsia="zh-CN"/>
        </w:rPr>
      </w:pPr>
      <w:r>
        <w:rPr>
          <w:rFonts w:hint="eastAsia" w:ascii="Times New Roman" w:hAnsi="Times New Roman" w:eastAsia="方正仿宋_GBK"/>
          <w:sz w:val="28"/>
          <w:szCs w:val="28"/>
          <w:highlight w:val="none"/>
          <w:lang w:val="en-US" w:eastAsia="zh-CN"/>
        </w:rPr>
        <w:t>2.4</w:t>
      </w:r>
      <w:r>
        <w:rPr>
          <w:rFonts w:hint="eastAsia" w:ascii="Times New Roman" w:hAnsi="Times New Roman" w:eastAsia="方正仿宋_GBK"/>
          <w:sz w:val="28"/>
          <w:szCs w:val="28"/>
          <w:highlight w:val="none"/>
          <w:lang w:eastAsia="zh-CN"/>
        </w:rPr>
        <w:t>乙方的履约行为严重损害国家利益、社会公共利益或甲方合法权益的；</w:t>
      </w:r>
    </w:p>
    <w:p w14:paraId="10E3CE0E">
      <w:pPr>
        <w:pStyle w:val="35"/>
        <w:spacing w:after="0" w:line="579" w:lineRule="exact"/>
        <w:ind w:firstLine="560" w:firstLineChars="200"/>
        <w:contextualSpacing/>
        <w:jc w:val="both"/>
        <w:rPr>
          <w:rFonts w:hint="eastAsia" w:ascii="Times New Roman" w:hAnsi="Times New Roman" w:eastAsia="方正仿宋_GBK"/>
          <w:sz w:val="28"/>
          <w:szCs w:val="28"/>
          <w:highlight w:val="none"/>
          <w:lang w:eastAsia="zh-CN"/>
        </w:rPr>
      </w:pPr>
      <w:r>
        <w:rPr>
          <w:rFonts w:hint="eastAsia" w:ascii="Times New Roman" w:hAnsi="Times New Roman" w:eastAsia="方正仿宋_GBK"/>
          <w:sz w:val="28"/>
          <w:szCs w:val="28"/>
          <w:highlight w:val="none"/>
          <w:lang w:val="en-US" w:eastAsia="zh-CN"/>
        </w:rPr>
        <w:t>2.5</w:t>
      </w:r>
      <w:r>
        <w:rPr>
          <w:rFonts w:hint="eastAsia" w:ascii="Times New Roman" w:hAnsi="Times New Roman" w:eastAsia="方正仿宋_GBK"/>
          <w:sz w:val="28"/>
          <w:szCs w:val="28"/>
          <w:highlight w:val="none"/>
          <w:lang w:eastAsia="zh-CN"/>
        </w:rPr>
        <w:t>乙方未按合同约定的期限、要求履行主要义务（含质保期未提供质保服务或提供的质保服务不合格等），经甲方催告后</w:t>
      </w:r>
      <w:r>
        <w:rPr>
          <w:rFonts w:hint="eastAsia" w:ascii="Times New Roman" w:hAnsi="Times New Roman" w:eastAsia="方正仿宋_GBK"/>
          <w:sz w:val="28"/>
          <w:szCs w:val="28"/>
          <w:highlight w:val="none"/>
          <w:lang w:val="en-US" w:eastAsia="zh-CN"/>
        </w:rPr>
        <w:t>5日</w:t>
      </w:r>
      <w:r>
        <w:rPr>
          <w:rFonts w:hint="eastAsia" w:ascii="Times New Roman" w:hAnsi="Times New Roman" w:eastAsia="方正仿宋_GBK"/>
          <w:sz w:val="28"/>
          <w:szCs w:val="28"/>
          <w:highlight w:val="none"/>
          <w:lang w:eastAsia="zh-CN"/>
        </w:rPr>
        <w:t>仍未纠正或累计发生3次（含）以上的；</w:t>
      </w:r>
    </w:p>
    <w:p w14:paraId="2E46ABFC">
      <w:pPr>
        <w:pStyle w:val="35"/>
        <w:spacing w:after="0" w:line="579" w:lineRule="exact"/>
        <w:ind w:firstLine="560" w:firstLineChars="200"/>
        <w:contextualSpacing/>
        <w:jc w:val="both"/>
        <w:rPr>
          <w:rFonts w:hint="eastAsia" w:ascii="Times New Roman" w:hAnsi="Times New Roman" w:eastAsia="方正仿宋_GBK"/>
          <w:sz w:val="28"/>
          <w:szCs w:val="28"/>
          <w:highlight w:val="none"/>
          <w:lang w:val="en-US" w:eastAsia="zh-CN"/>
        </w:rPr>
      </w:pPr>
      <w:r>
        <w:rPr>
          <w:rFonts w:hint="eastAsia" w:ascii="Times New Roman" w:hAnsi="Times New Roman" w:eastAsia="方正仿宋_GBK"/>
          <w:sz w:val="28"/>
          <w:szCs w:val="28"/>
          <w:highlight w:val="none"/>
          <w:lang w:val="en-US" w:eastAsia="zh-CN"/>
        </w:rPr>
        <w:t>2.6其他本合同规定的相应条款；</w:t>
      </w:r>
    </w:p>
    <w:p w14:paraId="4A751DC0">
      <w:pPr>
        <w:pStyle w:val="35"/>
        <w:spacing w:after="0" w:line="579" w:lineRule="exact"/>
        <w:ind w:firstLine="560" w:firstLineChars="200"/>
        <w:contextualSpacing/>
        <w:jc w:val="both"/>
        <w:rPr>
          <w:rFonts w:ascii="Times New Roman" w:hAnsi="Times New Roman"/>
        </w:rPr>
      </w:pPr>
      <w:r>
        <w:rPr>
          <w:rFonts w:hint="eastAsia" w:ascii="Times New Roman" w:hAnsi="Times New Roman" w:eastAsia="方正仿宋_GBK"/>
          <w:sz w:val="28"/>
          <w:szCs w:val="28"/>
          <w:highlight w:val="none"/>
          <w:lang w:eastAsia="zh-CN"/>
        </w:rPr>
        <w:t>本合同在双方责任、义务履行完毕后终止。</w:t>
      </w:r>
      <w:r>
        <w:rPr>
          <w:rFonts w:ascii="Times New Roman" w:hAnsi="Times New Roman"/>
          <w:highlight w:val="none"/>
        </w:rPr>
        <w:t xml:space="preserve">       </w:t>
      </w:r>
      <w:r>
        <w:rPr>
          <w:rFonts w:ascii="Times New Roman" w:hAnsi="Times New Roman"/>
        </w:rPr>
        <w:t xml:space="preserve">                                                                                                                                     </w:t>
      </w:r>
      <w:r>
        <w:rPr>
          <w:rFonts w:ascii="Times New Roman" w:hAnsi="Times New Roman" w:eastAsia="方正仿宋_GBK"/>
          <w:sz w:val="28"/>
          <w:szCs w:val="28"/>
        </w:rPr>
        <w:t xml:space="preserve"> </w:t>
      </w:r>
      <w:r>
        <w:rPr>
          <w:rFonts w:ascii="Times New Roman" w:hAnsi="Times New Roman"/>
        </w:rPr>
        <w:t xml:space="preserve">                                   </w:t>
      </w:r>
    </w:p>
    <w:p w14:paraId="53986A3E">
      <w:pPr>
        <w:pStyle w:val="35"/>
        <w:spacing w:after="0" w:line="579" w:lineRule="exact"/>
        <w:contextualSpacing/>
        <w:jc w:val="both"/>
        <w:outlineLvl w:val="0"/>
        <w:rPr>
          <w:rFonts w:hint="default" w:ascii="Times New Roman" w:hAnsi="Times New Roman" w:eastAsia="黑体"/>
          <w:sz w:val="28"/>
          <w:szCs w:val="28"/>
          <w:lang w:val="en-US" w:eastAsia="zh-CN"/>
        </w:rPr>
      </w:pPr>
      <w:r>
        <w:rPr>
          <w:rFonts w:ascii="Times New Roman" w:hAnsi="Times New Roman" w:eastAsia="黑体"/>
          <w:sz w:val="28"/>
          <w:szCs w:val="28"/>
        </w:rPr>
        <w:t xml:space="preserve">第十条 </w:t>
      </w:r>
      <w:r>
        <w:rPr>
          <w:rFonts w:hint="eastAsia" w:ascii="Times New Roman" w:hAnsi="Times New Roman" w:eastAsia="黑体"/>
          <w:sz w:val="28"/>
          <w:szCs w:val="28"/>
          <w:lang w:val="en-US" w:eastAsia="zh-CN"/>
        </w:rPr>
        <w:t>本合同未尽事宜</w:t>
      </w:r>
    </w:p>
    <w:p w14:paraId="53434468">
      <w:pPr>
        <w:pStyle w:val="35"/>
        <w:numPr>
          <w:ilvl w:val="0"/>
          <w:numId w:val="0"/>
        </w:numPr>
        <w:spacing w:after="0" w:line="579" w:lineRule="exact"/>
        <w:contextualSpacing/>
        <w:jc w:val="both"/>
        <w:outlineLvl w:val="0"/>
        <w:rPr>
          <w:rFonts w:hint="eastAsia" w:ascii="Times New Roman" w:hAnsi="Times New Roman" w:eastAsia="方正仿宋_GBK"/>
          <w:sz w:val="28"/>
          <w:szCs w:val="28"/>
          <w:lang w:eastAsia="zh-CN"/>
        </w:rPr>
      </w:pPr>
      <w:r>
        <w:rPr>
          <w:rFonts w:hint="eastAsia" w:ascii="Times New Roman" w:hAnsi="Times New Roman" w:eastAsia="方正仿宋_GBK"/>
          <w:sz w:val="28"/>
          <w:szCs w:val="28"/>
          <w:lang w:eastAsia="zh-CN"/>
        </w:rPr>
        <w:t>按照《中华人民共和国民法典》相关条款 。</w:t>
      </w:r>
    </w:p>
    <w:p w14:paraId="05C4950F">
      <w:pPr>
        <w:pStyle w:val="35"/>
        <w:numPr>
          <w:ilvl w:val="0"/>
          <w:numId w:val="0"/>
        </w:numPr>
        <w:spacing w:after="0" w:line="579" w:lineRule="exact"/>
        <w:contextualSpacing/>
        <w:jc w:val="both"/>
        <w:outlineLvl w:val="0"/>
        <w:rPr>
          <w:rFonts w:ascii="Times New Roman" w:hAnsi="Times New Roman" w:eastAsia="黑体"/>
          <w:sz w:val="28"/>
          <w:szCs w:val="28"/>
        </w:rPr>
      </w:pPr>
      <w:r>
        <w:rPr>
          <w:rFonts w:hint="eastAsia" w:ascii="Times New Roman" w:hAnsi="Times New Roman" w:eastAsia="黑体"/>
          <w:sz w:val="28"/>
          <w:szCs w:val="28"/>
          <w:lang w:val="en-US" w:eastAsia="zh-CN"/>
        </w:rPr>
        <w:t xml:space="preserve">第十一条 </w:t>
      </w:r>
      <w:r>
        <w:rPr>
          <w:rFonts w:ascii="Times New Roman" w:hAnsi="Times New Roman" w:eastAsia="黑体"/>
          <w:sz w:val="28"/>
          <w:szCs w:val="28"/>
        </w:rPr>
        <w:t>合同争议的解决方式</w:t>
      </w:r>
    </w:p>
    <w:p w14:paraId="792E7736">
      <w:pPr>
        <w:pStyle w:val="35"/>
        <w:spacing w:after="0" w:line="579" w:lineRule="exact"/>
        <w:ind w:firstLine="560" w:firstLineChars="200"/>
        <w:contextualSpacing/>
        <w:jc w:val="both"/>
        <w:rPr>
          <w:rFonts w:ascii="Times New Roman" w:hAnsi="Times New Roman" w:eastAsia="方正仿宋_GBK"/>
          <w:sz w:val="28"/>
          <w:szCs w:val="28"/>
        </w:rPr>
      </w:pPr>
      <w:r>
        <w:rPr>
          <w:rFonts w:ascii="Times New Roman" w:hAnsi="Times New Roman" w:eastAsia="方正仿宋_GBK"/>
          <w:sz w:val="28"/>
          <w:szCs w:val="28"/>
        </w:rPr>
        <w:t>本合同在履行过程中发生的争议，由双方当事人协商解决；也可由当地工商行政管理部门调解；协商或调解不成的，依法向</w:t>
      </w:r>
      <w:r>
        <w:rPr>
          <w:rFonts w:hint="eastAsia" w:ascii="Times New Roman" w:hAnsi="Times New Roman" w:eastAsia="方正仿宋_GBK"/>
          <w:sz w:val="28"/>
          <w:szCs w:val="28"/>
          <w:lang w:eastAsia="zh-CN"/>
        </w:rPr>
        <w:t>甲方</w:t>
      </w:r>
      <w:r>
        <w:rPr>
          <w:rFonts w:ascii="Times New Roman" w:hAnsi="Times New Roman" w:eastAsia="方正仿宋_GBK"/>
          <w:sz w:val="28"/>
          <w:szCs w:val="28"/>
        </w:rPr>
        <w:t xml:space="preserve">所在地人民法院起诉。   </w:t>
      </w:r>
    </w:p>
    <w:p w14:paraId="040CC6CB">
      <w:pPr>
        <w:pStyle w:val="35"/>
        <w:numPr>
          <w:ilvl w:val="0"/>
          <w:numId w:val="0"/>
        </w:numPr>
        <w:spacing w:after="0" w:line="579" w:lineRule="exact"/>
        <w:contextualSpacing/>
        <w:jc w:val="both"/>
        <w:outlineLvl w:val="0"/>
        <w:rPr>
          <w:rFonts w:ascii="Times New Roman" w:hAnsi="Times New Roman" w:eastAsia="黑体"/>
          <w:sz w:val="28"/>
          <w:szCs w:val="28"/>
        </w:rPr>
      </w:pPr>
      <w:r>
        <w:rPr>
          <w:rFonts w:hint="eastAsia" w:ascii="Times New Roman" w:hAnsi="Times New Roman" w:eastAsia="黑体"/>
          <w:sz w:val="28"/>
          <w:szCs w:val="28"/>
          <w:lang w:val="en-US" w:eastAsia="zh-CN"/>
        </w:rPr>
        <w:t xml:space="preserve">第十二条 </w:t>
      </w:r>
      <w:r>
        <w:rPr>
          <w:rFonts w:ascii="Times New Roman" w:hAnsi="Times New Roman" w:eastAsia="黑体"/>
          <w:sz w:val="28"/>
          <w:szCs w:val="28"/>
        </w:rPr>
        <w:t>售后要求</w:t>
      </w:r>
    </w:p>
    <w:p w14:paraId="1BEF0F0D">
      <w:pPr>
        <w:pStyle w:val="35"/>
        <w:spacing w:after="0" w:line="579" w:lineRule="exact"/>
        <w:ind w:firstLine="560" w:firstLineChars="200"/>
        <w:contextualSpacing/>
        <w:jc w:val="both"/>
        <w:rPr>
          <w:rFonts w:hint="eastAsia" w:ascii="Times New Roman" w:hAnsi="Times New Roman" w:eastAsia="方正仿宋_GBK"/>
          <w:sz w:val="28"/>
          <w:szCs w:val="28"/>
        </w:rPr>
      </w:pPr>
      <w:r>
        <w:rPr>
          <w:rFonts w:hint="eastAsia" w:ascii="Times New Roman" w:hAnsi="Times New Roman" w:eastAsia="方正仿宋_GBK"/>
          <w:sz w:val="28"/>
          <w:szCs w:val="28"/>
          <w:lang w:eastAsia="zh-CN"/>
        </w:rPr>
        <w:t>乙方</w:t>
      </w:r>
      <w:r>
        <w:rPr>
          <w:rFonts w:hint="eastAsia" w:ascii="Times New Roman" w:hAnsi="Times New Roman" w:eastAsia="方正仿宋_GBK"/>
          <w:sz w:val="28"/>
          <w:szCs w:val="28"/>
        </w:rPr>
        <w:t>必须满足</w:t>
      </w:r>
      <w:r>
        <w:rPr>
          <w:rFonts w:hint="eastAsia" w:ascii="Times New Roman" w:hAnsi="Times New Roman" w:eastAsia="方正仿宋_GBK"/>
          <w:sz w:val="28"/>
          <w:szCs w:val="28"/>
          <w:lang w:eastAsia="zh-CN"/>
        </w:rPr>
        <w:t>甲方</w:t>
      </w:r>
      <w:r>
        <w:rPr>
          <w:rFonts w:hint="eastAsia" w:ascii="Times New Roman" w:hAnsi="Times New Roman" w:eastAsia="方正仿宋_GBK"/>
          <w:sz w:val="28"/>
          <w:szCs w:val="28"/>
        </w:rPr>
        <w:t>售后服务要求。如</w:t>
      </w:r>
      <w:r>
        <w:rPr>
          <w:rFonts w:hint="eastAsia" w:ascii="Times New Roman" w:hAnsi="Times New Roman" w:eastAsia="方正仿宋_GBK"/>
          <w:sz w:val="28"/>
          <w:szCs w:val="28"/>
          <w:lang w:val="en-US" w:eastAsia="zh-CN"/>
        </w:rPr>
        <w:t>服务</w:t>
      </w:r>
      <w:r>
        <w:rPr>
          <w:rFonts w:hint="eastAsia" w:ascii="Times New Roman" w:hAnsi="Times New Roman" w:eastAsia="方正仿宋_GBK"/>
          <w:sz w:val="28"/>
          <w:szCs w:val="28"/>
        </w:rPr>
        <w:t>过程发生问题，</w:t>
      </w:r>
      <w:r>
        <w:rPr>
          <w:rFonts w:hint="eastAsia" w:ascii="Times New Roman" w:hAnsi="Times New Roman" w:eastAsia="方正仿宋_GBK"/>
          <w:sz w:val="28"/>
          <w:szCs w:val="28"/>
          <w:lang w:eastAsia="zh-CN"/>
        </w:rPr>
        <w:t>乙方</w:t>
      </w:r>
      <w:r>
        <w:rPr>
          <w:rFonts w:hint="eastAsia" w:ascii="Times New Roman" w:hAnsi="Times New Roman" w:eastAsia="方正仿宋_GBK"/>
          <w:sz w:val="28"/>
          <w:szCs w:val="28"/>
        </w:rPr>
        <w:t>须在接到</w:t>
      </w:r>
      <w:r>
        <w:rPr>
          <w:rFonts w:hint="eastAsia" w:ascii="Times New Roman" w:hAnsi="Times New Roman" w:eastAsia="方正仿宋_GBK"/>
          <w:sz w:val="28"/>
          <w:szCs w:val="28"/>
          <w:lang w:val="en-US" w:eastAsia="zh-CN"/>
        </w:rPr>
        <w:t>甲方</w:t>
      </w:r>
      <w:r>
        <w:rPr>
          <w:rFonts w:hint="eastAsia" w:ascii="Times New Roman" w:hAnsi="Times New Roman" w:eastAsia="方正仿宋_GBK"/>
          <w:sz w:val="28"/>
          <w:szCs w:val="28"/>
        </w:rPr>
        <w:t>通知后24小时内做出书面答复并提供解决方案。若需要派遣技术人员，则应在接到</w:t>
      </w:r>
      <w:r>
        <w:rPr>
          <w:rFonts w:hint="eastAsia" w:ascii="Times New Roman" w:hAnsi="Times New Roman" w:eastAsia="方正仿宋_GBK"/>
          <w:sz w:val="28"/>
          <w:szCs w:val="28"/>
          <w:lang w:eastAsia="zh-CN"/>
        </w:rPr>
        <w:t>甲方</w:t>
      </w:r>
      <w:r>
        <w:rPr>
          <w:rFonts w:hint="eastAsia" w:ascii="Times New Roman" w:hAnsi="Times New Roman" w:eastAsia="方正仿宋_GBK"/>
          <w:sz w:val="28"/>
          <w:szCs w:val="28"/>
        </w:rPr>
        <w:t>通知后48小时内派人员到达现场进行免费指导解决问题。</w:t>
      </w:r>
    </w:p>
    <w:p w14:paraId="4C056D4E">
      <w:pPr>
        <w:pStyle w:val="35"/>
        <w:spacing w:after="0" w:line="579" w:lineRule="exact"/>
        <w:ind w:firstLine="560" w:firstLineChars="200"/>
        <w:contextualSpacing/>
        <w:jc w:val="both"/>
        <w:rPr>
          <w:rFonts w:ascii="Times New Roman" w:hAnsi="Times New Roman" w:eastAsia="方正仿宋_GBK"/>
          <w:sz w:val="28"/>
          <w:szCs w:val="28"/>
        </w:rPr>
      </w:pPr>
      <w:r>
        <w:rPr>
          <w:rFonts w:hint="eastAsia" w:ascii="Times New Roman" w:hAnsi="Times New Roman" w:eastAsia="方正仿宋_GBK"/>
          <w:sz w:val="28"/>
          <w:szCs w:val="28"/>
          <w:lang w:eastAsia="zh-CN"/>
        </w:rPr>
        <w:t>甲方</w:t>
      </w:r>
      <w:r>
        <w:rPr>
          <w:rFonts w:hint="eastAsia" w:ascii="Times New Roman" w:hAnsi="Times New Roman" w:eastAsia="方正仿宋_GBK"/>
          <w:sz w:val="28"/>
          <w:szCs w:val="28"/>
        </w:rPr>
        <w:t>不再对任何售后服务进行付费。</w:t>
      </w:r>
      <w:r>
        <w:rPr>
          <w:rFonts w:hint="eastAsia" w:ascii="Times New Roman" w:hAnsi="Times New Roman" w:eastAsia="方正仿宋_GBK"/>
          <w:sz w:val="28"/>
          <w:szCs w:val="28"/>
          <w:lang w:eastAsia="zh-CN"/>
        </w:rPr>
        <w:t>乙方</w:t>
      </w:r>
      <w:r>
        <w:rPr>
          <w:rFonts w:hint="eastAsia" w:ascii="Times New Roman" w:hAnsi="Times New Roman" w:eastAsia="方正仿宋_GBK"/>
          <w:sz w:val="28"/>
          <w:szCs w:val="28"/>
        </w:rPr>
        <w:t>的派遣人员产生的一切费用由</w:t>
      </w:r>
      <w:r>
        <w:rPr>
          <w:rFonts w:hint="eastAsia" w:ascii="Times New Roman" w:hAnsi="Times New Roman" w:eastAsia="方正仿宋_GBK"/>
          <w:sz w:val="28"/>
          <w:szCs w:val="28"/>
          <w:lang w:eastAsia="zh-CN"/>
        </w:rPr>
        <w:t>乙方</w:t>
      </w:r>
      <w:r>
        <w:rPr>
          <w:rFonts w:hint="eastAsia" w:ascii="Times New Roman" w:hAnsi="Times New Roman" w:eastAsia="方正仿宋_GBK"/>
          <w:sz w:val="28"/>
          <w:szCs w:val="28"/>
        </w:rPr>
        <w:t>承担。</w:t>
      </w:r>
    </w:p>
    <w:p w14:paraId="7AB4544A">
      <w:pPr>
        <w:pStyle w:val="35"/>
        <w:numPr>
          <w:ilvl w:val="0"/>
          <w:numId w:val="0"/>
        </w:numPr>
        <w:spacing w:after="0" w:line="579" w:lineRule="exact"/>
        <w:ind w:left="560" w:leftChars="0" w:hanging="560" w:hangingChars="200"/>
        <w:contextualSpacing/>
        <w:jc w:val="both"/>
        <w:outlineLvl w:val="0"/>
        <w:rPr>
          <w:rFonts w:ascii="Times New Roman" w:hAnsi="Times New Roman" w:eastAsia="黑体"/>
          <w:sz w:val="28"/>
          <w:szCs w:val="28"/>
        </w:rPr>
      </w:pPr>
      <w:r>
        <w:rPr>
          <w:rFonts w:hint="eastAsia" w:ascii="Times New Roman" w:hAnsi="Times New Roman" w:eastAsia="黑体" w:cs="Times New Roman"/>
          <w:sz w:val="28"/>
          <w:szCs w:val="28"/>
          <w:lang w:val="en-US" w:eastAsia="zh-CN" w:bidi="ar-SA"/>
        </w:rPr>
        <w:t xml:space="preserve">第十三条 </w:t>
      </w:r>
      <w:r>
        <w:rPr>
          <w:rFonts w:ascii="Times New Roman" w:hAnsi="Times New Roman" w:eastAsia="黑体"/>
          <w:sz w:val="28"/>
          <w:szCs w:val="28"/>
        </w:rPr>
        <w:t>其他要求</w:t>
      </w:r>
    </w:p>
    <w:p w14:paraId="52987E88">
      <w:pPr>
        <w:pStyle w:val="35"/>
        <w:spacing w:after="0" w:line="579" w:lineRule="exact"/>
        <w:ind w:firstLine="560" w:firstLineChars="200"/>
        <w:contextualSpacing/>
        <w:jc w:val="both"/>
        <w:rPr>
          <w:rFonts w:hint="eastAsia" w:ascii="方正仿宋_GBK" w:hAnsi="方正仿宋_GBK" w:eastAsia="方正仿宋_GBK" w:cs="方正仿宋_GBK"/>
          <w:sz w:val="28"/>
          <w:szCs w:val="28"/>
        </w:rPr>
      </w:pPr>
      <w:r>
        <w:rPr>
          <w:rFonts w:ascii="Times New Roman" w:hAnsi="Times New Roman" w:eastAsia="方正仿宋_GBK"/>
          <w:sz w:val="28"/>
          <w:szCs w:val="28"/>
        </w:rPr>
        <w:t>本合同一式六份，</w:t>
      </w:r>
      <w:r>
        <w:rPr>
          <w:rFonts w:hint="eastAsia" w:ascii="Times New Roman" w:hAnsi="Times New Roman" w:eastAsia="方正仿宋_GBK"/>
          <w:sz w:val="28"/>
          <w:szCs w:val="28"/>
          <w:lang w:eastAsia="zh-CN"/>
        </w:rPr>
        <w:t>甲方</w:t>
      </w:r>
      <w:r>
        <w:rPr>
          <w:rFonts w:ascii="Times New Roman" w:hAnsi="Times New Roman" w:eastAsia="方正仿宋_GBK"/>
          <w:sz w:val="28"/>
          <w:szCs w:val="28"/>
        </w:rPr>
        <w:t>五份；</w:t>
      </w:r>
      <w:r>
        <w:rPr>
          <w:rFonts w:hint="eastAsia" w:ascii="Times New Roman" w:hAnsi="Times New Roman" w:eastAsia="方正仿宋_GBK"/>
          <w:sz w:val="28"/>
          <w:szCs w:val="28"/>
          <w:lang w:eastAsia="zh-CN"/>
        </w:rPr>
        <w:t>乙方</w:t>
      </w:r>
      <w:r>
        <w:rPr>
          <w:rFonts w:ascii="Times New Roman" w:hAnsi="Times New Roman" w:eastAsia="方正仿宋_GBK"/>
          <w:sz w:val="28"/>
          <w:szCs w:val="28"/>
        </w:rPr>
        <w:t>一份，签章后生效。</w:t>
      </w:r>
    </w:p>
    <w:p w14:paraId="7D82AE3C">
      <w:pPr>
        <w:pStyle w:val="35"/>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rPr>
      </w:pPr>
    </w:p>
    <w:p w14:paraId="49CC321F">
      <w:pPr>
        <w:pStyle w:val="35"/>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rPr>
      </w:pPr>
    </w:p>
    <w:p w14:paraId="4D0C4C93">
      <w:pPr>
        <w:pStyle w:val="35"/>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rPr>
      </w:pPr>
    </w:p>
    <w:p w14:paraId="66B27A8F">
      <w:pPr>
        <w:pStyle w:val="35"/>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rPr>
      </w:pPr>
    </w:p>
    <w:p w14:paraId="7E163576">
      <w:pPr>
        <w:pStyle w:val="35"/>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rPr>
      </w:pPr>
    </w:p>
    <w:p w14:paraId="4AAECF1B">
      <w:pPr>
        <w:pStyle w:val="35"/>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rPr>
      </w:pPr>
    </w:p>
    <w:p w14:paraId="1AA79665">
      <w:pPr>
        <w:pStyle w:val="35"/>
        <w:keepNext w:val="0"/>
        <w:keepLines w:val="0"/>
        <w:pageBreakBefore w:val="0"/>
        <w:widowControl/>
        <w:numPr>
          <w:ilvl w:val="0"/>
          <w:numId w:val="0"/>
        </w:numPr>
        <w:kinsoku/>
        <w:wordWrap/>
        <w:overflowPunct/>
        <w:topLinePunct w:val="0"/>
        <w:autoSpaceDE/>
        <w:autoSpaceDN/>
        <w:bidi w:val="0"/>
        <w:adjustRightInd w:val="0"/>
        <w:snapToGrid w:val="0"/>
        <w:spacing w:after="0" w:line="579" w:lineRule="atLeast"/>
        <w:contextualSpacing/>
        <w:jc w:val="both"/>
        <w:textAlignment w:val="auto"/>
        <w:outlineLvl w:val="0"/>
        <w:rPr>
          <w:rFonts w:hint="eastAsia" w:ascii="Times New Roman" w:hAnsi="Times New Roman" w:eastAsia="方正仿宋_GBK" w:cs="Times New Roman"/>
          <w:sz w:val="28"/>
          <w:szCs w:val="28"/>
          <w:highlight w:val="none"/>
          <w:lang w:val="en-US" w:eastAsia="zh-CN"/>
        </w:rPr>
      </w:pPr>
      <w:bookmarkStart w:id="15" w:name="_Toc14763"/>
      <w:r>
        <w:rPr>
          <w:rFonts w:hint="eastAsia" w:ascii="Times New Roman" w:hAnsi="Times New Roman" w:eastAsia="方正仿宋_GBK" w:cs="Times New Roman"/>
          <w:b/>
          <w:bCs/>
          <w:sz w:val="28"/>
          <w:szCs w:val="28"/>
          <w:highlight w:val="none"/>
          <w:lang w:val="en-US" w:eastAsia="zh-CN"/>
        </w:rPr>
        <w:t>附件：</w:t>
      </w:r>
      <w:bookmarkEnd w:id="15"/>
    </w:p>
    <w:p w14:paraId="5815510C">
      <w:pPr>
        <w:keepNext w:val="0"/>
        <w:keepLines w:val="0"/>
        <w:pageBreakBefore w:val="0"/>
        <w:widowControl/>
        <w:kinsoku/>
        <w:wordWrap/>
        <w:overflowPunct/>
        <w:topLinePunct w:val="0"/>
        <w:autoSpaceDE/>
        <w:autoSpaceDN/>
        <w:bidi w:val="0"/>
        <w:adjustRightInd w:val="0"/>
        <w:snapToGrid w:val="0"/>
        <w:spacing w:after="0" w:line="579" w:lineRule="atLeast"/>
        <w:jc w:val="center"/>
        <w:textAlignment w:val="auto"/>
        <w:outlineLvl w:val="1"/>
        <w:rPr>
          <w:rFonts w:hint="eastAsia" w:ascii="宋体" w:hAnsi="宋体" w:cs="宋体"/>
          <w:color w:val="auto"/>
          <w:kern w:val="0"/>
          <w:sz w:val="36"/>
          <w:szCs w:val="36"/>
          <w:highlight w:val="none"/>
        </w:rPr>
      </w:pPr>
      <w:r>
        <w:rPr>
          <w:rFonts w:hint="eastAsia" w:ascii="Times New Roman" w:hAnsi="Times New Roman" w:eastAsia="方正小标宋_GBK" w:cs="Times New Roman"/>
          <w:b/>
          <w:sz w:val="36"/>
          <w:szCs w:val="36"/>
          <w:highlight w:val="none"/>
        </w:rPr>
        <w:t>廉政责任书</w:t>
      </w:r>
    </w:p>
    <w:p w14:paraId="10066FB4">
      <w:pPr>
        <w:keepNext w:val="0"/>
        <w:keepLines w:val="0"/>
        <w:pageBreakBefore w:val="0"/>
        <w:widowControl/>
        <w:kinsoku/>
        <w:wordWrap/>
        <w:overflowPunct/>
        <w:topLinePunct w:val="0"/>
        <w:autoSpaceDE/>
        <w:autoSpaceDN/>
        <w:bidi w:val="0"/>
        <w:adjustRightInd w:val="0"/>
        <w:snapToGrid w:val="0"/>
        <w:spacing w:after="0" w:line="579" w:lineRule="atLeast"/>
        <w:textAlignment w:val="auto"/>
        <w:rPr>
          <w:rFonts w:hint="eastAsia" w:ascii="宋体" w:hAnsi="宋体" w:cs="宋体"/>
          <w:b/>
          <w:color w:val="auto"/>
          <w:kern w:val="0"/>
          <w:sz w:val="24"/>
          <w:highlight w:val="none"/>
        </w:rPr>
      </w:pPr>
    </w:p>
    <w:p w14:paraId="3110C465">
      <w:pPr>
        <w:keepNext w:val="0"/>
        <w:keepLines w:val="0"/>
        <w:pageBreakBefore w:val="0"/>
        <w:widowControl/>
        <w:kinsoku/>
        <w:wordWrap/>
        <w:overflowPunct/>
        <w:topLinePunct w:val="0"/>
        <w:autoSpaceDE/>
        <w:autoSpaceDN/>
        <w:bidi w:val="0"/>
        <w:adjustRightInd w:val="0"/>
        <w:snapToGrid w:val="0"/>
        <w:spacing w:after="0" w:line="579" w:lineRule="atLeast"/>
        <w:textAlignment w:val="auto"/>
        <w:rPr>
          <w:rFonts w:hint="eastAsia" w:ascii="方正仿宋_GBK" w:hAnsi="方正仿宋_GBK" w:eastAsia="方正仿宋_GBK" w:cs="方正仿宋_GBK"/>
          <w:b/>
          <w:bCs/>
          <w:sz w:val="24"/>
          <w:szCs w:val="24"/>
          <w:highlight w:val="yellow"/>
        </w:rPr>
      </w:pPr>
      <w:r>
        <w:rPr>
          <w:rFonts w:hint="eastAsia" w:ascii="方正仿宋_GBK" w:hAnsi="方正仿宋_GBK" w:eastAsia="方正仿宋_GBK" w:cs="方正仿宋_GBK"/>
          <w:b/>
          <w:bCs/>
          <w:sz w:val="24"/>
          <w:szCs w:val="24"/>
          <w:highlight w:val="none"/>
        </w:rPr>
        <w:t>项目名称：绍兴市再生能源发展有限公司</w:t>
      </w:r>
      <w:r>
        <w:rPr>
          <w:rFonts w:hint="eastAsia" w:ascii="方正仿宋_GBK" w:hAnsi="方正仿宋_GBK" w:eastAsia="方正仿宋_GBK" w:cs="方正仿宋_GBK"/>
          <w:b/>
          <w:bCs/>
          <w:sz w:val="24"/>
          <w:szCs w:val="24"/>
          <w:highlight w:val="none"/>
          <w:lang w:val="en-US" w:eastAsia="zh-CN"/>
        </w:rPr>
        <w:t>会议室影音设备整体改造项目</w:t>
      </w:r>
    </w:p>
    <w:p w14:paraId="5BE949C1">
      <w:pPr>
        <w:keepNext w:val="0"/>
        <w:keepLines w:val="0"/>
        <w:pageBreakBefore w:val="0"/>
        <w:widowControl/>
        <w:kinsoku/>
        <w:wordWrap/>
        <w:overflowPunct/>
        <w:topLinePunct w:val="0"/>
        <w:autoSpaceDE/>
        <w:autoSpaceDN/>
        <w:bidi w:val="0"/>
        <w:adjustRightInd w:val="0"/>
        <w:snapToGrid w:val="0"/>
        <w:spacing w:after="0" w:line="579" w:lineRule="atLeast"/>
        <w:textAlignment w:val="auto"/>
        <w:rPr>
          <w:rFonts w:hint="eastAsia" w:ascii="方正仿宋_GBK" w:hAnsi="方正仿宋_GBK" w:eastAsia="方正仿宋_GBK" w:cs="方正仿宋_GBK"/>
          <w:b/>
          <w:bCs/>
          <w:sz w:val="24"/>
          <w:szCs w:val="24"/>
          <w:highlight w:val="none"/>
        </w:rPr>
      </w:pPr>
      <w:r>
        <w:rPr>
          <w:rFonts w:hint="eastAsia" w:ascii="方正仿宋_GBK" w:hAnsi="方正仿宋_GBK" w:eastAsia="方正仿宋_GBK" w:cs="方正仿宋_GBK"/>
          <w:b/>
          <w:bCs/>
          <w:sz w:val="24"/>
          <w:szCs w:val="24"/>
          <w:highlight w:val="none"/>
        </w:rPr>
        <w:t>甲方</w:t>
      </w:r>
      <w:r>
        <w:rPr>
          <w:rFonts w:hint="eastAsia" w:ascii="方正仿宋_GBK" w:hAnsi="方正仿宋_GBK" w:eastAsia="方正仿宋_GBK" w:cs="方正仿宋_GBK"/>
          <w:b/>
          <w:bCs/>
          <w:sz w:val="24"/>
          <w:szCs w:val="24"/>
          <w:highlight w:val="none"/>
          <w:lang w:eastAsia="zh-CN"/>
        </w:rPr>
        <w:t>（</w:t>
      </w:r>
      <w:r>
        <w:rPr>
          <w:rFonts w:hint="eastAsia" w:ascii="方正仿宋_GBK" w:hAnsi="方正仿宋_GBK" w:eastAsia="方正仿宋_GBK" w:cs="方正仿宋_GBK"/>
          <w:b/>
          <w:bCs/>
          <w:sz w:val="24"/>
          <w:szCs w:val="24"/>
          <w:highlight w:val="none"/>
        </w:rPr>
        <w:t>全称</w:t>
      </w:r>
      <w:r>
        <w:rPr>
          <w:rFonts w:hint="eastAsia" w:ascii="方正仿宋_GBK" w:hAnsi="方正仿宋_GBK" w:eastAsia="方正仿宋_GBK" w:cs="方正仿宋_GBK"/>
          <w:b/>
          <w:bCs/>
          <w:sz w:val="24"/>
          <w:szCs w:val="24"/>
          <w:highlight w:val="none"/>
          <w:lang w:eastAsia="zh-CN"/>
        </w:rPr>
        <w:t>）</w:t>
      </w:r>
      <w:r>
        <w:rPr>
          <w:rFonts w:hint="eastAsia" w:ascii="方正仿宋_GBK" w:hAnsi="方正仿宋_GBK" w:eastAsia="方正仿宋_GBK" w:cs="方正仿宋_GBK"/>
          <w:b/>
          <w:bCs/>
          <w:sz w:val="24"/>
          <w:szCs w:val="24"/>
          <w:highlight w:val="none"/>
        </w:rPr>
        <w:t>：绍兴市再生能源发展有限公司            （以下简称甲方）</w:t>
      </w:r>
    </w:p>
    <w:p w14:paraId="150C768F">
      <w:pPr>
        <w:keepNext w:val="0"/>
        <w:keepLines w:val="0"/>
        <w:pageBreakBefore w:val="0"/>
        <w:widowControl/>
        <w:kinsoku/>
        <w:wordWrap/>
        <w:overflowPunct/>
        <w:topLinePunct w:val="0"/>
        <w:autoSpaceDE/>
        <w:autoSpaceDN/>
        <w:bidi w:val="0"/>
        <w:adjustRightInd w:val="0"/>
        <w:snapToGrid w:val="0"/>
        <w:spacing w:after="0" w:line="579" w:lineRule="atLeast"/>
        <w:textAlignment w:val="auto"/>
        <w:rPr>
          <w:rFonts w:hint="eastAsia" w:ascii="方正仿宋_GBK" w:hAnsi="方正仿宋_GBK" w:eastAsia="方正仿宋_GBK" w:cs="方正仿宋_GBK"/>
          <w:b/>
          <w:bCs/>
          <w:sz w:val="24"/>
          <w:szCs w:val="24"/>
          <w:highlight w:val="none"/>
        </w:rPr>
      </w:pPr>
      <w:r>
        <w:rPr>
          <w:rFonts w:hint="eastAsia" w:ascii="方正仿宋_GBK" w:hAnsi="方正仿宋_GBK" w:eastAsia="方正仿宋_GBK" w:cs="方正仿宋_GBK"/>
          <w:b/>
          <w:bCs/>
          <w:sz w:val="24"/>
          <w:szCs w:val="24"/>
          <w:highlight w:val="none"/>
        </w:rPr>
        <w:t>乙方</w:t>
      </w:r>
      <w:r>
        <w:rPr>
          <w:rFonts w:hint="eastAsia" w:ascii="方正仿宋_GBK" w:hAnsi="方正仿宋_GBK" w:eastAsia="方正仿宋_GBK" w:cs="方正仿宋_GBK"/>
          <w:b/>
          <w:bCs/>
          <w:sz w:val="24"/>
          <w:szCs w:val="24"/>
          <w:highlight w:val="none"/>
          <w:lang w:eastAsia="zh-CN"/>
        </w:rPr>
        <w:t>（</w:t>
      </w:r>
      <w:r>
        <w:rPr>
          <w:rFonts w:hint="eastAsia" w:ascii="方正仿宋_GBK" w:hAnsi="方正仿宋_GBK" w:eastAsia="方正仿宋_GBK" w:cs="方正仿宋_GBK"/>
          <w:b/>
          <w:bCs/>
          <w:sz w:val="24"/>
          <w:szCs w:val="24"/>
          <w:highlight w:val="none"/>
        </w:rPr>
        <w:t>全称</w:t>
      </w:r>
      <w:r>
        <w:rPr>
          <w:rFonts w:hint="eastAsia" w:ascii="方正仿宋_GBK" w:hAnsi="方正仿宋_GBK" w:eastAsia="方正仿宋_GBK" w:cs="方正仿宋_GBK"/>
          <w:b/>
          <w:bCs/>
          <w:sz w:val="24"/>
          <w:szCs w:val="24"/>
          <w:highlight w:val="none"/>
          <w:lang w:eastAsia="zh-CN"/>
        </w:rPr>
        <w:t>）</w:t>
      </w:r>
      <w:r>
        <w:rPr>
          <w:rFonts w:hint="eastAsia" w:ascii="方正仿宋_GBK" w:hAnsi="方正仿宋_GBK" w:eastAsia="方正仿宋_GBK" w:cs="方正仿宋_GBK"/>
          <w:b/>
          <w:bCs/>
          <w:sz w:val="24"/>
          <w:szCs w:val="24"/>
          <w:highlight w:val="none"/>
        </w:rPr>
        <w:t>：</w:t>
      </w:r>
      <w:r>
        <w:rPr>
          <w:rFonts w:hint="eastAsia" w:ascii="方正仿宋_GBK" w:hAnsi="方正仿宋_GBK" w:eastAsia="方正仿宋_GBK" w:cs="方正仿宋_GBK"/>
          <w:b/>
          <w:bCs/>
          <w:sz w:val="24"/>
          <w:szCs w:val="24"/>
          <w:highlight w:val="none"/>
          <w:lang w:val="en-US" w:eastAsia="zh-CN"/>
        </w:rPr>
        <w:t xml:space="preserve"> </w:t>
      </w:r>
      <w:r>
        <w:rPr>
          <w:rFonts w:hint="eastAsia" w:ascii="方正仿宋_GBK" w:hAnsi="方正仿宋_GBK" w:eastAsia="方正仿宋_GBK" w:cs="方正仿宋_GBK"/>
          <w:b/>
          <w:bCs/>
          <w:sz w:val="24"/>
          <w:szCs w:val="24"/>
          <w:highlight w:val="none"/>
        </w:rPr>
        <w:t xml:space="preserve"> </w:t>
      </w:r>
      <w:r>
        <w:rPr>
          <w:rFonts w:hint="eastAsia" w:ascii="方正仿宋_GBK" w:hAnsi="方正仿宋_GBK" w:eastAsia="方正仿宋_GBK" w:cs="方正仿宋_GBK"/>
          <w:b/>
          <w:bCs/>
          <w:sz w:val="24"/>
          <w:szCs w:val="24"/>
          <w:highlight w:val="none"/>
          <w:lang w:val="en-US" w:eastAsia="zh-CN"/>
        </w:rPr>
        <w:t xml:space="preserve">         </w:t>
      </w:r>
      <w:r>
        <w:rPr>
          <w:rFonts w:hint="eastAsia" w:ascii="方正仿宋_GBK" w:hAnsi="方正仿宋_GBK" w:eastAsia="方正仿宋_GBK" w:cs="方正仿宋_GBK"/>
          <w:b/>
          <w:bCs/>
          <w:sz w:val="24"/>
          <w:szCs w:val="24"/>
          <w:highlight w:val="none"/>
        </w:rPr>
        <w:t xml:space="preserve">  </w:t>
      </w:r>
      <w:r>
        <w:rPr>
          <w:rFonts w:hint="eastAsia" w:ascii="方正仿宋_GBK" w:hAnsi="方正仿宋_GBK" w:eastAsia="方正仿宋_GBK" w:cs="方正仿宋_GBK"/>
          <w:b/>
          <w:bCs/>
          <w:sz w:val="24"/>
          <w:szCs w:val="24"/>
          <w:highlight w:val="none"/>
          <w:lang w:val="en-US" w:eastAsia="zh-CN"/>
        </w:rPr>
        <w:t xml:space="preserve">    </w:t>
      </w:r>
      <w:r>
        <w:rPr>
          <w:rFonts w:hint="eastAsia" w:ascii="方正仿宋_GBK" w:hAnsi="方正仿宋_GBK" w:eastAsia="方正仿宋_GBK" w:cs="方正仿宋_GBK"/>
          <w:b/>
          <w:bCs/>
          <w:sz w:val="24"/>
          <w:szCs w:val="24"/>
          <w:highlight w:val="none"/>
        </w:rPr>
        <w:t xml:space="preserve"> </w:t>
      </w:r>
      <w:r>
        <w:rPr>
          <w:rFonts w:hint="eastAsia" w:ascii="方正仿宋_GBK" w:hAnsi="方正仿宋_GBK" w:eastAsia="方正仿宋_GBK" w:cs="方正仿宋_GBK"/>
          <w:b/>
          <w:bCs/>
          <w:sz w:val="24"/>
          <w:szCs w:val="24"/>
          <w:highlight w:val="none"/>
          <w:lang w:val="en-US" w:eastAsia="zh-CN"/>
        </w:rPr>
        <w:t xml:space="preserve">                    </w:t>
      </w:r>
      <w:r>
        <w:rPr>
          <w:rFonts w:hint="eastAsia" w:ascii="方正仿宋_GBK" w:hAnsi="方正仿宋_GBK" w:eastAsia="方正仿宋_GBK" w:cs="方正仿宋_GBK"/>
          <w:b/>
          <w:bCs/>
          <w:sz w:val="24"/>
          <w:szCs w:val="24"/>
          <w:highlight w:val="none"/>
        </w:rPr>
        <w:t>（以下简称乙方）</w:t>
      </w:r>
    </w:p>
    <w:p w14:paraId="478BA72B">
      <w:pPr>
        <w:pStyle w:val="35"/>
        <w:keepNext w:val="0"/>
        <w:keepLines w:val="0"/>
        <w:pageBreakBefore w:val="0"/>
        <w:widowControl/>
        <w:kinsoku/>
        <w:wordWrap/>
        <w:overflowPunct/>
        <w:topLinePunct w:val="0"/>
        <w:autoSpaceDE/>
        <w:autoSpaceDN/>
        <w:bidi w:val="0"/>
        <w:adjustRightInd w:val="0"/>
        <w:snapToGrid w:val="0"/>
        <w:spacing w:after="0"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default" w:ascii="Times New Roman" w:hAnsi="Times New Roman" w:eastAsia="方正仿宋_GBK" w:cs="Times New Roman"/>
          <w:sz w:val="28"/>
          <w:szCs w:val="28"/>
          <w:highlight w:val="none"/>
          <w:lang w:val="en-US" w:eastAsia="zh-CN"/>
        </w:rPr>
        <w:t>为加强项目实施过程中的廉政建设，规范项目承发包双方的各项活动，防止发生各种谋取不正当利益的违法违纪行为，保护国家、集体和当事人的合法权益，根据国家有关的法律法规和廉政建设责任制规定，特订立本廉政责任书。</w:t>
      </w:r>
    </w:p>
    <w:p w14:paraId="6054F199">
      <w:pPr>
        <w:pStyle w:val="35"/>
        <w:keepNext w:val="0"/>
        <w:keepLines w:val="0"/>
        <w:pageBreakBefore w:val="0"/>
        <w:widowControl/>
        <w:kinsoku/>
        <w:wordWrap/>
        <w:overflowPunct/>
        <w:topLinePunct w:val="0"/>
        <w:autoSpaceDE/>
        <w:autoSpaceDN/>
        <w:bidi w:val="0"/>
        <w:adjustRightInd w:val="0"/>
        <w:snapToGrid w:val="0"/>
        <w:spacing w:after="0" w:line="579" w:lineRule="atLeast"/>
        <w:ind w:left="0" w:leftChars="0" w:firstLine="560" w:firstLineChars="200"/>
        <w:contextualSpacing/>
        <w:jc w:val="both"/>
        <w:textAlignment w:val="auto"/>
        <w:rPr>
          <w:rFonts w:hint="eastAsia" w:ascii="方正黑体_GBK" w:hAnsi="方正黑体_GBK" w:eastAsia="方正黑体_GBK" w:cs="方正黑体_GBK"/>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第一条 甲、乙双方的责任</w:t>
      </w:r>
    </w:p>
    <w:p w14:paraId="0CFCC8DD">
      <w:pPr>
        <w:pStyle w:val="35"/>
        <w:keepNext w:val="0"/>
        <w:keepLines w:val="0"/>
        <w:pageBreakBefore w:val="0"/>
        <w:widowControl/>
        <w:kinsoku/>
        <w:wordWrap/>
        <w:overflowPunct/>
        <w:topLinePunct w:val="0"/>
        <w:autoSpaceDE/>
        <w:autoSpaceDN/>
        <w:bidi w:val="0"/>
        <w:adjustRightInd w:val="0"/>
        <w:snapToGrid w:val="0"/>
        <w:spacing w:line="579" w:lineRule="atLeast"/>
        <w:ind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b w:val="0"/>
          <w:bCs w:val="0"/>
          <w:sz w:val="28"/>
          <w:szCs w:val="28"/>
          <w:highlight w:val="none"/>
          <w:lang w:val="en-US" w:eastAsia="zh-CN"/>
        </w:rPr>
        <w:t>（一）</w:t>
      </w:r>
      <w:r>
        <w:rPr>
          <w:rFonts w:hint="default" w:ascii="Times New Roman" w:hAnsi="Times New Roman" w:eastAsia="方正仿宋_GBK" w:cs="Times New Roman"/>
          <w:sz w:val="28"/>
          <w:szCs w:val="28"/>
          <w:highlight w:val="none"/>
          <w:lang w:val="en-US" w:eastAsia="zh-CN"/>
        </w:rPr>
        <w:t>应严格遵守国家关于市场准入、项目招标投和市场活动等有关</w:t>
      </w:r>
      <w:r>
        <w:rPr>
          <w:rFonts w:hint="eastAsia" w:ascii="Times New Roman" w:hAnsi="Times New Roman" w:eastAsia="方正仿宋_GBK" w:cs="Times New Roman"/>
          <w:sz w:val="28"/>
          <w:szCs w:val="28"/>
          <w:highlight w:val="none"/>
          <w:lang w:val="en-US" w:eastAsia="zh-CN"/>
        </w:rPr>
        <w:t>法律法规</w:t>
      </w:r>
      <w:r>
        <w:rPr>
          <w:rFonts w:hint="default" w:ascii="Times New Roman" w:hAnsi="Times New Roman" w:eastAsia="方正仿宋_GBK" w:cs="Times New Roman"/>
          <w:sz w:val="28"/>
          <w:szCs w:val="28"/>
          <w:highlight w:val="none"/>
          <w:lang w:val="en-US" w:eastAsia="zh-CN"/>
        </w:rPr>
        <w:t>，相关政策，以及廉政建设的各项规定。</w:t>
      </w:r>
    </w:p>
    <w:p w14:paraId="18A67AD0">
      <w:pPr>
        <w:pStyle w:val="35"/>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default" w:ascii="方正黑体_GBK" w:hAnsi="方正黑体_GBK" w:eastAsia="方正黑体_GBK" w:cs="方正黑体_GBK"/>
          <w:b w:val="0"/>
          <w:bCs w:val="0"/>
          <w:sz w:val="28"/>
          <w:szCs w:val="28"/>
          <w:highlight w:val="none"/>
          <w:lang w:val="en-US" w:eastAsia="zh-CN"/>
        </w:rPr>
        <w:t>（二）</w:t>
      </w:r>
      <w:r>
        <w:rPr>
          <w:rFonts w:hint="default" w:ascii="Times New Roman" w:hAnsi="Times New Roman" w:eastAsia="方正仿宋_GBK" w:cs="Times New Roman"/>
          <w:sz w:val="28"/>
          <w:szCs w:val="28"/>
          <w:highlight w:val="none"/>
          <w:lang w:val="en-US" w:eastAsia="zh-CN"/>
        </w:rPr>
        <w:t>严格执行项目承发包合同文件，自觉按合同办事。</w:t>
      </w:r>
    </w:p>
    <w:p w14:paraId="6D898E47">
      <w:pPr>
        <w:pStyle w:val="35"/>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default" w:ascii="方正黑体_GBK" w:hAnsi="方正黑体_GBK" w:eastAsia="方正黑体_GBK" w:cs="方正黑体_GBK"/>
          <w:b w:val="0"/>
          <w:bCs w:val="0"/>
          <w:sz w:val="28"/>
          <w:szCs w:val="28"/>
          <w:highlight w:val="none"/>
          <w:lang w:val="en-US" w:eastAsia="zh-CN"/>
        </w:rPr>
        <w:t>（三）</w:t>
      </w:r>
      <w:r>
        <w:rPr>
          <w:rFonts w:hint="default" w:ascii="Times New Roman" w:hAnsi="Times New Roman" w:eastAsia="方正仿宋_GBK" w:cs="Times New Roman"/>
          <w:sz w:val="28"/>
          <w:szCs w:val="28"/>
          <w:highlight w:val="none"/>
          <w:lang w:val="en-US" w:eastAsia="zh-CN"/>
        </w:rPr>
        <w:t>业务活动必须坚持公开、公平、公正、诚信、透明的原则（除法律法规另有规定者外），不得为获取不正当的利益，损害国家、集体和对方利益，不得违反项目管理、施工安装的规章制度。</w:t>
      </w:r>
    </w:p>
    <w:p w14:paraId="33F16A0D">
      <w:pPr>
        <w:pStyle w:val="35"/>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（四）</w:t>
      </w:r>
      <w:r>
        <w:rPr>
          <w:rFonts w:hint="default" w:ascii="Times New Roman" w:hAnsi="Times New Roman" w:eastAsia="方正仿宋_GBK" w:cs="Times New Roman"/>
          <w:sz w:val="28"/>
          <w:szCs w:val="28"/>
          <w:highlight w:val="none"/>
          <w:lang w:val="en-US" w:eastAsia="zh-CN"/>
        </w:rPr>
        <w:t>发现对方在业务活动中有违规、违纪、违法行为的，应及时提醒对方，情节严重的，应向其上级主管部门或纪检监察、司法等有关机关举报。</w:t>
      </w:r>
    </w:p>
    <w:p w14:paraId="2E22EDCF">
      <w:pPr>
        <w:pStyle w:val="35"/>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eastAsia" w:ascii="方正黑体_GBK" w:hAnsi="方正黑体_GBK" w:eastAsia="方正黑体_GBK" w:cs="方正黑体_GBK"/>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第二条 甲方的责任</w:t>
      </w:r>
    </w:p>
    <w:p w14:paraId="6115DC9C">
      <w:pPr>
        <w:pStyle w:val="35"/>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default" w:ascii="Times New Roman" w:hAnsi="Times New Roman" w:eastAsia="方正仿宋_GBK" w:cs="Times New Roman"/>
          <w:sz w:val="28"/>
          <w:szCs w:val="28"/>
          <w:highlight w:val="none"/>
          <w:lang w:val="en-US" w:eastAsia="zh-CN"/>
        </w:rPr>
        <w:t>甲方的领导和从事该项目管理的工作人员，在项目服务的事前、事中、事后应遵守以下规定：</w:t>
      </w:r>
    </w:p>
    <w:p w14:paraId="7EDE424F">
      <w:pPr>
        <w:pStyle w:val="35"/>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（一）</w:t>
      </w:r>
      <w:r>
        <w:rPr>
          <w:rFonts w:hint="default" w:ascii="Times New Roman" w:hAnsi="Times New Roman" w:eastAsia="方正仿宋_GBK" w:cs="Times New Roman"/>
          <w:sz w:val="28"/>
          <w:szCs w:val="28"/>
          <w:highlight w:val="none"/>
          <w:lang w:val="en-US" w:eastAsia="zh-CN"/>
        </w:rPr>
        <w:t>不准向乙方和相关单位索要或接受回扣、礼金、有价证券、贵重物品和好处费、感谢费等。</w:t>
      </w:r>
    </w:p>
    <w:p w14:paraId="41FE7C00">
      <w:pPr>
        <w:pStyle w:val="35"/>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（二）</w:t>
      </w:r>
      <w:r>
        <w:rPr>
          <w:rFonts w:hint="default" w:ascii="Times New Roman" w:hAnsi="Times New Roman" w:eastAsia="方正仿宋_GBK" w:cs="Times New Roman"/>
          <w:sz w:val="28"/>
          <w:szCs w:val="28"/>
          <w:highlight w:val="none"/>
          <w:lang w:val="en-US" w:eastAsia="zh-CN"/>
        </w:rPr>
        <w:t>不准在乙方和相关单位报销任何应由甲方或个人支付的费用。</w:t>
      </w:r>
    </w:p>
    <w:p w14:paraId="0E2561D7">
      <w:pPr>
        <w:pStyle w:val="35"/>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（三）</w:t>
      </w:r>
      <w:r>
        <w:rPr>
          <w:rFonts w:hint="default" w:ascii="Times New Roman" w:hAnsi="Times New Roman" w:eastAsia="方正仿宋_GBK" w:cs="Times New Roman"/>
          <w:sz w:val="28"/>
          <w:szCs w:val="28"/>
          <w:highlight w:val="none"/>
          <w:lang w:val="en-US" w:eastAsia="zh-CN"/>
        </w:rPr>
        <w:t>不准要求、暗示和接受乙方和相关单位为个人装修住房、婚丧嫁娶、配偶子女的工作安排以及出国（境）、旅游等提供方便。</w:t>
      </w:r>
    </w:p>
    <w:p w14:paraId="3E23D3DC">
      <w:pPr>
        <w:pStyle w:val="35"/>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（四）</w:t>
      </w:r>
      <w:r>
        <w:rPr>
          <w:rFonts w:hint="default" w:ascii="Times New Roman" w:hAnsi="Times New Roman" w:eastAsia="方正仿宋_GBK" w:cs="Times New Roman"/>
          <w:sz w:val="28"/>
          <w:szCs w:val="28"/>
          <w:highlight w:val="none"/>
          <w:lang w:val="en-US" w:eastAsia="zh-CN"/>
        </w:rPr>
        <w:t>不准参加有可能影响公正执行公务的乙方和相关单位的宴请和健身、娱乐等活动。</w:t>
      </w:r>
    </w:p>
    <w:p w14:paraId="33EA5A61">
      <w:pPr>
        <w:pStyle w:val="35"/>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（五）</w:t>
      </w:r>
      <w:r>
        <w:rPr>
          <w:rFonts w:hint="default" w:ascii="Times New Roman" w:hAnsi="Times New Roman" w:eastAsia="方正仿宋_GBK" w:cs="Times New Roman"/>
          <w:sz w:val="28"/>
          <w:szCs w:val="28"/>
          <w:highlight w:val="none"/>
          <w:lang w:val="en-US" w:eastAsia="zh-CN"/>
        </w:rPr>
        <w:t>不准向乙方介绍或为配偶、子女、亲属参与同甲方项目合同有关的设备、材料、工程分包、劳务等经济活动。不得以任何理由向乙方和相关单位推荐分包单位和要求乙方购买项目合同规定以外的材料、设备等。</w:t>
      </w:r>
    </w:p>
    <w:p w14:paraId="0D328669">
      <w:pPr>
        <w:pStyle w:val="35"/>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eastAsia" w:ascii="方正黑体_GBK" w:hAnsi="方正黑体_GBK" w:eastAsia="方正黑体_GBK" w:cs="方正黑体_GBK"/>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第三条 乙方的责任</w:t>
      </w:r>
    </w:p>
    <w:p w14:paraId="2C7FF2BD">
      <w:pPr>
        <w:pStyle w:val="35"/>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default" w:ascii="Times New Roman" w:hAnsi="Times New Roman" w:eastAsia="方正仿宋_GBK" w:cs="Times New Roman"/>
          <w:sz w:val="28"/>
          <w:szCs w:val="28"/>
          <w:highlight w:val="none"/>
          <w:lang w:val="en-US" w:eastAsia="zh-CN"/>
        </w:rPr>
        <w:t>应与甲方保持正常的业务交往，按照有关法律法规和程序开展业务工作，严格执行项目的有关方针、政策，并遵守以下规定：</w:t>
      </w:r>
    </w:p>
    <w:p w14:paraId="38BDBAA3">
      <w:pPr>
        <w:pStyle w:val="35"/>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（一）</w:t>
      </w:r>
      <w:r>
        <w:rPr>
          <w:rFonts w:hint="default" w:ascii="Times New Roman" w:hAnsi="Times New Roman" w:eastAsia="方正仿宋_GBK" w:cs="Times New Roman"/>
          <w:sz w:val="28"/>
          <w:szCs w:val="28"/>
          <w:highlight w:val="none"/>
          <w:lang w:val="en-US" w:eastAsia="zh-CN"/>
        </w:rPr>
        <w:t>不准以任何理由向甲方、相关单位及其工作人员索要、接受或赠送礼金、有价证券、贵重物品和回扣、好处费、感谢费等。</w:t>
      </w:r>
    </w:p>
    <w:p w14:paraId="3325DE96">
      <w:pPr>
        <w:pStyle w:val="35"/>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（二）</w:t>
      </w:r>
      <w:r>
        <w:rPr>
          <w:rFonts w:hint="default" w:ascii="Times New Roman" w:hAnsi="Times New Roman" w:eastAsia="方正仿宋_GBK" w:cs="Times New Roman"/>
          <w:sz w:val="28"/>
          <w:szCs w:val="28"/>
          <w:highlight w:val="none"/>
          <w:lang w:val="en-US" w:eastAsia="zh-CN"/>
        </w:rPr>
        <w:t>不准以任何理由为甲方和相关单位报销应由对方或个人支付的费用。</w:t>
      </w:r>
    </w:p>
    <w:p w14:paraId="4046F1C5">
      <w:pPr>
        <w:pStyle w:val="35"/>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（三）</w:t>
      </w:r>
      <w:r>
        <w:rPr>
          <w:rFonts w:hint="default" w:ascii="Times New Roman" w:hAnsi="Times New Roman" w:eastAsia="方正仿宋_GBK" w:cs="Times New Roman"/>
          <w:sz w:val="28"/>
          <w:szCs w:val="28"/>
          <w:highlight w:val="none"/>
          <w:lang w:val="en-US" w:eastAsia="zh-CN"/>
        </w:rPr>
        <w:t>不准接受或暗示为甲方、相关单位或个人装修住房、婚丧嫁娶、配偶子女的工作安排以及出国（境）、旅游等提供方便。</w:t>
      </w:r>
    </w:p>
    <w:p w14:paraId="3CC95C25">
      <w:pPr>
        <w:pStyle w:val="35"/>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（四）</w:t>
      </w:r>
      <w:r>
        <w:rPr>
          <w:rFonts w:hint="default" w:ascii="Times New Roman" w:hAnsi="Times New Roman" w:eastAsia="方正仿宋_GBK" w:cs="Times New Roman"/>
          <w:sz w:val="28"/>
          <w:szCs w:val="28"/>
          <w:highlight w:val="none"/>
          <w:lang w:val="en-US" w:eastAsia="zh-CN"/>
        </w:rPr>
        <w:t>不准以任何理由为甲方、相关单位或个人组织有可能影响公正执行公务的宴请、健身、娱乐等活动。</w:t>
      </w:r>
    </w:p>
    <w:p w14:paraId="44DE08C7">
      <w:pPr>
        <w:pStyle w:val="35"/>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eastAsia" w:ascii="方正黑体_GBK" w:hAnsi="方正黑体_GBK" w:eastAsia="方正黑体_GBK" w:cs="方正黑体_GBK"/>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第四条 违约责任</w:t>
      </w:r>
    </w:p>
    <w:p w14:paraId="0ECED539">
      <w:pPr>
        <w:pStyle w:val="35"/>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（一）</w:t>
      </w:r>
      <w:r>
        <w:rPr>
          <w:rFonts w:hint="default" w:ascii="Times New Roman" w:hAnsi="Times New Roman" w:eastAsia="方正仿宋_GBK" w:cs="Times New Roman"/>
          <w:sz w:val="28"/>
          <w:szCs w:val="28"/>
          <w:highlight w:val="none"/>
          <w:lang w:val="en-US" w:eastAsia="zh-CN"/>
        </w:rPr>
        <w:t>甲方工作人员有违反本责任书第一、二条责任行为的，按照管理权限，依据有关法律法规和规定给予党纪、政纪处分或组织处理；涉嫌犯罪的，移交司法机关追究刑事责任；给乙方单位造成经济损失的，应予以赔偿。</w:t>
      </w:r>
    </w:p>
    <w:p w14:paraId="5B2C56AA">
      <w:pPr>
        <w:pStyle w:val="35"/>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（二）</w:t>
      </w:r>
      <w:r>
        <w:rPr>
          <w:rFonts w:hint="default" w:ascii="Times New Roman" w:hAnsi="Times New Roman" w:eastAsia="方正仿宋_GBK" w:cs="Times New Roman"/>
          <w:sz w:val="28"/>
          <w:szCs w:val="28"/>
          <w:highlight w:val="none"/>
          <w:lang w:val="en-US" w:eastAsia="zh-CN"/>
        </w:rPr>
        <w:t>乙方工作人员有违反本责任书第一、三条责任行为的，按照管理权限，依据有关法律法规和规定给予党纪、政纪处分或组织处理；涉嫌犯罪的，移交司法机关追究刑事责任；给甲方单位造成经济损失的，应予以赔偿；廉政建设风险抵押金不予返还。</w:t>
      </w:r>
    </w:p>
    <w:p w14:paraId="22B38F16">
      <w:pPr>
        <w:pStyle w:val="35"/>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第五条</w:t>
      </w:r>
      <w:r>
        <w:rPr>
          <w:rFonts w:hint="default" w:ascii="Times New Roman" w:hAnsi="Times New Roman" w:eastAsia="方正仿宋_GBK" w:cs="Times New Roman"/>
          <w:sz w:val="28"/>
          <w:szCs w:val="28"/>
          <w:highlight w:val="none"/>
          <w:lang w:val="en-US" w:eastAsia="zh-CN"/>
        </w:rPr>
        <w:t xml:space="preserve">  本责任书作为服务合同的附件，与服务合同具有同等法律效力。经双方签署后立即生效。</w:t>
      </w:r>
    </w:p>
    <w:p w14:paraId="29D5AEBF">
      <w:pPr>
        <w:pStyle w:val="35"/>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 xml:space="preserve">第六条  </w:t>
      </w:r>
      <w:r>
        <w:rPr>
          <w:rFonts w:hint="default" w:ascii="Times New Roman" w:hAnsi="Times New Roman" w:eastAsia="方正仿宋_GBK" w:cs="Times New Roman"/>
          <w:sz w:val="28"/>
          <w:szCs w:val="28"/>
          <w:highlight w:val="none"/>
          <w:lang w:val="en-US" w:eastAsia="zh-CN"/>
        </w:rPr>
        <w:t>本责任书的有效期为双方签署之日起至该服务项目质保期结束时止。</w:t>
      </w:r>
    </w:p>
    <w:p w14:paraId="77DD6787">
      <w:pPr>
        <w:pStyle w:val="35"/>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 xml:space="preserve">第七条  </w:t>
      </w:r>
      <w:r>
        <w:rPr>
          <w:rFonts w:hint="default" w:ascii="Times New Roman" w:hAnsi="Times New Roman" w:eastAsia="方正仿宋_GBK" w:cs="Times New Roman"/>
          <w:sz w:val="28"/>
          <w:szCs w:val="28"/>
          <w:highlight w:val="none"/>
          <w:lang w:val="en-US" w:eastAsia="zh-CN"/>
        </w:rPr>
        <w:t>本责任书一式陆份，</w:t>
      </w:r>
      <w:r>
        <w:rPr>
          <w:rFonts w:hint="eastAsia" w:ascii="Times New Roman" w:hAnsi="Times New Roman" w:eastAsia="方正仿宋_GBK" w:cs="Times New Roman"/>
          <w:sz w:val="28"/>
          <w:szCs w:val="28"/>
          <w:highlight w:val="none"/>
          <w:lang w:val="en-US" w:eastAsia="zh-CN"/>
        </w:rPr>
        <w:t>甲方</w:t>
      </w:r>
      <w:r>
        <w:rPr>
          <w:rFonts w:hint="default" w:ascii="Times New Roman" w:hAnsi="Times New Roman" w:eastAsia="方正仿宋_GBK" w:cs="Times New Roman"/>
          <w:sz w:val="28"/>
          <w:szCs w:val="28"/>
          <w:highlight w:val="none"/>
          <w:lang w:eastAsia="zh-CN"/>
        </w:rPr>
        <w:t>五份</w:t>
      </w:r>
      <w:r>
        <w:rPr>
          <w:rFonts w:hint="eastAsia" w:ascii="Times New Roman" w:hAnsi="Times New Roman" w:eastAsia="方正仿宋_GBK" w:cs="Times New Roman"/>
          <w:sz w:val="28"/>
          <w:szCs w:val="28"/>
          <w:highlight w:val="none"/>
          <w:lang w:eastAsia="zh-CN"/>
        </w:rPr>
        <w:t>，</w:t>
      </w:r>
      <w:r>
        <w:rPr>
          <w:rFonts w:hint="eastAsia" w:ascii="Times New Roman" w:hAnsi="Times New Roman" w:eastAsia="方正仿宋_GBK" w:cs="Times New Roman"/>
          <w:sz w:val="28"/>
          <w:szCs w:val="28"/>
          <w:highlight w:val="none"/>
          <w:lang w:val="en-US" w:eastAsia="zh-CN"/>
        </w:rPr>
        <w:t>乙方</w:t>
      </w:r>
      <w:r>
        <w:rPr>
          <w:rFonts w:hint="default" w:ascii="Times New Roman" w:hAnsi="Times New Roman" w:eastAsia="方正仿宋_GBK" w:cs="Times New Roman"/>
          <w:sz w:val="28"/>
          <w:szCs w:val="28"/>
          <w:highlight w:val="none"/>
          <w:lang w:eastAsia="zh-CN"/>
        </w:rPr>
        <w:t>一份</w:t>
      </w:r>
      <w:r>
        <w:rPr>
          <w:rFonts w:hint="eastAsia" w:ascii="Times New Roman" w:hAnsi="Times New Roman" w:eastAsia="方正仿宋_GBK" w:cs="Times New Roman"/>
          <w:sz w:val="28"/>
          <w:szCs w:val="28"/>
          <w:highlight w:val="none"/>
          <w:lang w:eastAsia="zh-CN"/>
        </w:rPr>
        <w:t>，</w:t>
      </w:r>
      <w:r>
        <w:rPr>
          <w:rFonts w:hint="eastAsia" w:ascii="Times New Roman" w:hAnsi="Times New Roman" w:eastAsia="方正仿宋_GBK" w:cs="Times New Roman"/>
          <w:sz w:val="28"/>
          <w:szCs w:val="28"/>
          <w:highlight w:val="none"/>
          <w:lang w:val="en-US" w:eastAsia="zh-CN"/>
        </w:rPr>
        <w:t>作为合同附件后附</w:t>
      </w:r>
      <w:r>
        <w:rPr>
          <w:rFonts w:hint="default" w:ascii="Times New Roman" w:hAnsi="Times New Roman" w:eastAsia="方正仿宋_GBK" w:cs="Times New Roman"/>
          <w:sz w:val="28"/>
          <w:szCs w:val="28"/>
          <w:highlight w:val="none"/>
          <w:lang w:val="en-US" w:eastAsia="zh-CN"/>
        </w:rPr>
        <w:t>。</w:t>
      </w:r>
    </w:p>
    <w:p w14:paraId="49EA87AC">
      <w:pPr>
        <w:pStyle w:val="37"/>
        <w:keepNext w:val="0"/>
        <w:keepLines w:val="0"/>
        <w:pageBreakBefore w:val="0"/>
        <w:kinsoku/>
        <w:wordWrap/>
        <w:overflowPunct/>
        <w:topLinePunct w:val="0"/>
        <w:bidi w:val="0"/>
        <w:adjustRightInd w:val="0"/>
        <w:spacing w:line="579" w:lineRule="atLeast"/>
        <w:textAlignment w:val="auto"/>
        <w:rPr>
          <w:rFonts w:hint="default" w:ascii="Times New Roman" w:hAnsi="Times New Roman" w:eastAsia="方正仿宋_GBK" w:cs="Times New Roman"/>
          <w:color w:val="auto"/>
          <w:highlight w:val="none"/>
        </w:rPr>
      </w:pPr>
    </w:p>
    <w:p w14:paraId="35043564">
      <w:pPr>
        <w:keepNext w:val="0"/>
        <w:keepLines w:val="0"/>
        <w:pageBreakBefore w:val="0"/>
        <w:kinsoku/>
        <w:wordWrap/>
        <w:overflowPunct/>
        <w:topLinePunct w:val="0"/>
        <w:bidi w:val="0"/>
        <w:adjustRightInd w:val="0"/>
        <w:spacing w:after="0" w:line="579" w:lineRule="atLeast"/>
        <w:ind w:left="-420" w:leftChars="-200" w:firstLine="0" w:firstLineChars="0"/>
        <w:jc w:val="both"/>
        <w:textAlignment w:val="auto"/>
        <w:rPr>
          <w:rFonts w:hint="default" w:ascii="Times New Roman" w:hAnsi="Times New Roman" w:eastAsia="方正仿宋_GBK" w:cs="Times New Roman"/>
          <w:b/>
          <w:bCs/>
          <w:color w:val="auto"/>
          <w:kern w:val="0"/>
          <w:sz w:val="24"/>
          <w:highlight w:val="none"/>
        </w:rPr>
      </w:pPr>
      <w:r>
        <w:rPr>
          <w:rFonts w:hint="default" w:ascii="Times New Roman" w:hAnsi="Times New Roman" w:eastAsia="方正仿宋_GBK" w:cs="Times New Roman"/>
          <w:b/>
          <w:bCs/>
          <w:color w:val="auto"/>
          <w:kern w:val="0"/>
          <w:sz w:val="24"/>
          <w:highlight w:val="none"/>
        </w:rPr>
        <w:t xml:space="preserve">甲方（盖章） </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乙方（盖章）</w:t>
      </w:r>
      <w:r>
        <w:rPr>
          <w:rFonts w:hint="eastAsia" w:ascii="Times New Roman" w:hAnsi="Times New Roman" w:eastAsia="方正仿宋_GBK" w:cs="Times New Roman"/>
          <w:b/>
          <w:bCs/>
          <w:color w:val="auto"/>
          <w:kern w:val="0"/>
          <w:sz w:val="24"/>
          <w:highlight w:val="none"/>
          <w:lang w:val="en-US" w:eastAsia="zh-CN"/>
        </w:rPr>
        <w:t xml:space="preserve"> </w:t>
      </w:r>
    </w:p>
    <w:p w14:paraId="028E7624">
      <w:pPr>
        <w:keepNext w:val="0"/>
        <w:keepLines w:val="0"/>
        <w:pageBreakBefore w:val="0"/>
        <w:kinsoku/>
        <w:wordWrap/>
        <w:overflowPunct/>
        <w:topLinePunct w:val="0"/>
        <w:bidi w:val="0"/>
        <w:adjustRightInd w:val="0"/>
        <w:spacing w:after="0" w:line="579" w:lineRule="atLeast"/>
        <w:ind w:left="-420" w:leftChars="-200" w:firstLine="0" w:firstLineChars="0"/>
        <w:jc w:val="both"/>
        <w:textAlignment w:val="auto"/>
        <w:rPr>
          <w:rFonts w:hint="default" w:ascii="Times New Roman" w:hAnsi="Times New Roman" w:eastAsia="方正仿宋_GBK" w:cs="Times New Roman"/>
          <w:b/>
          <w:bCs/>
          <w:color w:val="auto"/>
          <w:kern w:val="0"/>
          <w:sz w:val="24"/>
          <w:highlight w:val="none"/>
        </w:rPr>
      </w:pPr>
      <w:r>
        <w:rPr>
          <w:rFonts w:hint="default" w:ascii="Times New Roman" w:hAnsi="Times New Roman" w:eastAsia="方正仿宋_GBK" w:cs="Times New Roman"/>
          <w:b/>
          <w:bCs/>
          <w:color w:val="auto"/>
          <w:kern w:val="0"/>
          <w:sz w:val="24"/>
          <w:highlight w:val="none"/>
        </w:rPr>
        <w:t xml:space="preserve">法定代表人（签名或盖章）                </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法定代表人（签名或盖章）</w:t>
      </w:r>
    </w:p>
    <w:p w14:paraId="73314DB1">
      <w:pPr>
        <w:keepNext w:val="0"/>
        <w:keepLines w:val="0"/>
        <w:pageBreakBefore w:val="0"/>
        <w:kinsoku/>
        <w:wordWrap/>
        <w:overflowPunct/>
        <w:topLinePunct w:val="0"/>
        <w:bidi w:val="0"/>
        <w:adjustRightInd w:val="0"/>
        <w:spacing w:after="0" w:line="579" w:lineRule="atLeast"/>
        <w:ind w:left="-420" w:leftChars="-200" w:firstLine="0" w:firstLineChars="0"/>
        <w:jc w:val="both"/>
        <w:textAlignment w:val="auto"/>
        <w:rPr>
          <w:rFonts w:hint="default" w:ascii="Times New Roman" w:hAnsi="Times New Roman" w:eastAsia="方正仿宋_GBK" w:cs="Times New Roman"/>
          <w:b/>
          <w:bCs/>
          <w:color w:val="auto"/>
          <w:kern w:val="0"/>
          <w:sz w:val="24"/>
          <w:highlight w:val="none"/>
        </w:rPr>
      </w:pPr>
      <w:r>
        <w:rPr>
          <w:rFonts w:hint="default" w:ascii="Times New Roman" w:hAnsi="Times New Roman" w:eastAsia="方正仿宋_GBK" w:cs="Times New Roman"/>
          <w:b/>
          <w:bCs/>
          <w:color w:val="auto"/>
          <w:kern w:val="0"/>
          <w:sz w:val="24"/>
          <w:highlight w:val="none"/>
        </w:rPr>
        <w:t xml:space="preserve">或委托代理人（签名）                   </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 xml:space="preserve"> </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或委托代理人（签名）</w:t>
      </w:r>
    </w:p>
    <w:p w14:paraId="316BC9A1">
      <w:pPr>
        <w:keepNext w:val="0"/>
        <w:keepLines w:val="0"/>
        <w:pageBreakBefore w:val="0"/>
        <w:widowControl/>
        <w:kinsoku/>
        <w:wordWrap/>
        <w:overflowPunct/>
        <w:topLinePunct w:val="0"/>
        <w:bidi w:val="0"/>
        <w:adjustRightInd w:val="0"/>
        <w:snapToGrid w:val="0"/>
        <w:spacing w:after="0" w:line="579" w:lineRule="atLeast"/>
        <w:ind w:left="-420" w:leftChars="-200" w:firstLine="0" w:firstLineChars="0"/>
        <w:jc w:val="center"/>
        <w:textAlignment w:val="auto"/>
        <w:rPr>
          <w:rFonts w:hint="eastAsia" w:ascii="Times New Roman" w:hAnsi="Times New Roman" w:eastAsia="方正仿宋_GBK" w:cs="Times New Roman"/>
          <w:b/>
          <w:bCs/>
          <w:color w:val="auto"/>
          <w:kern w:val="0"/>
          <w:sz w:val="24"/>
          <w:highlight w:val="none"/>
          <w:lang w:val="en-US" w:eastAsia="zh-CN"/>
        </w:rPr>
      </w:pPr>
    </w:p>
    <w:p w14:paraId="018EA15A">
      <w:pPr>
        <w:keepNext w:val="0"/>
        <w:keepLines w:val="0"/>
        <w:pageBreakBefore w:val="0"/>
        <w:widowControl/>
        <w:kinsoku/>
        <w:wordWrap/>
        <w:overflowPunct/>
        <w:topLinePunct w:val="0"/>
        <w:bidi w:val="0"/>
        <w:adjustRightInd w:val="0"/>
        <w:snapToGrid w:val="0"/>
        <w:spacing w:after="0" w:line="579" w:lineRule="atLeast"/>
        <w:ind w:left="-420" w:leftChars="-200" w:firstLine="0" w:firstLineChars="0"/>
        <w:jc w:val="center"/>
        <w:textAlignment w:val="auto"/>
        <w:rPr>
          <w:rFonts w:hint="default" w:ascii="Times New Roman" w:hAnsi="Times New Roman" w:eastAsia="方正仿宋_GBK" w:cs="Times New Roman"/>
          <w:b/>
          <w:bCs/>
          <w:color w:val="auto"/>
          <w:kern w:val="0"/>
          <w:sz w:val="24"/>
          <w:highlight w:val="none"/>
          <w:lang w:val="en-US" w:eastAsia="zh-CN"/>
        </w:rPr>
      </w:pPr>
      <w:r>
        <w:rPr>
          <w:rFonts w:hint="eastAsia" w:ascii="Times New Roman" w:hAnsi="Times New Roman" w:eastAsia="方正仿宋_GBK" w:cs="Times New Roman"/>
          <w:b/>
          <w:bCs/>
          <w:color w:val="auto"/>
          <w:kern w:val="0"/>
          <w:sz w:val="24"/>
          <w:highlight w:val="none"/>
          <w:lang w:val="en-US" w:eastAsia="zh-CN"/>
        </w:rPr>
        <w:t xml:space="preserve">     </w:t>
      </w:r>
    </w:p>
    <w:p w14:paraId="7C3320C9">
      <w:pPr>
        <w:keepNext w:val="0"/>
        <w:keepLines w:val="0"/>
        <w:pageBreakBefore w:val="0"/>
        <w:widowControl/>
        <w:kinsoku/>
        <w:wordWrap/>
        <w:overflowPunct/>
        <w:topLinePunct w:val="0"/>
        <w:bidi w:val="0"/>
        <w:adjustRightInd w:val="0"/>
        <w:snapToGrid w:val="0"/>
        <w:spacing w:after="0" w:line="579" w:lineRule="atLeast"/>
        <w:jc w:val="center"/>
        <w:textAlignment w:val="auto"/>
        <w:rPr>
          <w:rFonts w:hint="default" w:ascii="Times New Roman" w:hAnsi="Times New Roman" w:eastAsia="方正仿宋_GBK" w:cs="Times New Roman"/>
          <w:b/>
          <w:bCs/>
          <w:color w:val="auto"/>
          <w:kern w:val="0"/>
          <w:sz w:val="24"/>
          <w:highlight w:val="none"/>
        </w:rPr>
      </w:pP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年</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月</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日</w:t>
      </w:r>
    </w:p>
    <w:p w14:paraId="6CCE3741">
      <w:pPr>
        <w:keepNext w:val="0"/>
        <w:keepLines w:val="0"/>
        <w:pageBreakBefore w:val="0"/>
        <w:widowControl/>
        <w:kinsoku/>
        <w:wordWrap/>
        <w:overflowPunct/>
        <w:topLinePunct w:val="0"/>
        <w:bidi w:val="0"/>
        <w:adjustRightInd w:val="0"/>
        <w:snapToGrid w:val="0"/>
        <w:spacing w:after="0" w:line="579" w:lineRule="atLeast"/>
        <w:jc w:val="center"/>
        <w:textAlignment w:val="auto"/>
        <w:rPr>
          <w:rFonts w:hint="eastAsia" w:ascii="Times New Roman" w:hAnsi="Times New Roman" w:eastAsia="方正仿宋_GBK" w:cs="Times New Roman"/>
          <w:b/>
          <w:bCs/>
          <w:color w:val="auto"/>
          <w:kern w:val="0"/>
          <w:sz w:val="24"/>
          <w:highlight w:val="none"/>
        </w:rPr>
      </w:pPr>
    </w:p>
    <w:p w14:paraId="2F846394">
      <w:pP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br w:type="page"/>
      </w:r>
    </w:p>
    <w:p w14:paraId="57866C79">
      <w:pPr>
        <w:pStyle w:val="2"/>
        <w:numPr>
          <w:ilvl w:val="0"/>
          <w:numId w:val="0"/>
        </w:numPr>
        <w:jc w:val="center"/>
        <w:rPr>
          <w:rFonts w:hint="eastAsia" w:ascii="仿宋" w:hAnsi="仿宋" w:eastAsia="仿宋" w:cs="仿宋"/>
          <w:snapToGrid w:val="0"/>
          <w:sz w:val="44"/>
          <w:szCs w:val="44"/>
        </w:rPr>
      </w:pPr>
      <w:bookmarkStart w:id="16" w:name="_Toc5159"/>
      <w:r>
        <w:rPr>
          <w:rFonts w:hint="eastAsia" w:ascii="仿宋" w:hAnsi="仿宋" w:eastAsia="仿宋" w:cs="仿宋"/>
          <w:snapToGrid w:val="0"/>
          <w:sz w:val="44"/>
          <w:szCs w:val="44"/>
        </w:rPr>
        <w:t>第</w:t>
      </w:r>
      <w:r>
        <w:rPr>
          <w:rFonts w:hint="eastAsia" w:ascii="仿宋" w:hAnsi="仿宋" w:eastAsia="仿宋" w:cs="仿宋"/>
          <w:snapToGrid w:val="0"/>
          <w:sz w:val="44"/>
          <w:szCs w:val="44"/>
          <w:lang w:eastAsia="zh-CN"/>
        </w:rPr>
        <w:t>五</w:t>
      </w:r>
      <w:r>
        <w:rPr>
          <w:rFonts w:hint="eastAsia" w:ascii="仿宋" w:hAnsi="仿宋" w:eastAsia="仿宋" w:cs="仿宋"/>
          <w:snapToGrid w:val="0"/>
          <w:sz w:val="44"/>
          <w:szCs w:val="44"/>
        </w:rPr>
        <w:t>部分    报价文件格式</w:t>
      </w:r>
      <w:bookmarkEnd w:id="13"/>
      <w:bookmarkEnd w:id="16"/>
    </w:p>
    <w:p w14:paraId="412D71F2">
      <w:pPr>
        <w:jc w:val="left"/>
        <w:outlineLvl w:val="0"/>
        <w:rPr>
          <w:rStyle w:val="21"/>
          <w:rFonts w:hint="eastAsia" w:ascii="仿宋" w:hAnsi="仿宋" w:eastAsia="仿宋" w:cs="仿宋"/>
          <w:sz w:val="30"/>
        </w:rPr>
      </w:pPr>
    </w:p>
    <w:p w14:paraId="5E2D734D">
      <w:pPr>
        <w:spacing w:line="480" w:lineRule="auto"/>
        <w:jc w:val="right"/>
        <w:rPr>
          <w:rFonts w:hint="eastAsia" w:ascii="仿宋" w:hAnsi="仿宋" w:eastAsia="仿宋" w:cs="仿宋"/>
          <w:sz w:val="32"/>
        </w:rPr>
      </w:pPr>
    </w:p>
    <w:p w14:paraId="43F07FC2">
      <w:pPr>
        <w:rPr>
          <w:rFonts w:hint="eastAsia" w:ascii="仿宋" w:hAnsi="仿宋" w:eastAsia="仿宋" w:cs="仿宋"/>
          <w:sz w:val="44"/>
        </w:rPr>
      </w:pPr>
    </w:p>
    <w:p w14:paraId="55DDC77E">
      <w:pPr>
        <w:spacing w:line="360" w:lineRule="auto"/>
        <w:jc w:val="center"/>
        <w:rPr>
          <w:rFonts w:hint="eastAsia" w:ascii="仿宋" w:hAnsi="仿宋" w:eastAsia="仿宋" w:cs="仿宋"/>
          <w:sz w:val="52"/>
          <w:highlight w:val="none"/>
        </w:rPr>
      </w:pPr>
      <w:r>
        <w:rPr>
          <w:rFonts w:hint="eastAsia" w:ascii="仿宋_GB2312" w:hAnsi="宋体" w:eastAsia="仿宋_GB2312"/>
          <w:b w:val="0"/>
          <w:bCs/>
          <w:sz w:val="52"/>
          <w:szCs w:val="52"/>
          <w:highlight w:val="none"/>
          <w:lang w:val="en-US" w:eastAsia="zh-CN"/>
        </w:rPr>
        <w:t>会议室影音设备整体改造项目</w:t>
      </w:r>
    </w:p>
    <w:p w14:paraId="46880012">
      <w:pPr>
        <w:spacing w:line="360" w:lineRule="auto"/>
        <w:jc w:val="center"/>
        <w:rPr>
          <w:rFonts w:hint="default" w:ascii="仿宋" w:hAnsi="仿宋" w:eastAsia="仿宋" w:cs="仿宋"/>
          <w:sz w:val="36"/>
          <w:lang w:val="en-US" w:eastAsia="zh-CN"/>
        </w:rPr>
      </w:pPr>
      <w:r>
        <w:rPr>
          <w:rFonts w:hint="eastAsia" w:ascii="仿宋" w:hAnsi="仿宋" w:eastAsia="仿宋" w:cs="仿宋"/>
          <w:sz w:val="36"/>
        </w:rPr>
        <w:t>采购编号：</w:t>
      </w:r>
      <w:r>
        <w:rPr>
          <w:rFonts w:hint="eastAsia" w:ascii="仿宋" w:hAnsi="仿宋" w:eastAsia="仿宋" w:cs="仿宋"/>
          <w:sz w:val="36"/>
          <w:lang w:val="en-US" w:eastAsia="zh-CN"/>
        </w:rPr>
        <w:t>SX-ZH-YY-2606007</w:t>
      </w:r>
    </w:p>
    <w:p w14:paraId="22E0BDC5">
      <w:pPr>
        <w:rPr>
          <w:rFonts w:hint="eastAsia" w:ascii="仿宋" w:hAnsi="仿宋" w:eastAsia="仿宋" w:cs="仿宋"/>
          <w:sz w:val="44"/>
        </w:rPr>
      </w:pPr>
    </w:p>
    <w:p w14:paraId="3BC466AB">
      <w:pPr>
        <w:rPr>
          <w:rFonts w:hint="eastAsia" w:ascii="仿宋" w:hAnsi="仿宋" w:eastAsia="仿宋" w:cs="仿宋"/>
          <w:sz w:val="44"/>
        </w:rPr>
      </w:pPr>
    </w:p>
    <w:p w14:paraId="71BC879E">
      <w:pPr>
        <w:rPr>
          <w:rFonts w:hint="eastAsia" w:ascii="仿宋" w:hAnsi="仿宋" w:eastAsia="仿宋" w:cs="仿宋"/>
          <w:sz w:val="84"/>
        </w:rPr>
      </w:pPr>
    </w:p>
    <w:p w14:paraId="47B34A86">
      <w:pPr>
        <w:jc w:val="center"/>
        <w:rPr>
          <w:rFonts w:hint="eastAsia" w:ascii="仿宋" w:hAnsi="仿宋" w:eastAsia="仿宋" w:cs="仿宋"/>
          <w:sz w:val="84"/>
        </w:rPr>
      </w:pPr>
      <w:r>
        <w:rPr>
          <w:rFonts w:hint="eastAsia" w:ascii="仿宋" w:hAnsi="仿宋" w:eastAsia="仿宋" w:cs="仿宋"/>
          <w:sz w:val="84"/>
        </w:rPr>
        <w:t>报价文件</w:t>
      </w:r>
    </w:p>
    <w:p w14:paraId="5A6860E6">
      <w:pPr>
        <w:jc w:val="center"/>
        <w:rPr>
          <w:rFonts w:hint="eastAsia" w:ascii="仿宋" w:hAnsi="仿宋" w:eastAsia="仿宋" w:cs="仿宋"/>
          <w:sz w:val="24"/>
        </w:rPr>
      </w:pPr>
    </w:p>
    <w:p w14:paraId="77679791">
      <w:pPr>
        <w:jc w:val="center"/>
        <w:rPr>
          <w:rFonts w:hint="eastAsia" w:ascii="仿宋" w:hAnsi="仿宋" w:eastAsia="仿宋" w:cs="仿宋"/>
          <w:sz w:val="24"/>
        </w:rPr>
      </w:pPr>
    </w:p>
    <w:p w14:paraId="7FDFC42B">
      <w:pPr>
        <w:spacing w:line="480" w:lineRule="auto"/>
        <w:jc w:val="center"/>
        <w:rPr>
          <w:rFonts w:hint="eastAsia" w:ascii="仿宋" w:hAnsi="仿宋" w:eastAsia="仿宋" w:cs="仿宋"/>
          <w:sz w:val="24"/>
        </w:rPr>
      </w:pPr>
    </w:p>
    <w:p w14:paraId="43B983ED">
      <w:pPr>
        <w:spacing w:line="480" w:lineRule="auto"/>
        <w:jc w:val="center"/>
        <w:rPr>
          <w:rFonts w:hint="eastAsia" w:ascii="仿宋" w:hAnsi="仿宋" w:eastAsia="仿宋" w:cs="仿宋"/>
          <w:sz w:val="24"/>
        </w:rPr>
      </w:pPr>
    </w:p>
    <w:p w14:paraId="5F0EC008">
      <w:pPr>
        <w:spacing w:line="480" w:lineRule="auto"/>
        <w:jc w:val="center"/>
        <w:rPr>
          <w:rFonts w:hint="default" w:ascii="仿宋" w:hAnsi="仿宋" w:eastAsia="仿宋" w:cs="仿宋"/>
          <w:sz w:val="36"/>
          <w:lang w:val="en-US" w:eastAsia="zh-CN"/>
        </w:rPr>
      </w:pPr>
      <w:r>
        <w:rPr>
          <w:rFonts w:hint="eastAsia" w:ascii="仿宋" w:hAnsi="仿宋" w:eastAsia="仿宋" w:cs="仿宋"/>
          <w:sz w:val="36"/>
        </w:rPr>
        <w:t>报价单位全称</w:t>
      </w:r>
      <w:r>
        <w:rPr>
          <w:rFonts w:hint="eastAsia" w:ascii="仿宋" w:hAnsi="仿宋" w:eastAsia="仿宋" w:cs="仿宋"/>
          <w:sz w:val="36"/>
          <w:lang w:eastAsia="zh-CN"/>
        </w:rPr>
        <w:t>：</w:t>
      </w:r>
      <w:r>
        <w:rPr>
          <w:rFonts w:hint="eastAsia" w:ascii="仿宋" w:hAnsi="仿宋" w:eastAsia="仿宋" w:cs="仿宋"/>
          <w:sz w:val="36"/>
          <w:lang w:val="en-US" w:eastAsia="zh-CN"/>
        </w:rPr>
        <w:t>**</w:t>
      </w:r>
    </w:p>
    <w:p w14:paraId="4F86F4E7">
      <w:pPr>
        <w:spacing w:line="480" w:lineRule="auto"/>
        <w:ind w:firstLine="3240" w:firstLineChars="900"/>
        <w:rPr>
          <w:rFonts w:hint="eastAsia" w:ascii="仿宋" w:hAnsi="仿宋" w:eastAsia="仿宋" w:cs="仿宋"/>
          <w:sz w:val="36"/>
        </w:rPr>
      </w:pPr>
      <w:r>
        <w:rPr>
          <w:rFonts w:hint="default" w:ascii="仿宋" w:hAnsi="仿宋" w:eastAsia="仿宋" w:cs="仿宋"/>
          <w:sz w:val="36"/>
          <w:lang w:val="en-US"/>
        </w:rPr>
        <w:t>202</w:t>
      </w:r>
      <w:r>
        <w:rPr>
          <w:rFonts w:hint="eastAsia" w:ascii="仿宋" w:hAnsi="仿宋" w:eastAsia="仿宋" w:cs="仿宋"/>
          <w:sz w:val="36"/>
          <w:lang w:val="en-US" w:eastAsia="zh-CN"/>
        </w:rPr>
        <w:t>6</w:t>
      </w:r>
      <w:r>
        <w:rPr>
          <w:rFonts w:hint="default" w:ascii="仿宋" w:hAnsi="仿宋" w:eastAsia="仿宋" w:cs="仿宋"/>
          <w:sz w:val="36"/>
          <w:lang w:val="en-US"/>
        </w:rPr>
        <w:t>年</w:t>
      </w:r>
      <w:r>
        <w:rPr>
          <w:rFonts w:hint="eastAsia" w:ascii="仿宋" w:hAnsi="仿宋" w:eastAsia="仿宋" w:cs="仿宋"/>
          <w:sz w:val="36"/>
          <w:lang w:val="en-US" w:eastAsia="zh-CN"/>
        </w:rPr>
        <w:t xml:space="preserve">   </w:t>
      </w:r>
      <w:r>
        <w:rPr>
          <w:rFonts w:hint="eastAsia" w:ascii="仿宋" w:hAnsi="仿宋" w:eastAsia="仿宋" w:cs="仿宋"/>
          <w:sz w:val="36"/>
        </w:rPr>
        <w:t>月</w:t>
      </w:r>
      <w:r>
        <w:rPr>
          <w:rFonts w:hint="eastAsia" w:ascii="仿宋" w:hAnsi="仿宋" w:eastAsia="仿宋" w:cs="仿宋"/>
          <w:sz w:val="36"/>
          <w:lang w:val="en-US" w:eastAsia="zh-CN"/>
        </w:rPr>
        <w:t xml:space="preserve">  </w:t>
      </w:r>
      <w:r>
        <w:rPr>
          <w:rFonts w:hint="eastAsia" w:ascii="仿宋" w:hAnsi="仿宋" w:eastAsia="仿宋" w:cs="仿宋"/>
          <w:sz w:val="36"/>
        </w:rPr>
        <w:t>日</w:t>
      </w:r>
    </w:p>
    <w:p w14:paraId="47FAE966">
      <w:pPr>
        <w:adjustRightInd w:val="0"/>
        <w:snapToGrid w:val="0"/>
        <w:spacing w:line="360" w:lineRule="auto"/>
        <w:ind w:right="480"/>
        <w:jc w:val="left"/>
        <w:rPr>
          <w:rFonts w:hint="eastAsia" w:ascii="仿宋" w:hAnsi="仿宋" w:eastAsia="仿宋" w:cs="仿宋"/>
          <w:sz w:val="30"/>
        </w:rPr>
      </w:pPr>
      <w:r>
        <w:rPr>
          <w:rStyle w:val="21"/>
          <w:rFonts w:hint="eastAsia" w:ascii="仿宋" w:hAnsi="仿宋" w:eastAsia="仿宋" w:cs="仿宋"/>
          <w:sz w:val="30"/>
        </w:rPr>
        <w:br w:type="page"/>
      </w:r>
    </w:p>
    <w:p w14:paraId="1089AAEE">
      <w:pPr>
        <w:jc w:val="left"/>
        <w:outlineLvl w:val="0"/>
        <w:rPr>
          <w:rStyle w:val="21"/>
          <w:rFonts w:hint="eastAsia" w:ascii="仿宋" w:hAnsi="仿宋" w:eastAsia="仿宋" w:cs="仿宋"/>
          <w:sz w:val="30"/>
        </w:rPr>
        <w:sectPr>
          <w:footerReference r:id="rId3" w:type="default"/>
          <w:pgSz w:w="11906" w:h="16838"/>
          <w:pgMar w:top="1701" w:right="1417" w:bottom="1134" w:left="1417" w:header="851" w:footer="992" w:gutter="0"/>
          <w:cols w:space="0" w:num="1"/>
          <w:rtlGutter w:val="0"/>
          <w:docGrid w:linePitch="312" w:charSpace="0"/>
        </w:sectPr>
      </w:pPr>
    </w:p>
    <w:p w14:paraId="23E69E62">
      <w:pPr>
        <w:jc w:val="left"/>
        <w:outlineLvl w:val="0"/>
        <w:rPr>
          <w:rStyle w:val="21"/>
          <w:rFonts w:hint="eastAsia" w:ascii="仿宋" w:hAnsi="仿宋" w:eastAsia="仿宋" w:cs="仿宋"/>
          <w:sz w:val="30"/>
        </w:rPr>
      </w:pPr>
      <w:bookmarkStart w:id="17" w:name="_Toc12044"/>
      <w:r>
        <w:rPr>
          <w:rStyle w:val="21"/>
          <w:rFonts w:hint="eastAsia" w:ascii="仿宋" w:hAnsi="仿宋" w:eastAsia="仿宋" w:cs="仿宋"/>
          <w:sz w:val="30"/>
        </w:rPr>
        <w:t>附件一：</w:t>
      </w:r>
      <w:bookmarkEnd w:id="17"/>
    </w:p>
    <w:p w14:paraId="7B642CA0">
      <w:pPr>
        <w:jc w:val="left"/>
        <w:outlineLvl w:val="0"/>
        <w:rPr>
          <w:rStyle w:val="21"/>
          <w:rFonts w:hint="eastAsia" w:ascii="仿宋" w:hAnsi="仿宋" w:eastAsia="仿宋" w:cs="仿宋"/>
          <w:sz w:val="30"/>
        </w:rPr>
      </w:pPr>
    </w:p>
    <w:p w14:paraId="651C434B">
      <w:pPr>
        <w:spacing w:line="360" w:lineRule="auto"/>
        <w:jc w:val="center"/>
        <w:rPr>
          <w:rFonts w:hint="eastAsia" w:ascii="仿宋" w:hAnsi="仿宋" w:eastAsia="仿宋" w:cs="仿宋"/>
          <w:b/>
          <w:sz w:val="44"/>
        </w:rPr>
      </w:pPr>
      <w:r>
        <w:rPr>
          <w:rFonts w:hint="eastAsia" w:ascii="仿宋" w:hAnsi="仿宋" w:eastAsia="仿宋" w:cs="仿宋"/>
          <w:b/>
          <w:sz w:val="44"/>
          <w:lang w:val="en-US" w:eastAsia="zh-CN"/>
        </w:rPr>
        <w:t>报 价 资 格</w:t>
      </w:r>
      <w:r>
        <w:rPr>
          <w:rFonts w:hint="eastAsia" w:ascii="仿宋" w:hAnsi="仿宋" w:eastAsia="仿宋" w:cs="仿宋"/>
          <w:b/>
          <w:sz w:val="44"/>
        </w:rPr>
        <w:t xml:space="preserve"> 一 览 表</w:t>
      </w:r>
    </w:p>
    <w:p w14:paraId="5A6FD88B">
      <w:pPr>
        <w:pStyle w:val="22"/>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b w:val="0"/>
          <w:sz w:val="30"/>
          <w:szCs w:val="30"/>
        </w:rPr>
      </w:pPr>
      <w:r>
        <w:rPr>
          <w:rFonts w:hint="eastAsia" w:ascii="仿宋" w:hAnsi="仿宋" w:eastAsia="仿宋" w:cs="仿宋"/>
          <w:b w:val="0"/>
          <w:sz w:val="30"/>
          <w:szCs w:val="30"/>
          <w:lang w:eastAsia="zh-CN"/>
        </w:rPr>
        <w:t>绍兴市再生能源发展有限公司</w:t>
      </w:r>
      <w:r>
        <w:rPr>
          <w:rFonts w:hint="eastAsia" w:ascii="仿宋" w:hAnsi="仿宋" w:eastAsia="仿宋" w:cs="仿宋"/>
          <w:b w:val="0"/>
          <w:sz w:val="30"/>
          <w:szCs w:val="30"/>
        </w:rPr>
        <w:t>：</w:t>
      </w:r>
    </w:p>
    <w:p w14:paraId="3E8D17FC">
      <w:pPr>
        <w:keepNext w:val="0"/>
        <w:keepLines w:val="0"/>
        <w:pageBreakBefore w:val="0"/>
        <w:widowControl w:val="0"/>
        <w:kinsoku/>
        <w:wordWrap/>
        <w:overflowPunct/>
        <w:topLinePunct w:val="0"/>
        <w:autoSpaceDE/>
        <w:autoSpaceDN/>
        <w:bidi w:val="0"/>
        <w:adjustRightInd/>
        <w:snapToGrid w:val="0"/>
        <w:spacing w:line="360" w:lineRule="auto"/>
        <w:ind w:firstLine="560" w:firstLineChars="200"/>
        <w:jc w:val="left"/>
        <w:textAlignment w:val="auto"/>
        <w:rPr>
          <w:rFonts w:hint="eastAsia" w:ascii="仿宋" w:hAnsi="仿宋" w:eastAsia="仿宋" w:cs="仿宋"/>
          <w:b/>
          <w:bCs w:val="0"/>
          <w:color w:val="FF0000"/>
          <w:sz w:val="28"/>
          <w:szCs w:val="28"/>
          <w:lang w:val="en-US" w:eastAsia="zh-CN"/>
        </w:rPr>
      </w:pPr>
      <w:r>
        <w:rPr>
          <w:rFonts w:hint="eastAsia" w:ascii="仿宋_GB2312" w:eastAsia="仿宋_GB2312"/>
          <w:sz w:val="28"/>
          <w:szCs w:val="28"/>
        </w:rPr>
        <w:t>我公司</w:t>
      </w:r>
      <w:r>
        <w:rPr>
          <w:rFonts w:hint="eastAsia" w:ascii="仿宋_GB2312" w:eastAsia="仿宋_GB2312"/>
          <w:sz w:val="28"/>
          <w:szCs w:val="28"/>
          <w:u w:val="single"/>
        </w:rPr>
        <w:t xml:space="preserve">        （报价单位名称）         </w:t>
      </w:r>
      <w:r>
        <w:rPr>
          <w:rFonts w:hint="eastAsia" w:ascii="仿宋_GB2312" w:eastAsia="仿宋_GB2312"/>
          <w:sz w:val="28"/>
          <w:szCs w:val="28"/>
        </w:rPr>
        <w:t>根据贵单位询价文件要求，</w:t>
      </w:r>
      <w:r>
        <w:rPr>
          <w:rFonts w:hint="eastAsia" w:ascii="仿宋_GB2312" w:eastAsia="仿宋_GB2312"/>
          <w:sz w:val="28"/>
          <w:szCs w:val="28"/>
          <w:lang w:eastAsia="zh-CN"/>
        </w:rPr>
        <w:t>委派</w:t>
      </w:r>
      <w:r>
        <w:rPr>
          <w:rFonts w:hint="eastAsia" w:ascii="仿宋_GB2312" w:eastAsia="仿宋_GB2312"/>
          <w:sz w:val="28"/>
          <w:szCs w:val="28"/>
          <w:u w:val="single"/>
          <w:lang w:val="en-US" w:eastAsia="zh-CN"/>
        </w:rPr>
        <w:t xml:space="preserve"> （联系人）   </w:t>
      </w:r>
      <w:r>
        <w:rPr>
          <w:rFonts w:hint="eastAsia" w:ascii="仿宋_GB2312" w:eastAsia="仿宋_GB2312"/>
          <w:sz w:val="28"/>
          <w:szCs w:val="28"/>
          <w:u w:val="none"/>
          <w:lang w:val="en-US" w:eastAsia="zh-CN"/>
        </w:rPr>
        <w:t>，联系方式</w:t>
      </w:r>
      <w:r>
        <w:rPr>
          <w:rFonts w:hint="eastAsia" w:ascii="仿宋_GB2312" w:eastAsia="仿宋_GB2312"/>
          <w:sz w:val="28"/>
          <w:szCs w:val="28"/>
          <w:u w:val="single"/>
          <w:lang w:val="en-US" w:eastAsia="zh-CN"/>
        </w:rPr>
        <w:t xml:space="preserve">                 </w:t>
      </w:r>
      <w:r>
        <w:rPr>
          <w:rFonts w:hint="eastAsia" w:ascii="仿宋" w:hAnsi="仿宋" w:eastAsia="仿宋" w:cs="仿宋"/>
          <w:sz w:val="30"/>
          <w:szCs w:val="30"/>
        </w:rPr>
        <w:t>，参加</w:t>
      </w:r>
      <w:r>
        <w:rPr>
          <w:rFonts w:hint="eastAsia" w:ascii="仿宋" w:hAnsi="仿宋" w:eastAsia="仿宋" w:cs="仿宋"/>
          <w:sz w:val="30"/>
          <w:szCs w:val="30"/>
          <w:u w:val="single"/>
        </w:rPr>
        <w:t xml:space="preserve">  </w:t>
      </w:r>
      <w:r>
        <w:rPr>
          <w:rFonts w:hint="eastAsia" w:ascii="仿宋" w:hAnsi="仿宋" w:eastAsia="仿宋" w:cs="仿宋"/>
          <w:sz w:val="30"/>
          <w:szCs w:val="30"/>
          <w:u w:val="single"/>
          <w:lang w:val="en-US" w:eastAsia="zh-CN"/>
        </w:rPr>
        <w:t xml:space="preserve">绍兴市再生能源发展有限公司会议室影音设备整体改造 </w:t>
      </w:r>
      <w:r>
        <w:rPr>
          <w:rFonts w:hint="eastAsia" w:ascii="仿宋" w:hAnsi="仿宋" w:eastAsia="仿宋" w:cs="仿宋"/>
          <w:sz w:val="30"/>
          <w:szCs w:val="30"/>
          <w:u w:val="none"/>
          <w:lang w:val="en-US" w:eastAsia="zh-CN"/>
        </w:rPr>
        <w:t>项目。</w:t>
      </w:r>
    </w:p>
    <w:tbl>
      <w:tblPr>
        <w:tblStyle w:val="13"/>
        <w:tblW w:w="5349" w:type="pct"/>
        <w:jc w:val="center"/>
        <w:tblLayout w:type="fixed"/>
        <w:tblCellMar>
          <w:top w:w="0" w:type="dxa"/>
          <w:left w:w="108" w:type="dxa"/>
          <w:bottom w:w="0" w:type="dxa"/>
          <w:right w:w="108" w:type="dxa"/>
        </w:tblCellMar>
      </w:tblPr>
      <w:tblGrid>
        <w:gridCol w:w="668"/>
        <w:gridCol w:w="1636"/>
        <w:gridCol w:w="4679"/>
        <w:gridCol w:w="546"/>
        <w:gridCol w:w="927"/>
        <w:gridCol w:w="1481"/>
      </w:tblGrid>
      <w:tr w14:paraId="75DE3995">
        <w:tblPrEx>
          <w:tblCellMar>
            <w:top w:w="0" w:type="dxa"/>
            <w:left w:w="108" w:type="dxa"/>
            <w:bottom w:w="0" w:type="dxa"/>
            <w:right w:w="108" w:type="dxa"/>
          </w:tblCellMar>
        </w:tblPrEx>
        <w:trPr>
          <w:trHeight w:val="467" w:hRule="atLeast"/>
          <w:jc w:val="center"/>
        </w:trPr>
        <w:tc>
          <w:tcPr>
            <w:tcW w:w="336" w:type="pct"/>
            <w:tcBorders>
              <w:top w:val="single" w:color="000000" w:sz="4" w:space="0"/>
              <w:left w:val="single" w:color="000000" w:sz="4" w:space="0"/>
              <w:bottom w:val="single" w:color="000000" w:sz="4" w:space="0"/>
              <w:right w:val="single" w:color="000000" w:sz="4" w:space="0"/>
            </w:tcBorders>
            <w:noWrap/>
            <w:vAlign w:val="center"/>
          </w:tcPr>
          <w:p w14:paraId="6C2AF83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序号</w:t>
            </w:r>
          </w:p>
        </w:tc>
        <w:tc>
          <w:tcPr>
            <w:tcW w:w="823" w:type="pct"/>
            <w:tcBorders>
              <w:top w:val="single" w:color="000000" w:sz="4" w:space="0"/>
              <w:left w:val="single" w:color="000000" w:sz="4" w:space="0"/>
              <w:bottom w:val="single" w:color="000000" w:sz="4" w:space="0"/>
              <w:right w:val="single" w:color="000000" w:sz="4" w:space="0"/>
            </w:tcBorders>
            <w:noWrap/>
            <w:vAlign w:val="center"/>
          </w:tcPr>
          <w:p w14:paraId="1EFF1FE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设备名称</w:t>
            </w:r>
          </w:p>
        </w:tc>
        <w:tc>
          <w:tcPr>
            <w:tcW w:w="2354" w:type="pct"/>
            <w:tcBorders>
              <w:top w:val="single" w:color="000000" w:sz="4" w:space="0"/>
              <w:left w:val="single" w:color="000000" w:sz="4" w:space="0"/>
              <w:bottom w:val="single" w:color="000000" w:sz="4" w:space="0"/>
              <w:right w:val="single" w:color="000000" w:sz="4" w:space="0"/>
            </w:tcBorders>
            <w:noWrap/>
            <w:vAlign w:val="center"/>
          </w:tcPr>
          <w:p w14:paraId="2C4D00C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详细技术参数</w:t>
            </w:r>
          </w:p>
        </w:tc>
        <w:tc>
          <w:tcPr>
            <w:tcW w:w="274" w:type="pct"/>
            <w:tcBorders>
              <w:top w:val="single" w:color="000000" w:sz="4" w:space="0"/>
              <w:left w:val="single" w:color="000000" w:sz="4" w:space="0"/>
              <w:bottom w:val="single" w:color="000000" w:sz="4" w:space="0"/>
              <w:right w:val="single" w:color="000000" w:sz="4" w:space="0"/>
            </w:tcBorders>
            <w:noWrap/>
            <w:vAlign w:val="center"/>
          </w:tcPr>
          <w:p w14:paraId="04E3FDA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数量</w:t>
            </w:r>
          </w:p>
        </w:tc>
        <w:tc>
          <w:tcPr>
            <w:tcW w:w="466" w:type="pct"/>
            <w:tcBorders>
              <w:top w:val="single" w:color="000000" w:sz="4" w:space="0"/>
              <w:left w:val="single" w:color="000000" w:sz="4" w:space="0"/>
              <w:bottom w:val="single" w:color="000000" w:sz="4" w:space="0"/>
              <w:right w:val="single" w:color="000000" w:sz="4" w:space="0"/>
            </w:tcBorders>
            <w:noWrap/>
            <w:vAlign w:val="center"/>
          </w:tcPr>
          <w:p w14:paraId="5D6A87B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单位</w:t>
            </w:r>
          </w:p>
        </w:tc>
        <w:tc>
          <w:tcPr>
            <w:tcW w:w="745" w:type="pct"/>
            <w:tcBorders>
              <w:top w:val="single" w:color="000000" w:sz="4" w:space="0"/>
              <w:left w:val="single" w:color="000000" w:sz="4" w:space="0"/>
              <w:bottom w:val="single" w:color="000000" w:sz="4" w:space="0"/>
              <w:right w:val="single" w:color="000000" w:sz="4" w:space="0"/>
            </w:tcBorders>
            <w:noWrap/>
            <w:vAlign w:val="center"/>
          </w:tcPr>
          <w:p w14:paraId="22CE104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品牌</w:t>
            </w:r>
          </w:p>
        </w:tc>
      </w:tr>
      <w:tr w14:paraId="4C5AB934">
        <w:tblPrEx>
          <w:tblCellMar>
            <w:top w:w="0" w:type="dxa"/>
            <w:left w:w="108" w:type="dxa"/>
            <w:bottom w:w="0" w:type="dxa"/>
            <w:right w:w="108" w:type="dxa"/>
          </w:tblCellMar>
        </w:tblPrEx>
        <w:trPr>
          <w:trHeight w:val="529" w:hRule="atLeast"/>
          <w:jc w:val="center"/>
        </w:trPr>
        <w:tc>
          <w:tcPr>
            <w:tcW w:w="5000" w:type="pct"/>
            <w:gridSpan w:val="6"/>
            <w:tcBorders>
              <w:top w:val="single" w:color="000000" w:sz="4" w:space="0"/>
              <w:left w:val="single" w:color="000000" w:sz="4" w:space="0"/>
              <w:bottom w:val="single" w:color="000000" w:sz="4" w:space="0"/>
              <w:right w:val="single" w:color="000000" w:sz="4" w:space="0"/>
            </w:tcBorders>
            <w:noWrap/>
            <w:vAlign w:val="center"/>
          </w:tcPr>
          <w:p w14:paraId="630F89F0">
            <w:pPr>
              <w:keepNext w:val="0"/>
              <w:keepLines w:val="0"/>
              <w:widowControl/>
              <w:suppressLineNumbers w:val="0"/>
              <w:jc w:val="center"/>
              <w:textAlignment w:val="center"/>
              <w:rPr>
                <w:rFonts w:hint="eastAsia"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电子桌牌</w:t>
            </w:r>
          </w:p>
        </w:tc>
      </w:tr>
      <w:tr w14:paraId="3EE1910E">
        <w:tblPrEx>
          <w:tblCellMar>
            <w:top w:w="0" w:type="dxa"/>
            <w:left w:w="108" w:type="dxa"/>
            <w:bottom w:w="0" w:type="dxa"/>
            <w:right w:w="108" w:type="dxa"/>
          </w:tblCellMar>
        </w:tblPrEx>
        <w:trPr>
          <w:trHeight w:val="529" w:hRule="atLeast"/>
          <w:jc w:val="center"/>
        </w:trPr>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97C64">
            <w:pPr>
              <w:keepNext w:val="0"/>
              <w:keepLines w:val="0"/>
              <w:pageBreakBefore w:val="0"/>
              <w:widowControl/>
              <w:numPr>
                <w:ilvl w:val="0"/>
                <w:numId w:val="0"/>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r>
              <w:rPr>
                <w:rFonts w:hint="default" w:ascii="仿宋" w:hAnsi="仿宋" w:eastAsia="仿宋" w:cs="仿宋"/>
                <w:i w:val="0"/>
                <w:iCs w:val="0"/>
                <w:strike w:val="0"/>
                <w:dstrike w:val="0"/>
                <w:color w:val="000000"/>
                <w:kern w:val="0"/>
                <w:sz w:val="24"/>
                <w:szCs w:val="24"/>
                <w:lang w:val="en-US" w:eastAsia="zh-CN" w:bidi="ar"/>
              </w:rPr>
              <w:t>1</w:t>
            </w:r>
          </w:p>
        </w:tc>
        <w:tc>
          <w:tcPr>
            <w:tcW w:w="8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7FD16">
            <w:pPr>
              <w:keepNext w:val="0"/>
              <w:keepLines w:val="0"/>
              <w:pageBreakBefore w:val="0"/>
              <w:widowControl/>
              <w:numPr>
                <w:ilvl w:val="0"/>
                <w:numId w:val="0"/>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r>
              <w:rPr>
                <w:rFonts w:hint="eastAsia" w:ascii="仿宋" w:hAnsi="仿宋" w:eastAsia="仿宋" w:cs="仿宋"/>
                <w:i w:val="0"/>
                <w:iCs w:val="0"/>
                <w:strike w:val="0"/>
                <w:dstrike w:val="0"/>
                <w:color w:val="000000"/>
                <w:kern w:val="0"/>
                <w:sz w:val="24"/>
                <w:szCs w:val="24"/>
                <w:u w:val="none"/>
                <w:lang w:val="en-US" w:eastAsia="zh-CN" w:bidi="ar"/>
              </w:rPr>
              <w:t>电子桌牌</w:t>
            </w:r>
          </w:p>
        </w:tc>
        <w:tc>
          <w:tcPr>
            <w:tcW w:w="235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CDEFFA">
            <w:pPr>
              <w:keepNext w:val="0"/>
              <w:keepLines w:val="0"/>
              <w:widowControl/>
              <w:suppressLineNumbers w:val="0"/>
              <w:jc w:val="left"/>
              <w:textAlignment w:val="center"/>
              <w:rPr>
                <w:rFonts w:hint="eastAsia"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尺寸：7.4英寸双面墨水屏电子桌牌</w:t>
            </w:r>
          </w:p>
          <w:p w14:paraId="4D564E74">
            <w:pPr>
              <w:keepNext w:val="0"/>
              <w:keepLines w:val="0"/>
              <w:widowControl/>
              <w:suppressLineNumbers w:val="0"/>
              <w:jc w:val="left"/>
              <w:textAlignment w:val="center"/>
              <w:rPr>
                <w:rFonts w:hint="eastAsia"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功能：无线后台批量编辑姓名职务，免反复打印，支持手机扫码即改、批量秒发，支持蓝牙/NFC远程改字，双面异显，多模块自由切换。</w:t>
            </w:r>
          </w:p>
          <w:p w14:paraId="5510F285">
            <w:pPr>
              <w:keepNext w:val="0"/>
              <w:keepLines w:val="0"/>
              <w:widowControl/>
              <w:suppressLineNumbers w:val="0"/>
              <w:jc w:val="left"/>
              <w:textAlignment w:val="center"/>
              <w:rPr>
                <w:rFonts w:hint="eastAsia"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配套：配套管理软件、集中充电收纳盒。</w:t>
            </w:r>
          </w:p>
          <w:p w14:paraId="3611E090">
            <w:pPr>
              <w:keepNext w:val="0"/>
              <w:keepLines w:val="0"/>
              <w:widowControl/>
              <w:suppressLineNumbers w:val="0"/>
              <w:jc w:val="left"/>
              <w:textAlignment w:val="center"/>
              <w:rPr>
                <w:rFonts w:hint="eastAsia" w:ascii="仿宋" w:hAnsi="仿宋" w:eastAsia="仿宋" w:cs="仿宋"/>
                <w:i w:val="0"/>
                <w:iCs w:val="0"/>
                <w:strike w:val="0"/>
                <w:dstrike w:val="0"/>
                <w:color w:val="000000"/>
                <w:kern w:val="2"/>
                <w:sz w:val="24"/>
                <w:szCs w:val="24"/>
                <w:highlight w:val="none"/>
                <w:u w:val="none"/>
                <w:lang w:val="en-US" w:eastAsia="zh-CN" w:bidi="ar-SA"/>
              </w:rPr>
            </w:pPr>
            <w:r>
              <w:rPr>
                <w:rFonts w:hint="eastAsia" w:ascii="仿宋" w:hAnsi="仿宋" w:eastAsia="仿宋" w:cs="仿宋"/>
                <w:i w:val="0"/>
                <w:iCs w:val="0"/>
                <w:strike w:val="0"/>
                <w:dstrike w:val="0"/>
                <w:color w:val="000000"/>
                <w:sz w:val="24"/>
                <w:szCs w:val="24"/>
                <w:highlight w:val="none"/>
                <w:u w:val="none"/>
                <w:lang w:val="en-US" w:eastAsia="zh-CN"/>
              </w:rPr>
              <w:t>质保：电子桌牌整机≥3年上门质保。</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48E8FD">
            <w:pPr>
              <w:keepNext w:val="0"/>
              <w:keepLines w:val="0"/>
              <w:widowControl/>
              <w:suppressLineNumbers w:val="0"/>
              <w:jc w:val="center"/>
              <w:textAlignment w:val="center"/>
              <w:rPr>
                <w:rFonts w:hint="default" w:ascii="仿宋" w:hAnsi="仿宋" w:eastAsia="仿宋" w:cs="仿宋"/>
                <w:i w:val="0"/>
                <w:iCs w:val="0"/>
                <w:strike w:val="0"/>
                <w:dstrike w:val="0"/>
                <w:color w:val="000000"/>
                <w:kern w:val="2"/>
                <w:sz w:val="24"/>
                <w:szCs w:val="24"/>
                <w:highlight w:val="none"/>
                <w:u w:val="none"/>
                <w:lang w:val="en-US" w:eastAsia="zh-CN" w:bidi="ar-SA"/>
              </w:rPr>
            </w:pPr>
            <w:r>
              <w:rPr>
                <w:rFonts w:hint="eastAsia" w:ascii="仿宋" w:hAnsi="仿宋" w:eastAsia="仿宋" w:cs="仿宋"/>
                <w:i w:val="0"/>
                <w:iCs w:val="0"/>
                <w:strike w:val="0"/>
                <w:dstrike w:val="0"/>
                <w:color w:val="000000"/>
                <w:sz w:val="24"/>
                <w:szCs w:val="24"/>
                <w:highlight w:val="none"/>
                <w:u w:val="none"/>
                <w:lang w:val="en-US" w:eastAsia="zh-CN"/>
              </w:rPr>
              <w:t>20</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F50765">
            <w:pPr>
              <w:keepNext w:val="0"/>
              <w:keepLines w:val="0"/>
              <w:widowControl/>
              <w:suppressLineNumbers w:val="0"/>
              <w:jc w:val="center"/>
              <w:textAlignment w:val="center"/>
              <w:rPr>
                <w:rFonts w:hint="default" w:ascii="仿宋" w:hAnsi="仿宋" w:eastAsia="仿宋" w:cs="仿宋"/>
                <w:i w:val="0"/>
                <w:iCs w:val="0"/>
                <w:strike w:val="0"/>
                <w:dstrike w:val="0"/>
                <w:color w:val="000000"/>
                <w:kern w:val="2"/>
                <w:sz w:val="24"/>
                <w:szCs w:val="24"/>
                <w:highlight w:val="none"/>
                <w:u w:val="none"/>
                <w:lang w:val="en-US" w:eastAsia="zh-CN" w:bidi="ar-SA"/>
              </w:rPr>
            </w:pPr>
            <w:r>
              <w:rPr>
                <w:rFonts w:hint="eastAsia" w:ascii="仿宋" w:hAnsi="仿宋" w:eastAsia="仿宋" w:cs="仿宋"/>
                <w:i w:val="0"/>
                <w:iCs w:val="0"/>
                <w:strike w:val="0"/>
                <w:dstrike w:val="0"/>
                <w:color w:val="000000"/>
                <w:sz w:val="24"/>
                <w:szCs w:val="24"/>
                <w:highlight w:val="none"/>
                <w:u w:val="none"/>
                <w:lang w:val="en-US" w:eastAsia="zh-CN"/>
              </w:rPr>
              <w:t>个</w:t>
            </w:r>
          </w:p>
        </w:tc>
        <w:tc>
          <w:tcPr>
            <w:tcW w:w="745" w:type="pct"/>
            <w:tcBorders>
              <w:top w:val="single" w:color="000000" w:sz="4" w:space="0"/>
              <w:left w:val="single" w:color="000000" w:sz="4" w:space="0"/>
              <w:bottom w:val="single" w:color="000000" w:sz="4" w:space="0"/>
              <w:right w:val="single" w:color="000000" w:sz="4" w:space="0"/>
            </w:tcBorders>
            <w:noWrap w:val="0"/>
            <w:vAlign w:val="center"/>
          </w:tcPr>
          <w:p w14:paraId="64B46B5A">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FF0000"/>
                <w:kern w:val="0"/>
                <w:sz w:val="24"/>
                <w:szCs w:val="24"/>
                <w:highlight w:val="none"/>
                <w:u w:val="none"/>
                <w:lang w:val="en-US" w:eastAsia="zh-CN" w:bidi="ar"/>
              </w:rPr>
              <w:t>京东方（BOE）、MAXHUB、皓丽</w:t>
            </w:r>
          </w:p>
        </w:tc>
      </w:tr>
      <w:tr w14:paraId="5921E946">
        <w:tblPrEx>
          <w:tblCellMar>
            <w:top w:w="0" w:type="dxa"/>
            <w:left w:w="108" w:type="dxa"/>
            <w:bottom w:w="0" w:type="dxa"/>
            <w:right w:w="108" w:type="dxa"/>
          </w:tblCellMar>
        </w:tblPrEx>
        <w:trPr>
          <w:trHeight w:val="529" w:hRule="atLeast"/>
          <w:jc w:val="center"/>
        </w:trPr>
        <w:tc>
          <w:tcPr>
            <w:tcW w:w="5000" w:type="pct"/>
            <w:gridSpan w:val="6"/>
            <w:tcBorders>
              <w:top w:val="single" w:color="000000" w:sz="4" w:space="0"/>
              <w:left w:val="single" w:color="000000" w:sz="4" w:space="0"/>
              <w:bottom w:val="single" w:color="000000" w:sz="4" w:space="0"/>
              <w:right w:val="single" w:color="000000" w:sz="4" w:space="0"/>
            </w:tcBorders>
            <w:noWrap/>
            <w:vAlign w:val="center"/>
          </w:tcPr>
          <w:p w14:paraId="04AB94F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三楼会议室智慧大屏</w:t>
            </w:r>
          </w:p>
        </w:tc>
      </w:tr>
      <w:tr w14:paraId="188A5D33">
        <w:tblPrEx>
          <w:tblCellMar>
            <w:top w:w="0" w:type="dxa"/>
            <w:left w:w="108" w:type="dxa"/>
            <w:bottom w:w="0" w:type="dxa"/>
            <w:right w:w="108" w:type="dxa"/>
          </w:tblCellMar>
        </w:tblPrEx>
        <w:trPr>
          <w:trHeight w:val="529" w:hRule="atLeast"/>
          <w:jc w:val="center"/>
        </w:trPr>
        <w:tc>
          <w:tcPr>
            <w:tcW w:w="668" w:type="dxa"/>
            <w:tcBorders>
              <w:top w:val="single" w:color="000000" w:sz="4" w:space="0"/>
              <w:left w:val="single" w:color="000000" w:sz="4" w:space="0"/>
              <w:bottom w:val="single" w:color="000000" w:sz="4" w:space="0"/>
              <w:right w:val="single" w:color="000000" w:sz="4" w:space="0"/>
            </w:tcBorders>
            <w:noWrap/>
            <w:vAlign w:val="center"/>
          </w:tcPr>
          <w:p w14:paraId="7DDB672A">
            <w:pPr>
              <w:keepNext w:val="0"/>
              <w:keepLines w:val="0"/>
              <w:pageBreakBefore w:val="0"/>
              <w:widowControl/>
              <w:numPr>
                <w:ilvl w:val="0"/>
                <w:numId w:val="0"/>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r>
              <w:rPr>
                <w:rFonts w:hint="eastAsia" w:ascii="仿宋" w:hAnsi="仿宋" w:eastAsia="仿宋" w:cs="仿宋"/>
                <w:i w:val="0"/>
                <w:iCs w:val="0"/>
                <w:strike w:val="0"/>
                <w:dstrike w:val="0"/>
                <w:color w:val="000000"/>
                <w:kern w:val="0"/>
                <w:sz w:val="24"/>
                <w:szCs w:val="24"/>
                <w:lang w:val="en-US" w:eastAsia="zh-CN" w:bidi="ar"/>
              </w:rPr>
              <w:t>2</w:t>
            </w:r>
          </w:p>
        </w:tc>
        <w:tc>
          <w:tcPr>
            <w:tcW w:w="1636" w:type="dxa"/>
            <w:tcBorders>
              <w:top w:val="single" w:color="000000" w:sz="4" w:space="0"/>
              <w:left w:val="single" w:color="000000" w:sz="4" w:space="0"/>
              <w:bottom w:val="single" w:color="000000" w:sz="4" w:space="0"/>
              <w:right w:val="single" w:color="000000" w:sz="4" w:space="0"/>
            </w:tcBorders>
            <w:noWrap/>
            <w:vAlign w:val="center"/>
          </w:tcPr>
          <w:p w14:paraId="029C3FE5">
            <w:pPr>
              <w:keepNext w:val="0"/>
              <w:keepLines w:val="0"/>
              <w:pageBreakBefore w:val="0"/>
              <w:widowControl/>
              <w:numPr>
                <w:ilvl w:val="0"/>
                <w:numId w:val="0"/>
              </w:numPr>
              <w:suppressLineNumbers w:val="0"/>
              <w:kinsoku/>
              <w:wordWrap/>
              <w:overflowPunct/>
              <w:topLinePunct w:val="0"/>
              <w:autoSpaceDE/>
              <w:autoSpaceDN/>
              <w:bidi w:val="0"/>
              <w:adjustRightInd/>
              <w:snapToGrid/>
              <w:ind w:left="0" w:leftChars="0" w:firstLine="0"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r>
              <w:rPr>
                <w:rFonts w:hint="eastAsia" w:ascii="仿宋" w:hAnsi="仿宋" w:eastAsia="仿宋" w:cs="仿宋"/>
                <w:i w:val="0"/>
                <w:iCs w:val="0"/>
                <w:strike w:val="0"/>
                <w:dstrike w:val="0"/>
                <w:color w:val="000000"/>
                <w:kern w:val="0"/>
                <w:sz w:val="24"/>
                <w:szCs w:val="24"/>
                <w:u w:val="none"/>
                <w:lang w:val="en-US" w:eastAsia="zh-CN" w:bidi="ar"/>
              </w:rPr>
              <w:t>三楼会议室智慧大屏</w:t>
            </w:r>
          </w:p>
        </w:tc>
        <w:tc>
          <w:tcPr>
            <w:tcW w:w="4679" w:type="dxa"/>
            <w:tcBorders>
              <w:top w:val="single" w:color="000000" w:sz="4" w:space="0"/>
              <w:left w:val="single" w:color="000000" w:sz="4" w:space="0"/>
              <w:bottom w:val="single" w:color="000000" w:sz="4" w:space="0"/>
              <w:right w:val="single" w:color="000000" w:sz="4" w:space="0"/>
            </w:tcBorders>
            <w:noWrap w:val="0"/>
            <w:vAlign w:val="center"/>
          </w:tcPr>
          <w:p w14:paraId="0B19E34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1.产品规格：100英寸商用智能液晶电视，非拼接屏、非激光电视、非触摸式会议平板。</w:t>
            </w:r>
          </w:p>
          <w:p w14:paraId="43B4411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2.显示规格：屏幕尺寸100英寸，16:9，物理分辨率3840×2160（4K）；采用AG防眩光商用面板，支持会议室长时间开机运行，具备防残影能力。</w:t>
            </w:r>
          </w:p>
          <w:p w14:paraId="3F22741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3.硬件系统：搭载Android或HarmonyOS智能系统；运行内存≥4GB，机身存储≥128GB；支持设备后台管理。</w:t>
            </w:r>
          </w:p>
          <w:p w14:paraId="16C8B71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4.接口配置</w:t>
            </w:r>
          </w:p>
          <w:p w14:paraId="765749A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有线网络：配置RJ45有线网口，支持有线联网；</w:t>
            </w:r>
          </w:p>
          <w:p w14:paraId="7BC4898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HDMI接口：HDMI2.0及以上接口不少于2路；</w:t>
            </w:r>
          </w:p>
          <w:p w14:paraId="02DDE99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Type‑C接口：配置1路Type‑C接口，支持视频投屏、文件读取；</w:t>
            </w:r>
          </w:p>
          <w:p w14:paraId="25F5169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USB接口：配置USB3.0、USB2.0接口，支持U盘、移动硬盘本地媒体播放；</w:t>
            </w:r>
          </w:p>
          <w:p w14:paraId="1487493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音频输出：配置同轴音频输出接口，可外接功放音响设备。</w:t>
            </w:r>
          </w:p>
          <w:p w14:paraId="6A9EA9F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5.功能要求：支持无线投屏、多画面分屏显示；支持本地音视频文件播放，开机无强制广告。</w:t>
            </w:r>
          </w:p>
          <w:p w14:paraId="7ED1DDA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6.安装配套：支持标准壁挂安装，提供壁挂支架及全套安装配件，包含设备上门安装调试。</w:t>
            </w:r>
          </w:p>
          <w:p w14:paraId="7ECB100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7.质保：提供整机不少于3年商用质保，提供本地上门售后服务。</w:t>
            </w:r>
          </w:p>
        </w:tc>
        <w:tc>
          <w:tcPr>
            <w:tcW w:w="546" w:type="dxa"/>
            <w:tcBorders>
              <w:top w:val="single" w:color="000000" w:sz="4" w:space="0"/>
              <w:left w:val="single" w:color="000000" w:sz="4" w:space="0"/>
              <w:bottom w:val="single" w:color="000000" w:sz="4" w:space="0"/>
              <w:right w:val="single" w:color="000000" w:sz="4" w:space="0"/>
            </w:tcBorders>
            <w:noWrap w:val="0"/>
            <w:vAlign w:val="center"/>
          </w:tcPr>
          <w:p w14:paraId="778F31D5">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6664ADA5">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745" w:type="pct"/>
            <w:tcBorders>
              <w:top w:val="single" w:color="000000" w:sz="4" w:space="0"/>
              <w:left w:val="single" w:color="000000" w:sz="4" w:space="0"/>
              <w:bottom w:val="single" w:color="000000" w:sz="4" w:space="0"/>
              <w:right w:val="single" w:color="000000" w:sz="4" w:space="0"/>
            </w:tcBorders>
            <w:noWrap w:val="0"/>
            <w:vAlign w:val="center"/>
          </w:tcPr>
          <w:p w14:paraId="68CB0998">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FF0000"/>
                <w:kern w:val="0"/>
                <w:sz w:val="24"/>
                <w:szCs w:val="24"/>
                <w:highlight w:val="none"/>
                <w:u w:val="none"/>
                <w:lang w:val="en-US" w:eastAsia="zh-CN" w:bidi="ar"/>
              </w:rPr>
              <w:t>海</w:t>
            </w:r>
            <w:r>
              <w:rPr>
                <w:rFonts w:hint="eastAsia" w:ascii="仿宋" w:hAnsi="仿宋" w:eastAsia="仿宋" w:cs="仿宋"/>
                <w:i w:val="0"/>
                <w:iCs w:val="0"/>
                <w:color w:val="FF0000"/>
                <w:kern w:val="0"/>
                <w:sz w:val="24"/>
                <w:szCs w:val="24"/>
                <w:u w:val="none"/>
                <w:lang w:val="en-US" w:eastAsia="zh-CN" w:bidi="ar"/>
              </w:rPr>
              <w:t>信、TCL、创维（商用系列）</w:t>
            </w:r>
          </w:p>
        </w:tc>
      </w:tr>
      <w:tr w14:paraId="0BD119B7">
        <w:tblPrEx>
          <w:tblCellMar>
            <w:top w:w="0" w:type="dxa"/>
            <w:left w:w="108" w:type="dxa"/>
            <w:bottom w:w="0" w:type="dxa"/>
            <w:right w:w="108" w:type="dxa"/>
          </w:tblCellMar>
        </w:tblPrEx>
        <w:trPr>
          <w:trHeight w:val="529" w:hRule="atLeast"/>
          <w:jc w:val="center"/>
        </w:trPr>
        <w:tc>
          <w:tcPr>
            <w:tcW w:w="5000" w:type="pct"/>
            <w:gridSpan w:val="6"/>
            <w:tcBorders>
              <w:top w:val="single" w:color="000000" w:sz="4" w:space="0"/>
              <w:left w:val="single" w:color="000000" w:sz="4" w:space="0"/>
              <w:bottom w:val="single" w:color="000000" w:sz="4" w:space="0"/>
              <w:right w:val="single" w:color="000000" w:sz="4" w:space="0"/>
            </w:tcBorders>
            <w:noWrap/>
            <w:vAlign w:val="center"/>
          </w:tcPr>
          <w:p w14:paraId="1E0B5E5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ab/>
            </w:r>
            <w:r>
              <w:rPr>
                <w:rFonts w:hint="eastAsia" w:ascii="仿宋" w:hAnsi="仿宋" w:eastAsia="仿宋" w:cs="仿宋"/>
                <w:i w:val="0"/>
                <w:iCs w:val="0"/>
                <w:color w:val="000000"/>
                <w:kern w:val="0"/>
                <w:sz w:val="24"/>
                <w:szCs w:val="24"/>
                <w:u w:val="none"/>
                <w:lang w:val="en-US" w:eastAsia="zh-CN" w:bidi="ar"/>
              </w:rPr>
              <w:t>二楼会议室LED大屏</w:t>
            </w:r>
          </w:p>
        </w:tc>
      </w:tr>
      <w:tr w14:paraId="436DA2BE">
        <w:tblPrEx>
          <w:tblCellMar>
            <w:top w:w="0" w:type="dxa"/>
            <w:left w:w="108" w:type="dxa"/>
            <w:bottom w:w="0" w:type="dxa"/>
            <w:right w:w="108" w:type="dxa"/>
          </w:tblCellMar>
        </w:tblPrEx>
        <w:trPr>
          <w:trHeight w:val="529" w:hRule="atLeast"/>
          <w:jc w:val="center"/>
        </w:trPr>
        <w:tc>
          <w:tcPr>
            <w:tcW w:w="668" w:type="dxa"/>
            <w:tcBorders>
              <w:top w:val="single" w:color="000000" w:sz="4" w:space="0"/>
              <w:left w:val="single" w:color="000000" w:sz="4" w:space="0"/>
              <w:bottom w:val="single" w:color="000000" w:sz="4" w:space="0"/>
              <w:right w:val="single" w:color="000000" w:sz="4" w:space="0"/>
            </w:tcBorders>
            <w:noWrap/>
            <w:vAlign w:val="center"/>
          </w:tcPr>
          <w:p w14:paraId="6DFFAE1F">
            <w:pPr>
              <w:keepNext w:val="0"/>
              <w:keepLines w:val="0"/>
              <w:pageBreakBefore w:val="0"/>
              <w:widowControl/>
              <w:numPr>
                <w:ilvl w:val="0"/>
                <w:numId w:val="0"/>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r>
              <w:rPr>
                <w:rFonts w:hint="eastAsia" w:ascii="仿宋" w:hAnsi="仿宋" w:eastAsia="仿宋" w:cs="仿宋"/>
                <w:i w:val="0"/>
                <w:iCs w:val="0"/>
                <w:strike w:val="0"/>
                <w:dstrike w:val="0"/>
                <w:color w:val="000000"/>
                <w:kern w:val="0"/>
                <w:sz w:val="24"/>
                <w:szCs w:val="24"/>
                <w:lang w:val="en-US" w:eastAsia="zh-CN" w:bidi="ar"/>
              </w:rPr>
              <w:t>3</w:t>
            </w:r>
          </w:p>
        </w:tc>
        <w:tc>
          <w:tcPr>
            <w:tcW w:w="1636" w:type="dxa"/>
            <w:tcBorders>
              <w:top w:val="single" w:color="000000" w:sz="4" w:space="0"/>
              <w:left w:val="single" w:color="000000" w:sz="4" w:space="0"/>
              <w:bottom w:val="single" w:color="000000" w:sz="4" w:space="0"/>
              <w:right w:val="single" w:color="000000" w:sz="4" w:space="0"/>
            </w:tcBorders>
            <w:noWrap/>
            <w:vAlign w:val="center"/>
          </w:tcPr>
          <w:p w14:paraId="49AC7A38">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olor w:val="000000"/>
                <w:sz w:val="24"/>
                <w:szCs w:val="24"/>
              </w:rPr>
              <w:t>P1.5LED</w:t>
            </w:r>
          </w:p>
        </w:tc>
        <w:tc>
          <w:tcPr>
            <w:tcW w:w="4679" w:type="dxa"/>
            <w:tcBorders>
              <w:top w:val="single" w:color="000000" w:sz="4" w:space="0"/>
              <w:left w:val="single" w:color="000000" w:sz="4" w:space="0"/>
              <w:bottom w:val="single" w:color="000000" w:sz="4" w:space="0"/>
              <w:right w:val="single" w:color="000000" w:sz="4" w:space="0"/>
            </w:tcBorders>
            <w:noWrap w:val="0"/>
            <w:vAlign w:val="center"/>
          </w:tcPr>
          <w:p w14:paraId="129FF4DC">
            <w:pPr>
              <w:keepNext w:val="0"/>
              <w:keepLines w:val="0"/>
              <w:widowControl/>
              <w:suppressLineNumbers w:val="0"/>
              <w:jc w:val="left"/>
              <w:textAlignment w:val="center"/>
              <w:rPr>
                <w:rFonts w:hint="default" w:ascii="仿宋" w:hAnsi="仿宋" w:eastAsia="仿宋" w:cs="仿宋"/>
                <w:i w:val="0"/>
                <w:iCs w:val="0"/>
                <w:color w:val="000000"/>
                <w:kern w:val="0"/>
                <w:sz w:val="24"/>
                <w:szCs w:val="24"/>
                <w:u w:val="none"/>
                <w:lang w:val="en-US" w:eastAsia="zh-CN" w:bidi="ar"/>
              </w:rPr>
            </w:pPr>
            <w:r>
              <w:rPr>
                <w:rFonts w:hint="default" w:ascii="仿宋" w:hAnsi="仿宋" w:eastAsia="仿宋" w:cs="仿宋"/>
                <w:i w:val="0"/>
                <w:iCs w:val="0"/>
                <w:color w:val="000000"/>
                <w:kern w:val="0"/>
                <w:sz w:val="24"/>
                <w:szCs w:val="24"/>
                <w:u w:val="none"/>
                <w:lang w:val="en-US" w:eastAsia="zh-CN" w:bidi="ar"/>
              </w:rPr>
              <w:t>1.像素：点间距≤1.538mm，密度≥422,500点/㎡。</w:t>
            </w:r>
            <w:r>
              <w:rPr>
                <w:rFonts w:hint="default" w:ascii="仿宋" w:hAnsi="仿宋" w:eastAsia="仿宋" w:cs="仿宋"/>
                <w:i w:val="0"/>
                <w:iCs w:val="0"/>
                <w:color w:val="000000"/>
                <w:kern w:val="0"/>
                <w:sz w:val="24"/>
                <w:szCs w:val="24"/>
                <w:u w:val="none"/>
                <w:lang w:val="en-US" w:eastAsia="zh-CN" w:bidi="ar"/>
              </w:rPr>
              <w:br w:type="textWrapping"/>
            </w:r>
            <w:r>
              <w:rPr>
                <w:rFonts w:hint="default" w:ascii="仿宋" w:hAnsi="仿宋" w:eastAsia="仿宋" w:cs="仿宋"/>
                <w:i w:val="0"/>
                <w:iCs w:val="0"/>
                <w:color w:val="000000"/>
                <w:kern w:val="0"/>
                <w:sz w:val="24"/>
                <w:szCs w:val="24"/>
                <w:u w:val="none"/>
                <w:lang w:val="en-US" w:eastAsia="zh-CN" w:bidi="ar"/>
              </w:rPr>
              <w:t>2.亮度/功耗：峰值亮度≥600cd/㎡，峰值功耗≤420W/㎡，平均功耗≤140W/㎡。</w:t>
            </w:r>
            <w:r>
              <w:rPr>
                <w:rFonts w:hint="default"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3.水平视角≥1</w:t>
            </w:r>
            <w:r>
              <w:rPr>
                <w:rFonts w:hint="default" w:ascii="仿宋" w:hAnsi="仿宋" w:eastAsia="仿宋" w:cs="仿宋"/>
                <w:i w:val="0"/>
                <w:iCs w:val="0"/>
                <w:color w:val="000000"/>
                <w:kern w:val="0"/>
                <w:sz w:val="24"/>
                <w:szCs w:val="24"/>
                <w:u w:val="none"/>
                <w:lang w:val="en-US" w:eastAsia="zh-CN" w:bidi="ar"/>
              </w:rPr>
              <w:t>70</w:t>
            </w:r>
            <w:r>
              <w:rPr>
                <w:rFonts w:hint="eastAsia" w:ascii="仿宋" w:hAnsi="仿宋" w:eastAsia="仿宋" w:cs="仿宋"/>
                <w:i w:val="0"/>
                <w:iCs w:val="0"/>
                <w:color w:val="000000"/>
                <w:kern w:val="0"/>
                <w:sz w:val="24"/>
                <w:szCs w:val="24"/>
                <w:u w:val="none"/>
                <w:lang w:val="en-US" w:eastAsia="zh-CN" w:bidi="ar"/>
              </w:rPr>
              <w:t>°，垂直视角≥1</w:t>
            </w:r>
            <w:r>
              <w:rPr>
                <w:rFonts w:hint="default" w:ascii="仿宋" w:hAnsi="仿宋" w:eastAsia="仿宋" w:cs="仿宋"/>
                <w:i w:val="0"/>
                <w:iCs w:val="0"/>
                <w:color w:val="000000"/>
                <w:kern w:val="0"/>
                <w:sz w:val="24"/>
                <w:szCs w:val="24"/>
                <w:u w:val="none"/>
                <w:lang w:val="en-US" w:eastAsia="zh-CN" w:bidi="ar"/>
              </w:rPr>
              <w:t>70</w:t>
            </w:r>
            <w:r>
              <w:rPr>
                <w:rFonts w:hint="eastAsia" w:ascii="仿宋" w:hAnsi="仿宋" w:eastAsia="仿宋" w:cs="仿宋"/>
                <w:i w:val="0"/>
                <w:iCs w:val="0"/>
                <w:color w:val="000000"/>
                <w:kern w:val="0"/>
                <w:sz w:val="24"/>
                <w:szCs w:val="24"/>
                <w:u w:val="none"/>
                <w:lang w:val="en-US" w:eastAsia="zh-CN" w:bidi="ar"/>
              </w:rPr>
              <w:t>°；基色主波长误差要求为C级：ΔλD≤5nm，亮度误差值在5</w:t>
            </w:r>
            <w:r>
              <w:rPr>
                <w:rFonts w:hint="default" w:ascii="仿宋" w:hAnsi="仿宋" w:eastAsia="仿宋" w:cs="仿宋"/>
                <w:i w:val="0"/>
                <w:iCs w:val="0"/>
                <w:color w:val="000000"/>
                <w:kern w:val="0"/>
                <w:sz w:val="24"/>
                <w:szCs w:val="24"/>
                <w:u w:val="none"/>
                <w:lang w:val="en-US" w:eastAsia="zh-CN" w:bidi="ar"/>
              </w:rPr>
              <w:t>%以内</w:t>
            </w:r>
            <w:r>
              <w:rPr>
                <w:rFonts w:hint="eastAsia" w:ascii="仿宋" w:hAnsi="仿宋" w:eastAsia="仿宋" w:cs="仿宋"/>
                <w:i w:val="0"/>
                <w:iCs w:val="0"/>
                <w:color w:val="000000"/>
                <w:kern w:val="0"/>
                <w:sz w:val="24"/>
                <w:szCs w:val="24"/>
                <w:u w:val="none"/>
                <w:lang w:val="en-US" w:eastAsia="zh-CN" w:bidi="ar"/>
              </w:rPr>
              <w:t>；</w:t>
            </w:r>
          </w:p>
          <w:p w14:paraId="5148F92A">
            <w:pPr>
              <w:keepNext w:val="0"/>
              <w:keepLines w:val="0"/>
              <w:widowControl/>
              <w:suppressLineNumbers w:val="0"/>
              <w:jc w:val="left"/>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4.亮度不低于600（cd/㎡），模组间间隙＜0</w:t>
            </w:r>
            <w:r>
              <w:rPr>
                <w:rFonts w:hint="default" w:ascii="仿宋" w:hAnsi="仿宋" w:eastAsia="仿宋" w:cs="仿宋"/>
                <w:i w:val="0"/>
                <w:iCs w:val="0"/>
                <w:color w:val="000000"/>
                <w:kern w:val="0"/>
                <w:sz w:val="24"/>
                <w:szCs w:val="24"/>
                <w:u w:val="none"/>
                <w:lang w:val="en-US" w:eastAsia="zh-CN" w:bidi="ar"/>
              </w:rPr>
              <w:t>.1mm，模组间相对错位值＜</w:t>
            </w:r>
            <w:r>
              <w:rPr>
                <w:rFonts w:hint="eastAsia" w:ascii="仿宋" w:hAnsi="仿宋" w:eastAsia="仿宋" w:cs="仿宋"/>
                <w:i w:val="0"/>
                <w:iCs w:val="0"/>
                <w:color w:val="000000"/>
                <w:kern w:val="0"/>
                <w:sz w:val="24"/>
                <w:szCs w:val="24"/>
                <w:u w:val="none"/>
                <w:lang w:val="en-US" w:eastAsia="zh-CN" w:bidi="ar"/>
              </w:rPr>
              <w:t>1</w:t>
            </w:r>
            <w:r>
              <w:rPr>
                <w:rFonts w:hint="default" w:ascii="仿宋" w:hAnsi="仿宋" w:eastAsia="仿宋" w:cs="仿宋"/>
                <w:i w:val="0"/>
                <w:iCs w:val="0"/>
                <w:color w:val="000000"/>
                <w:kern w:val="0"/>
                <w:sz w:val="24"/>
                <w:szCs w:val="24"/>
                <w:u w:val="none"/>
                <w:lang w:val="en-US" w:eastAsia="zh-CN" w:bidi="ar"/>
              </w:rPr>
              <w:t>%；亮度均匀性＞99%；色温支持2500K-9500K；发光中心距偏差＜</w:t>
            </w:r>
            <w:r>
              <w:rPr>
                <w:rFonts w:hint="eastAsia" w:ascii="仿宋" w:hAnsi="仿宋" w:eastAsia="仿宋" w:cs="仿宋"/>
                <w:i w:val="0"/>
                <w:iCs w:val="0"/>
                <w:color w:val="000000"/>
                <w:kern w:val="0"/>
                <w:sz w:val="24"/>
                <w:szCs w:val="24"/>
                <w:u w:val="none"/>
                <w:lang w:val="en-US" w:eastAsia="zh-CN" w:bidi="ar"/>
              </w:rPr>
              <w:t>1</w:t>
            </w:r>
            <w:r>
              <w:rPr>
                <w:rFonts w:hint="default" w:ascii="仿宋" w:hAnsi="仿宋" w:eastAsia="仿宋" w:cs="仿宋"/>
                <w:i w:val="0"/>
                <w:iCs w:val="0"/>
                <w:color w:val="000000"/>
                <w:kern w:val="0"/>
                <w:sz w:val="24"/>
                <w:szCs w:val="24"/>
                <w:u w:val="none"/>
                <w:lang w:val="en-US" w:eastAsia="zh-CN" w:bidi="ar"/>
              </w:rPr>
              <w:t>%；</w:t>
            </w:r>
          </w:p>
          <w:p w14:paraId="77612CC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6.刷新率：支持通过配套软件调节刷新率的设置选项，支持刷新率≥3840Hz；</w:t>
            </w:r>
          </w:p>
          <w:p w14:paraId="6916B3F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7.含接收卡、电源、信号线、电源线等配件</w:t>
            </w:r>
          </w:p>
        </w:tc>
        <w:tc>
          <w:tcPr>
            <w:tcW w:w="546" w:type="dxa"/>
            <w:tcBorders>
              <w:top w:val="single" w:color="000000" w:sz="4" w:space="0"/>
              <w:left w:val="single" w:color="000000" w:sz="4" w:space="0"/>
              <w:bottom w:val="single" w:color="000000" w:sz="4" w:space="0"/>
              <w:right w:val="single" w:color="000000" w:sz="4" w:space="0"/>
            </w:tcBorders>
            <w:noWrap w:val="0"/>
            <w:vAlign w:val="center"/>
          </w:tcPr>
          <w:p w14:paraId="45A39E6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5DB06D3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平方米</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8391A1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FF0000"/>
                <w:kern w:val="0"/>
                <w:sz w:val="24"/>
                <w:szCs w:val="24"/>
                <w:u w:val="none"/>
                <w:lang w:val="en-US" w:eastAsia="zh-CN" w:bidi="ar"/>
              </w:rPr>
              <w:t>利亚德、洲明、艾比森</w:t>
            </w:r>
          </w:p>
        </w:tc>
      </w:tr>
      <w:tr w14:paraId="6764702A">
        <w:tblPrEx>
          <w:tblCellMar>
            <w:top w:w="0" w:type="dxa"/>
            <w:left w:w="108" w:type="dxa"/>
            <w:bottom w:w="0" w:type="dxa"/>
            <w:right w:w="108" w:type="dxa"/>
          </w:tblCellMar>
        </w:tblPrEx>
        <w:trPr>
          <w:trHeight w:val="529" w:hRule="atLeast"/>
          <w:jc w:val="center"/>
        </w:trPr>
        <w:tc>
          <w:tcPr>
            <w:tcW w:w="668" w:type="dxa"/>
            <w:tcBorders>
              <w:top w:val="single" w:color="000000" w:sz="4" w:space="0"/>
              <w:left w:val="single" w:color="000000" w:sz="4" w:space="0"/>
              <w:bottom w:val="single" w:color="000000" w:sz="4" w:space="0"/>
              <w:right w:val="single" w:color="000000" w:sz="4" w:space="0"/>
            </w:tcBorders>
            <w:noWrap/>
            <w:vAlign w:val="center"/>
          </w:tcPr>
          <w:p w14:paraId="545CAFF6">
            <w:pPr>
              <w:keepNext w:val="0"/>
              <w:keepLines w:val="0"/>
              <w:pageBreakBefore w:val="0"/>
              <w:widowControl/>
              <w:numPr>
                <w:ilvl w:val="0"/>
                <w:numId w:val="0"/>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r>
              <w:rPr>
                <w:rFonts w:hint="eastAsia" w:ascii="仿宋" w:hAnsi="仿宋" w:eastAsia="仿宋" w:cs="仿宋"/>
                <w:i w:val="0"/>
                <w:iCs w:val="0"/>
                <w:strike w:val="0"/>
                <w:dstrike w:val="0"/>
                <w:color w:val="000000"/>
                <w:kern w:val="0"/>
                <w:sz w:val="24"/>
                <w:szCs w:val="24"/>
                <w:lang w:val="en-US" w:eastAsia="zh-CN" w:bidi="ar"/>
              </w:rPr>
              <w:t>4</w:t>
            </w:r>
          </w:p>
        </w:tc>
        <w:tc>
          <w:tcPr>
            <w:tcW w:w="1636" w:type="dxa"/>
            <w:tcBorders>
              <w:top w:val="single" w:color="000000" w:sz="4" w:space="0"/>
              <w:left w:val="single" w:color="000000" w:sz="4" w:space="0"/>
              <w:bottom w:val="single" w:color="000000" w:sz="4" w:space="0"/>
              <w:right w:val="single" w:color="000000" w:sz="4" w:space="0"/>
            </w:tcBorders>
            <w:noWrap/>
            <w:vAlign w:val="center"/>
          </w:tcPr>
          <w:p w14:paraId="2084D147">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olor w:val="000000"/>
                <w:sz w:val="24"/>
                <w:szCs w:val="24"/>
              </w:rPr>
              <w:t>LED钢结构框架</w:t>
            </w:r>
          </w:p>
        </w:tc>
        <w:tc>
          <w:tcPr>
            <w:tcW w:w="4679" w:type="dxa"/>
            <w:tcBorders>
              <w:top w:val="single" w:color="000000" w:sz="4" w:space="0"/>
              <w:left w:val="single" w:color="000000" w:sz="4" w:space="0"/>
              <w:bottom w:val="single" w:color="000000" w:sz="4" w:space="0"/>
              <w:right w:val="single" w:color="000000" w:sz="4" w:space="0"/>
            </w:tcBorders>
            <w:noWrap w:val="0"/>
            <w:vAlign w:val="center"/>
          </w:tcPr>
          <w:p w14:paraId="4E35BA3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LED结构钢架，根据现场实际情况定制，符合国标要求</w:t>
            </w:r>
          </w:p>
        </w:tc>
        <w:tc>
          <w:tcPr>
            <w:tcW w:w="546" w:type="dxa"/>
            <w:tcBorders>
              <w:top w:val="single" w:color="000000" w:sz="4" w:space="0"/>
              <w:left w:val="single" w:color="000000" w:sz="4" w:space="0"/>
              <w:bottom w:val="single" w:color="000000" w:sz="4" w:space="0"/>
              <w:right w:val="single" w:color="000000" w:sz="4" w:space="0"/>
            </w:tcBorders>
            <w:noWrap w:val="0"/>
            <w:vAlign w:val="center"/>
          </w:tcPr>
          <w:p w14:paraId="6D88BD8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2867171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平方米</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22EFE7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定制</w:t>
            </w:r>
          </w:p>
        </w:tc>
      </w:tr>
      <w:tr w14:paraId="6A3F1497">
        <w:tblPrEx>
          <w:tblCellMar>
            <w:top w:w="0" w:type="dxa"/>
            <w:left w:w="108" w:type="dxa"/>
            <w:bottom w:w="0" w:type="dxa"/>
            <w:right w:w="108" w:type="dxa"/>
          </w:tblCellMar>
        </w:tblPrEx>
        <w:trPr>
          <w:trHeight w:val="529" w:hRule="atLeast"/>
          <w:jc w:val="center"/>
        </w:trPr>
        <w:tc>
          <w:tcPr>
            <w:tcW w:w="668" w:type="dxa"/>
            <w:tcBorders>
              <w:top w:val="single" w:color="000000" w:sz="4" w:space="0"/>
              <w:left w:val="single" w:color="000000" w:sz="4" w:space="0"/>
              <w:bottom w:val="single" w:color="000000" w:sz="4" w:space="0"/>
              <w:right w:val="single" w:color="000000" w:sz="4" w:space="0"/>
            </w:tcBorders>
            <w:noWrap/>
            <w:vAlign w:val="center"/>
          </w:tcPr>
          <w:p w14:paraId="6E69E9ED">
            <w:pPr>
              <w:keepNext w:val="0"/>
              <w:keepLines w:val="0"/>
              <w:pageBreakBefore w:val="0"/>
              <w:widowControl/>
              <w:numPr>
                <w:ilvl w:val="0"/>
                <w:numId w:val="0"/>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r>
              <w:rPr>
                <w:rFonts w:hint="eastAsia" w:ascii="仿宋" w:hAnsi="仿宋" w:eastAsia="仿宋" w:cs="仿宋"/>
                <w:i w:val="0"/>
                <w:iCs w:val="0"/>
                <w:strike w:val="0"/>
                <w:dstrike w:val="0"/>
                <w:color w:val="000000"/>
                <w:kern w:val="0"/>
                <w:sz w:val="24"/>
                <w:szCs w:val="24"/>
                <w:lang w:val="en-US" w:eastAsia="zh-CN" w:bidi="ar"/>
              </w:rPr>
              <w:t>5</w:t>
            </w:r>
          </w:p>
        </w:tc>
        <w:tc>
          <w:tcPr>
            <w:tcW w:w="1636" w:type="dxa"/>
            <w:tcBorders>
              <w:top w:val="single" w:color="000000" w:sz="4" w:space="0"/>
              <w:left w:val="single" w:color="000000" w:sz="4" w:space="0"/>
              <w:bottom w:val="single" w:color="000000" w:sz="4" w:space="0"/>
              <w:right w:val="single" w:color="000000" w:sz="4" w:space="0"/>
            </w:tcBorders>
            <w:noWrap/>
            <w:vAlign w:val="center"/>
          </w:tcPr>
          <w:p w14:paraId="6B9CF09A">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olor w:val="000000"/>
                <w:sz w:val="24"/>
                <w:szCs w:val="24"/>
              </w:rPr>
              <w:t>LED配电箱</w:t>
            </w:r>
          </w:p>
        </w:tc>
        <w:tc>
          <w:tcPr>
            <w:tcW w:w="4679" w:type="dxa"/>
            <w:tcBorders>
              <w:top w:val="single" w:color="000000" w:sz="4" w:space="0"/>
              <w:left w:val="single" w:color="000000" w:sz="4" w:space="0"/>
              <w:bottom w:val="single" w:color="000000" w:sz="4" w:space="0"/>
              <w:right w:val="single" w:color="000000" w:sz="4" w:space="0"/>
            </w:tcBorders>
            <w:noWrap w:val="0"/>
            <w:vAlign w:val="center"/>
          </w:tcPr>
          <w:p w14:paraId="7E83D28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20kW PLC智能配电箱</w:t>
            </w:r>
          </w:p>
        </w:tc>
        <w:tc>
          <w:tcPr>
            <w:tcW w:w="546" w:type="dxa"/>
            <w:tcBorders>
              <w:top w:val="single" w:color="000000" w:sz="4" w:space="0"/>
              <w:left w:val="single" w:color="000000" w:sz="4" w:space="0"/>
              <w:bottom w:val="single" w:color="000000" w:sz="4" w:space="0"/>
              <w:right w:val="single" w:color="000000" w:sz="4" w:space="0"/>
            </w:tcBorders>
            <w:noWrap w:val="0"/>
            <w:vAlign w:val="center"/>
          </w:tcPr>
          <w:p w14:paraId="6F009A5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40D0C30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102A454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定制</w:t>
            </w:r>
          </w:p>
        </w:tc>
      </w:tr>
      <w:tr w14:paraId="072B1AB2">
        <w:tblPrEx>
          <w:tblCellMar>
            <w:top w:w="0" w:type="dxa"/>
            <w:left w:w="108" w:type="dxa"/>
            <w:bottom w:w="0" w:type="dxa"/>
            <w:right w:w="108" w:type="dxa"/>
          </w:tblCellMar>
        </w:tblPrEx>
        <w:trPr>
          <w:trHeight w:val="529" w:hRule="atLeast"/>
          <w:jc w:val="center"/>
        </w:trPr>
        <w:tc>
          <w:tcPr>
            <w:tcW w:w="668" w:type="dxa"/>
            <w:tcBorders>
              <w:top w:val="single" w:color="000000" w:sz="4" w:space="0"/>
              <w:left w:val="single" w:color="000000" w:sz="4" w:space="0"/>
              <w:bottom w:val="single" w:color="000000" w:sz="4" w:space="0"/>
              <w:right w:val="single" w:color="000000" w:sz="4" w:space="0"/>
            </w:tcBorders>
            <w:noWrap/>
            <w:vAlign w:val="center"/>
          </w:tcPr>
          <w:p w14:paraId="3B0A2A3D">
            <w:pPr>
              <w:keepNext w:val="0"/>
              <w:keepLines w:val="0"/>
              <w:pageBreakBefore w:val="0"/>
              <w:widowControl/>
              <w:numPr>
                <w:ilvl w:val="0"/>
                <w:numId w:val="0"/>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r>
              <w:rPr>
                <w:rFonts w:hint="eastAsia" w:ascii="仿宋" w:hAnsi="仿宋" w:eastAsia="仿宋" w:cs="仿宋"/>
                <w:i w:val="0"/>
                <w:iCs w:val="0"/>
                <w:strike w:val="0"/>
                <w:dstrike w:val="0"/>
                <w:color w:val="000000"/>
                <w:kern w:val="0"/>
                <w:sz w:val="24"/>
                <w:szCs w:val="24"/>
                <w:lang w:val="en-US" w:eastAsia="zh-CN" w:bidi="ar"/>
              </w:rPr>
              <w:t>6</w:t>
            </w:r>
          </w:p>
        </w:tc>
        <w:tc>
          <w:tcPr>
            <w:tcW w:w="1636" w:type="dxa"/>
            <w:tcBorders>
              <w:top w:val="single" w:color="000000" w:sz="4" w:space="0"/>
              <w:left w:val="single" w:color="000000" w:sz="4" w:space="0"/>
              <w:bottom w:val="single" w:color="000000" w:sz="4" w:space="0"/>
              <w:right w:val="single" w:color="000000" w:sz="4" w:space="0"/>
            </w:tcBorders>
            <w:noWrap/>
            <w:vAlign w:val="center"/>
          </w:tcPr>
          <w:p w14:paraId="7659C3FB">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olor w:val="000000"/>
                <w:sz w:val="24"/>
                <w:szCs w:val="24"/>
              </w:rPr>
              <w:t>数字影院解码器</w:t>
            </w:r>
          </w:p>
        </w:tc>
        <w:tc>
          <w:tcPr>
            <w:tcW w:w="4679" w:type="dxa"/>
            <w:tcBorders>
              <w:top w:val="single" w:color="000000" w:sz="4" w:space="0"/>
              <w:left w:val="single" w:color="000000" w:sz="4" w:space="0"/>
              <w:bottom w:val="single" w:color="000000" w:sz="4" w:space="0"/>
              <w:right w:val="single" w:color="000000" w:sz="4" w:space="0"/>
            </w:tcBorders>
            <w:noWrap w:val="0"/>
            <w:vAlign w:val="center"/>
          </w:tcPr>
          <w:p w14:paraId="7E07C3F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一、音频解码与处理</w:t>
            </w:r>
          </w:p>
          <w:p w14:paraId="2AA1F88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1.支持高清音频解码：Dolby TrueHD、Dolby Digital Plus、DTS‑Master Audio、DTS‑HI‑RES；向下兼容Dolby Digital（EX）、DTS、DTS‑ES、DTS96/24等7.1声道音频解码。</w:t>
            </w:r>
          </w:p>
          <w:p w14:paraId="4932AE7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2.音频输出≥10路，其中不少于6路XLR平衡输出，4路RCA非平衡输出。</w:t>
            </w:r>
          </w:p>
          <w:p w14:paraId="043539F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3.具备DSP数字音频处理，输入通道参量均衡≥15段，输出通道参量均衡≥12段；每通道支持高通、低通、延时、压限处理；内置自动声反馈抑制、噪声门功能，解决会议室话筒啸叫问题。</w:t>
            </w:r>
          </w:p>
          <w:p w14:paraId="20D6FCC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4.配备光纤、同轴数字音频输入；≥2组立体声线路输入、2组TRS输入，具备立体声录音输出接口。</w:t>
            </w:r>
          </w:p>
          <w:p w14:paraId="01DD48A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5.可设置开机音量、最大音量限制。</w:t>
            </w:r>
          </w:p>
          <w:p w14:paraId="40478FA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6.设备配备彩色LCD显示屏，支持全中文操作菜单；支持RS232中控控制。</w:t>
            </w:r>
          </w:p>
          <w:p w14:paraId="22B6CD7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二、视频处理部分</w:t>
            </w:r>
          </w:p>
          <w:p w14:paraId="3D5861D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1.HDMI输入≥3路，HDMI输出≥1路，支持HDMI切换；支持HDR10、Dolby Vision、HLG广色域输出，适配P1.5 LED显示屏。</w:t>
            </w:r>
          </w:p>
          <w:p w14:paraId="6819760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2.支持HDMI‑ARC音频回传、CEC控制；支持3D视频，兼容480P‑1080P60分辨率。</w:t>
            </w:r>
          </w:p>
        </w:tc>
        <w:tc>
          <w:tcPr>
            <w:tcW w:w="546" w:type="dxa"/>
            <w:tcBorders>
              <w:top w:val="single" w:color="000000" w:sz="4" w:space="0"/>
              <w:left w:val="single" w:color="000000" w:sz="4" w:space="0"/>
              <w:bottom w:val="single" w:color="000000" w:sz="4" w:space="0"/>
              <w:right w:val="single" w:color="000000" w:sz="4" w:space="0"/>
            </w:tcBorders>
            <w:noWrap w:val="0"/>
            <w:vAlign w:val="center"/>
          </w:tcPr>
          <w:p w14:paraId="1F1898E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359F37B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53A6F3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FF0000"/>
                <w:kern w:val="0"/>
                <w:sz w:val="24"/>
                <w:szCs w:val="24"/>
                <w:u w:val="none"/>
                <w:lang w:val="en-US" w:eastAsia="zh-CN" w:bidi="ar"/>
              </w:rPr>
              <w:t>天龙 天逸 、惠威</w:t>
            </w:r>
            <w:r>
              <w:rPr>
                <w:rFonts w:hint="eastAsia" w:ascii="仿宋" w:hAnsi="仿宋" w:eastAsia="仿宋" w:cs="仿宋"/>
                <w:i w:val="0"/>
                <w:iCs w:val="0"/>
                <w:color w:val="000000"/>
                <w:kern w:val="0"/>
                <w:sz w:val="24"/>
                <w:szCs w:val="24"/>
                <w:u w:val="none"/>
                <w:lang w:val="en-US" w:eastAsia="zh-CN" w:bidi="ar"/>
              </w:rPr>
              <w:t xml:space="preserve"> </w:t>
            </w:r>
          </w:p>
        </w:tc>
      </w:tr>
      <w:tr w14:paraId="2641EA27">
        <w:tblPrEx>
          <w:tblCellMar>
            <w:top w:w="0" w:type="dxa"/>
            <w:left w:w="108" w:type="dxa"/>
            <w:bottom w:w="0" w:type="dxa"/>
            <w:right w:w="108" w:type="dxa"/>
          </w:tblCellMar>
        </w:tblPrEx>
        <w:trPr>
          <w:trHeight w:val="529" w:hRule="atLeast"/>
          <w:jc w:val="center"/>
        </w:trPr>
        <w:tc>
          <w:tcPr>
            <w:tcW w:w="668" w:type="dxa"/>
            <w:tcBorders>
              <w:top w:val="single" w:color="000000" w:sz="4" w:space="0"/>
              <w:left w:val="single" w:color="000000" w:sz="4" w:space="0"/>
              <w:bottom w:val="single" w:color="000000" w:sz="4" w:space="0"/>
              <w:right w:val="single" w:color="000000" w:sz="4" w:space="0"/>
            </w:tcBorders>
            <w:noWrap/>
            <w:vAlign w:val="center"/>
          </w:tcPr>
          <w:p w14:paraId="67AE32A5">
            <w:pPr>
              <w:keepNext w:val="0"/>
              <w:keepLines w:val="0"/>
              <w:pageBreakBefore w:val="0"/>
              <w:widowControl/>
              <w:numPr>
                <w:ilvl w:val="0"/>
                <w:numId w:val="0"/>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r>
              <w:rPr>
                <w:rFonts w:hint="eastAsia" w:ascii="仿宋" w:hAnsi="仿宋" w:eastAsia="仿宋" w:cs="仿宋"/>
                <w:i w:val="0"/>
                <w:iCs w:val="0"/>
                <w:strike w:val="0"/>
                <w:dstrike w:val="0"/>
                <w:color w:val="000000"/>
                <w:kern w:val="0"/>
                <w:sz w:val="24"/>
                <w:szCs w:val="24"/>
                <w:lang w:val="en-US" w:eastAsia="zh-CN" w:bidi="ar"/>
              </w:rPr>
              <w:t>7</w:t>
            </w:r>
          </w:p>
        </w:tc>
        <w:tc>
          <w:tcPr>
            <w:tcW w:w="1636" w:type="dxa"/>
            <w:tcBorders>
              <w:top w:val="single" w:color="000000" w:sz="4" w:space="0"/>
              <w:left w:val="single" w:color="000000" w:sz="4" w:space="0"/>
              <w:bottom w:val="single" w:color="000000" w:sz="4" w:space="0"/>
              <w:right w:val="single" w:color="000000" w:sz="4" w:space="0"/>
            </w:tcBorders>
            <w:noWrap/>
            <w:vAlign w:val="center"/>
          </w:tcPr>
          <w:p w14:paraId="5C5BDA0C">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olor w:val="000000"/>
                <w:sz w:val="24"/>
                <w:szCs w:val="24"/>
              </w:rPr>
              <w:t>LED视频处理器</w:t>
            </w:r>
          </w:p>
        </w:tc>
        <w:tc>
          <w:tcPr>
            <w:tcW w:w="4679" w:type="dxa"/>
            <w:tcBorders>
              <w:top w:val="single" w:color="000000" w:sz="4" w:space="0"/>
              <w:left w:val="single" w:color="000000" w:sz="4" w:space="0"/>
              <w:bottom w:val="single" w:color="000000" w:sz="4" w:space="0"/>
              <w:right w:val="single" w:color="000000" w:sz="4" w:space="0"/>
            </w:tcBorders>
            <w:noWrap w:val="0"/>
            <w:vAlign w:val="center"/>
          </w:tcPr>
          <w:p w14:paraId="19E31C50">
            <w:pPr>
              <w:keepNext w:val="0"/>
              <w:keepLines w:val="0"/>
              <w:widowControl/>
              <w:suppressLineNumbers w:val="0"/>
              <w:jc w:val="left"/>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r>
              <w:rPr>
                <w:rFonts w:hint="default" w:ascii="仿宋" w:hAnsi="仿宋" w:eastAsia="仿宋" w:cs="仿宋"/>
                <w:i w:val="0"/>
                <w:iCs w:val="0"/>
                <w:color w:val="000000"/>
                <w:kern w:val="0"/>
                <w:sz w:val="24"/>
                <w:szCs w:val="24"/>
                <w:u w:val="none"/>
                <w:lang w:val="en-US" w:eastAsia="zh-CN" w:bidi="ar"/>
              </w:rPr>
              <w:t>输入接口包括1路HDMI2.0+LOOP,2路HDMI1.3，1路USB3.0，支持选配1路3G-SDI（IN+LOOP），最大支持4096*2160@60</w:t>
            </w:r>
            <w:r>
              <w:rPr>
                <w:rFonts w:hint="eastAsia" w:ascii="仿宋" w:hAnsi="仿宋" w:eastAsia="仿宋" w:cs="仿宋"/>
                <w:i w:val="0"/>
                <w:iCs w:val="0"/>
                <w:color w:val="000000"/>
                <w:kern w:val="0"/>
                <w:sz w:val="24"/>
                <w:szCs w:val="24"/>
                <w:u w:val="none"/>
                <w:lang w:val="en-US" w:eastAsia="zh-CN" w:bidi="ar"/>
              </w:rPr>
              <w:t>Hz</w:t>
            </w:r>
            <w:r>
              <w:rPr>
                <w:rFonts w:hint="default" w:ascii="仿宋" w:hAnsi="仿宋" w:eastAsia="仿宋" w:cs="仿宋"/>
                <w:i w:val="0"/>
                <w:iCs w:val="0"/>
                <w:color w:val="000000"/>
                <w:kern w:val="0"/>
                <w:sz w:val="24"/>
                <w:szCs w:val="24"/>
                <w:u w:val="none"/>
                <w:lang w:val="en-US" w:eastAsia="zh-CN" w:bidi="ar"/>
              </w:rPr>
              <w:t>信号输入；</w:t>
            </w:r>
          </w:p>
          <w:p w14:paraId="09368625">
            <w:pPr>
              <w:keepNext w:val="0"/>
              <w:keepLines w:val="0"/>
              <w:widowControl/>
              <w:suppressLineNumbers w:val="0"/>
              <w:jc w:val="left"/>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r>
              <w:rPr>
                <w:rFonts w:hint="default" w:ascii="仿宋" w:hAnsi="仿宋" w:eastAsia="仿宋" w:cs="仿宋"/>
                <w:i w:val="0"/>
                <w:iCs w:val="0"/>
                <w:color w:val="000000"/>
                <w:kern w:val="0"/>
                <w:sz w:val="24"/>
                <w:szCs w:val="24"/>
                <w:u w:val="none"/>
                <w:lang w:val="en-US" w:eastAsia="zh-CN" w:bidi="ar"/>
              </w:rPr>
              <w:t>视频输出支持6个千兆网口输出，1路10G-OPT光口，最大带载高达390万像素，最宽支持10240,最高8192。</w:t>
            </w:r>
          </w:p>
          <w:p w14:paraId="06E81809">
            <w:pPr>
              <w:keepNext w:val="0"/>
              <w:keepLines w:val="0"/>
              <w:widowControl/>
              <w:suppressLineNumbers w:val="0"/>
              <w:jc w:val="left"/>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r>
              <w:rPr>
                <w:rFonts w:hint="default" w:ascii="仿宋" w:hAnsi="仿宋" w:eastAsia="仿宋" w:cs="仿宋"/>
                <w:i w:val="0"/>
                <w:iCs w:val="0"/>
                <w:color w:val="000000"/>
                <w:kern w:val="0"/>
                <w:sz w:val="24"/>
                <w:szCs w:val="24"/>
                <w:u w:val="none"/>
                <w:lang w:val="en-US" w:eastAsia="zh-CN" w:bidi="ar"/>
              </w:rPr>
              <w:t>最大可支持6个2K图层或1个4K图层+2个2K图层，全部图层大小和位置可单独调节</w:t>
            </w:r>
            <w:r>
              <w:rPr>
                <w:rFonts w:hint="eastAsia" w:ascii="仿宋" w:hAnsi="仿宋" w:eastAsia="仿宋" w:cs="仿宋"/>
                <w:i w:val="0"/>
                <w:iCs w:val="0"/>
                <w:color w:val="000000"/>
                <w:kern w:val="0"/>
                <w:sz w:val="24"/>
                <w:szCs w:val="24"/>
                <w:u w:val="none"/>
                <w:lang w:val="en-US" w:eastAsia="zh-CN" w:bidi="ar"/>
              </w:rPr>
              <w:t>，7×24 小时稳定运行；支持定时待机画面自动切换、底图循环播放；兼容性强，搭配各品牌 LED 接收卡无花屏。</w:t>
            </w:r>
            <w:r>
              <w:rPr>
                <w:rFonts w:hint="default" w:ascii="仿宋" w:hAnsi="仿宋" w:eastAsia="仿宋" w:cs="仿宋"/>
                <w:i w:val="0"/>
                <w:iCs w:val="0"/>
                <w:color w:val="000000"/>
                <w:kern w:val="0"/>
                <w:sz w:val="24"/>
                <w:szCs w:val="24"/>
                <w:u w:val="none"/>
                <w:lang w:val="en-US" w:eastAsia="zh-CN" w:bidi="ar"/>
              </w:rPr>
              <w:t>4K接口输入2K信号，按2K图层计算图层资源；</w:t>
            </w:r>
          </w:p>
          <w:p w14:paraId="15AEAB68">
            <w:pPr>
              <w:keepNext w:val="0"/>
              <w:keepLines w:val="0"/>
              <w:widowControl/>
              <w:suppressLineNumbers w:val="0"/>
              <w:jc w:val="left"/>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r>
              <w:rPr>
                <w:rFonts w:hint="default" w:ascii="仿宋" w:hAnsi="仿宋" w:eastAsia="仿宋" w:cs="仿宋"/>
                <w:i w:val="0"/>
                <w:iCs w:val="0"/>
                <w:color w:val="000000"/>
                <w:kern w:val="0"/>
                <w:sz w:val="24"/>
                <w:szCs w:val="24"/>
                <w:u w:val="none"/>
                <w:lang w:val="en-US" w:eastAsia="zh-CN" w:bidi="ar"/>
              </w:rPr>
              <w:t>集成发送卡和视频处理器功能，连线更少，设备集成度更高，稳定性兼容性大大提升。</w:t>
            </w:r>
          </w:p>
          <w:p w14:paraId="680BAC07">
            <w:pPr>
              <w:keepNext w:val="0"/>
              <w:keepLines w:val="0"/>
              <w:widowControl/>
              <w:suppressLineNumbers w:val="0"/>
              <w:jc w:val="left"/>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r>
              <w:rPr>
                <w:rFonts w:hint="default" w:ascii="仿宋" w:hAnsi="仿宋" w:eastAsia="仿宋" w:cs="仿宋"/>
                <w:i w:val="0"/>
                <w:iCs w:val="0"/>
                <w:color w:val="000000"/>
                <w:kern w:val="0"/>
                <w:sz w:val="24"/>
                <w:szCs w:val="24"/>
                <w:u w:val="none"/>
                <w:lang w:val="en-US" w:eastAsia="zh-CN" w:bidi="ar"/>
              </w:rPr>
              <w:t>支持U盘即插即播功能，最大支持4K级（3840*2160@60fps）图片和视频的流畅播放，播放列表及切换效果支持自定义编排，最多支持20余种图片切换特效；</w:t>
            </w:r>
          </w:p>
          <w:p w14:paraId="12DB9BA4">
            <w:pPr>
              <w:keepNext w:val="0"/>
              <w:keepLines w:val="0"/>
              <w:widowControl/>
              <w:suppressLineNumbers w:val="0"/>
              <w:jc w:val="left"/>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w:t>
            </w:r>
            <w:r>
              <w:rPr>
                <w:rFonts w:hint="default" w:ascii="仿宋" w:hAnsi="仿宋" w:eastAsia="仿宋" w:cs="仿宋"/>
                <w:i w:val="0"/>
                <w:iCs w:val="0"/>
                <w:color w:val="000000"/>
                <w:kern w:val="0"/>
                <w:sz w:val="24"/>
                <w:szCs w:val="24"/>
                <w:u w:val="none"/>
                <w:lang w:val="en-US" w:eastAsia="zh-CN" w:bidi="ar"/>
              </w:rPr>
              <w:t>支持微信小程序快捷控制，平板快捷控制；</w:t>
            </w:r>
          </w:p>
          <w:p w14:paraId="326CAAD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7.配套图像处理系统支持三种画面适配模式：原始比例居中（完整显示无拉伸）、等比裁切全屏、全屏拉伸，会议文档、远程视频默认采用原始比例居中输出。</w:t>
            </w:r>
          </w:p>
        </w:tc>
        <w:tc>
          <w:tcPr>
            <w:tcW w:w="546" w:type="dxa"/>
            <w:tcBorders>
              <w:top w:val="single" w:color="000000" w:sz="4" w:space="0"/>
              <w:left w:val="single" w:color="000000" w:sz="4" w:space="0"/>
              <w:bottom w:val="single" w:color="000000" w:sz="4" w:space="0"/>
              <w:right w:val="single" w:color="000000" w:sz="4" w:space="0"/>
            </w:tcBorders>
            <w:noWrap w:val="0"/>
            <w:vAlign w:val="center"/>
          </w:tcPr>
          <w:p w14:paraId="481B7232">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olor w:val="000000"/>
                <w:sz w:val="24"/>
                <w:szCs w:val="24"/>
                <w:lang w:val="en-US" w:eastAsia="zh-CN"/>
              </w:rPr>
              <w:t>1</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51F83E91">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olor w:val="000000"/>
                <w:sz w:val="24"/>
                <w:szCs w:val="24"/>
              </w:rPr>
              <w:t>台</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7CC29A1">
            <w:pPr>
              <w:keepNext w:val="0"/>
              <w:keepLines w:val="0"/>
              <w:widowControl/>
              <w:suppressLineNumbers w:val="0"/>
              <w:jc w:val="left"/>
              <w:textAlignment w:val="center"/>
              <w:rPr>
                <w:rFonts w:hint="eastAsia" w:ascii="仿宋" w:hAnsi="仿宋" w:eastAsia="仿宋" w:cs="仿宋"/>
                <w:i w:val="0"/>
                <w:iCs w:val="0"/>
                <w:color w:val="FF0000"/>
                <w:kern w:val="0"/>
                <w:sz w:val="24"/>
                <w:szCs w:val="24"/>
                <w:u w:val="none"/>
                <w:lang w:val="en-US" w:eastAsia="zh-CN" w:bidi="ar"/>
              </w:rPr>
            </w:pPr>
            <w:r>
              <w:rPr>
                <w:rFonts w:hint="eastAsia" w:ascii="仿宋" w:hAnsi="仿宋" w:eastAsia="仿宋" w:cs="仿宋"/>
                <w:i w:val="0"/>
                <w:iCs w:val="0"/>
                <w:color w:val="FF0000"/>
                <w:kern w:val="0"/>
                <w:sz w:val="24"/>
                <w:szCs w:val="24"/>
                <w:u w:val="none"/>
                <w:lang w:val="en-US" w:eastAsia="zh-CN" w:bidi="ar"/>
              </w:rPr>
              <w:t>卡莱特、诺瓦星云、唯奥视讯</w:t>
            </w:r>
          </w:p>
        </w:tc>
      </w:tr>
      <w:tr w14:paraId="634AC2C5">
        <w:tblPrEx>
          <w:tblCellMar>
            <w:top w:w="0" w:type="dxa"/>
            <w:left w:w="108" w:type="dxa"/>
            <w:bottom w:w="0" w:type="dxa"/>
            <w:right w:w="108" w:type="dxa"/>
          </w:tblCellMar>
        </w:tblPrEx>
        <w:trPr>
          <w:trHeight w:val="529" w:hRule="atLeast"/>
          <w:jc w:val="center"/>
        </w:trPr>
        <w:tc>
          <w:tcPr>
            <w:tcW w:w="668" w:type="dxa"/>
            <w:tcBorders>
              <w:top w:val="single" w:color="000000" w:sz="4" w:space="0"/>
              <w:left w:val="single" w:color="000000" w:sz="4" w:space="0"/>
              <w:bottom w:val="single" w:color="000000" w:sz="4" w:space="0"/>
              <w:right w:val="single" w:color="000000" w:sz="4" w:space="0"/>
            </w:tcBorders>
            <w:noWrap/>
            <w:vAlign w:val="center"/>
          </w:tcPr>
          <w:p w14:paraId="346006F8">
            <w:pPr>
              <w:keepNext w:val="0"/>
              <w:keepLines w:val="0"/>
              <w:pageBreakBefore w:val="0"/>
              <w:widowControl/>
              <w:numPr>
                <w:ilvl w:val="0"/>
                <w:numId w:val="0"/>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r>
              <w:rPr>
                <w:rFonts w:hint="eastAsia" w:ascii="仿宋" w:hAnsi="仿宋" w:eastAsia="仿宋" w:cs="仿宋"/>
                <w:i w:val="0"/>
                <w:iCs w:val="0"/>
                <w:strike w:val="0"/>
                <w:dstrike w:val="0"/>
                <w:color w:val="000000"/>
                <w:kern w:val="0"/>
                <w:sz w:val="24"/>
                <w:szCs w:val="24"/>
                <w:lang w:val="en-US" w:eastAsia="zh-CN" w:bidi="ar"/>
              </w:rPr>
              <w:t>8</w:t>
            </w:r>
          </w:p>
        </w:tc>
        <w:tc>
          <w:tcPr>
            <w:tcW w:w="1636" w:type="dxa"/>
            <w:tcBorders>
              <w:top w:val="single" w:color="000000" w:sz="4" w:space="0"/>
              <w:left w:val="single" w:color="000000" w:sz="4" w:space="0"/>
              <w:bottom w:val="single" w:color="000000" w:sz="4" w:space="0"/>
              <w:right w:val="single" w:color="000000" w:sz="4" w:space="0"/>
            </w:tcBorders>
            <w:noWrap/>
            <w:vAlign w:val="center"/>
          </w:tcPr>
          <w:p w14:paraId="2ED1885E">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olor w:val="000000"/>
                <w:sz w:val="24"/>
                <w:szCs w:val="24"/>
              </w:rPr>
              <w:t>多媒体播控终端</w:t>
            </w:r>
          </w:p>
        </w:tc>
        <w:tc>
          <w:tcPr>
            <w:tcW w:w="4679" w:type="dxa"/>
            <w:tcBorders>
              <w:top w:val="single" w:color="000000" w:sz="4" w:space="0"/>
              <w:left w:val="single" w:color="000000" w:sz="4" w:space="0"/>
              <w:bottom w:val="single" w:color="000000" w:sz="4" w:space="0"/>
              <w:right w:val="single" w:color="000000" w:sz="4" w:space="0"/>
            </w:tcBorders>
            <w:noWrap w:val="0"/>
            <w:vAlign w:val="center"/>
          </w:tcPr>
          <w:p w14:paraId="49680B4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default" w:ascii="仿宋" w:hAnsi="仿宋" w:eastAsia="仿宋" w:cs="仿宋"/>
                <w:i w:val="0"/>
                <w:iCs w:val="0"/>
                <w:color w:val="000000"/>
                <w:kern w:val="0"/>
                <w:sz w:val="24"/>
                <w:szCs w:val="24"/>
                <w:u w:val="none"/>
                <w:lang w:val="en-US" w:eastAsia="zh-CN" w:bidi="ar"/>
              </w:rPr>
              <w:t>10核16线程/16GB内存/256G NVMe SSD/Quadro RTX A2000 12G显卡/500W电源/塔式机箱；具备有线和无线投屏功能。</w:t>
            </w:r>
          </w:p>
        </w:tc>
        <w:tc>
          <w:tcPr>
            <w:tcW w:w="546" w:type="dxa"/>
            <w:tcBorders>
              <w:top w:val="single" w:color="000000" w:sz="4" w:space="0"/>
              <w:left w:val="single" w:color="000000" w:sz="4" w:space="0"/>
              <w:bottom w:val="single" w:color="000000" w:sz="4" w:space="0"/>
              <w:right w:val="single" w:color="000000" w:sz="4" w:space="0"/>
            </w:tcBorders>
            <w:noWrap w:val="0"/>
            <w:vAlign w:val="center"/>
          </w:tcPr>
          <w:p w14:paraId="729B6C0B">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olor w:val="000000"/>
                <w:sz w:val="24"/>
                <w:szCs w:val="24"/>
                <w:lang w:val="en-US" w:eastAsia="zh-CN"/>
              </w:rPr>
              <w:t>1</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7DD23DB0">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olor w:val="000000"/>
                <w:sz w:val="24"/>
                <w:szCs w:val="24"/>
              </w:rPr>
              <w:t>台</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43311AA">
            <w:pPr>
              <w:keepNext w:val="0"/>
              <w:keepLines w:val="0"/>
              <w:widowControl/>
              <w:suppressLineNumbers w:val="0"/>
              <w:jc w:val="left"/>
              <w:textAlignment w:val="center"/>
              <w:rPr>
                <w:rFonts w:hint="eastAsia" w:ascii="仿宋" w:hAnsi="仿宋" w:eastAsia="仿宋" w:cs="仿宋"/>
                <w:i w:val="0"/>
                <w:iCs w:val="0"/>
                <w:color w:val="FF0000"/>
                <w:kern w:val="0"/>
                <w:sz w:val="24"/>
                <w:szCs w:val="24"/>
                <w:u w:val="none"/>
                <w:lang w:val="en-US" w:eastAsia="zh-CN" w:bidi="ar"/>
              </w:rPr>
            </w:pPr>
            <w:r>
              <w:rPr>
                <w:rFonts w:hint="eastAsia" w:ascii="仿宋" w:hAnsi="仿宋" w:eastAsia="仿宋" w:cs="仿宋"/>
                <w:i w:val="0"/>
                <w:iCs w:val="0"/>
                <w:color w:val="FF0000"/>
                <w:kern w:val="0"/>
                <w:sz w:val="24"/>
                <w:szCs w:val="24"/>
                <w:u w:val="none"/>
                <w:lang w:val="en-US" w:eastAsia="zh-CN" w:bidi="ar"/>
              </w:rPr>
              <w:t>联想、DELL、HP</w:t>
            </w:r>
          </w:p>
        </w:tc>
      </w:tr>
      <w:tr w14:paraId="73DF77A5">
        <w:tblPrEx>
          <w:tblCellMar>
            <w:top w:w="0" w:type="dxa"/>
            <w:left w:w="108" w:type="dxa"/>
            <w:bottom w:w="0" w:type="dxa"/>
            <w:right w:w="108" w:type="dxa"/>
          </w:tblCellMar>
        </w:tblPrEx>
        <w:trPr>
          <w:trHeight w:val="529" w:hRule="atLeast"/>
          <w:jc w:val="center"/>
        </w:trPr>
        <w:tc>
          <w:tcPr>
            <w:tcW w:w="336" w:type="pct"/>
            <w:tcBorders>
              <w:top w:val="single" w:color="000000" w:sz="4" w:space="0"/>
              <w:left w:val="single" w:color="000000" w:sz="4" w:space="0"/>
              <w:bottom w:val="single" w:color="000000" w:sz="4" w:space="0"/>
              <w:right w:val="single" w:color="000000" w:sz="4" w:space="0"/>
            </w:tcBorders>
            <w:noWrap/>
            <w:vAlign w:val="center"/>
          </w:tcPr>
          <w:p w14:paraId="1538EDD1">
            <w:pPr>
              <w:keepNext w:val="0"/>
              <w:keepLines w:val="0"/>
              <w:pageBreakBefore w:val="0"/>
              <w:widowControl/>
              <w:numPr>
                <w:ilvl w:val="0"/>
                <w:numId w:val="0"/>
              </w:numPr>
              <w:suppressLineNumbers w:val="0"/>
              <w:kinsoku/>
              <w:wordWrap/>
              <w:overflowPunct/>
              <w:topLinePunct w:val="0"/>
              <w:autoSpaceDE/>
              <w:autoSpaceDN/>
              <w:bidi w:val="0"/>
              <w:adjustRightInd/>
              <w:snapToGrid/>
              <w:ind w:left="0" w:leftChars="0" w:firstLine="0" w:firstLineChars="0"/>
              <w:jc w:val="center"/>
              <w:textAlignment w:val="center"/>
              <w:rPr>
                <w:rFonts w:hint="default" w:ascii="仿宋" w:hAnsi="仿宋" w:eastAsia="仿宋" w:cs="仿宋"/>
                <w:i w:val="0"/>
                <w:iCs w:val="0"/>
                <w:strike w:val="0"/>
                <w:dstrike w:val="0"/>
                <w:color w:val="000000"/>
                <w:kern w:val="0"/>
                <w:sz w:val="24"/>
                <w:szCs w:val="24"/>
                <w:lang w:val="en-US" w:eastAsia="zh-CN" w:bidi="ar"/>
              </w:rPr>
            </w:pPr>
            <w:r>
              <w:rPr>
                <w:rFonts w:hint="eastAsia" w:ascii="仿宋" w:hAnsi="仿宋" w:eastAsia="仿宋" w:cs="仿宋"/>
                <w:i w:val="0"/>
                <w:iCs w:val="0"/>
                <w:strike w:val="0"/>
                <w:dstrike w:val="0"/>
                <w:color w:val="000000"/>
                <w:kern w:val="0"/>
                <w:sz w:val="24"/>
                <w:szCs w:val="24"/>
                <w:lang w:val="en-US" w:eastAsia="zh-CN" w:bidi="ar"/>
              </w:rPr>
              <w:t>备注</w:t>
            </w:r>
          </w:p>
        </w:tc>
        <w:tc>
          <w:tcPr>
            <w:tcW w:w="4663" w:type="pct"/>
            <w:gridSpan w:val="5"/>
            <w:tcBorders>
              <w:top w:val="single" w:color="000000" w:sz="4" w:space="0"/>
              <w:left w:val="single" w:color="000000" w:sz="4" w:space="0"/>
              <w:bottom w:val="single" w:color="000000" w:sz="4" w:space="0"/>
              <w:right w:val="single" w:color="000000" w:sz="4" w:space="0"/>
            </w:tcBorders>
            <w:noWrap/>
            <w:vAlign w:val="center"/>
          </w:tcPr>
          <w:p w14:paraId="7F174F9A">
            <w:pPr>
              <w:keepNext w:val="0"/>
              <w:keepLines w:val="0"/>
              <w:pageBreakBefore w:val="0"/>
              <w:kinsoku/>
              <w:wordWrap/>
              <w:overflowPunct/>
              <w:topLinePunct w:val="0"/>
              <w:autoSpaceDE/>
              <w:autoSpaceDN/>
              <w:bidi w:val="0"/>
              <w:adjustRightInd/>
              <w:snapToGrid/>
              <w:ind w:left="0"/>
              <w:jc w:val="left"/>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本项目采用固定总价包干模式，报价须涵盖设备、辅材、布线、运输、安装调试、保险及质保售后等完成本项目所需的一切费用。“P1.5LED”及“LED钢结构框架”数量为暂估量，最终结算面积上限为7平方米，若实际施工面积超过7平方米，超出部分视为供货方让利，采购人不予追加任何费用。供货方须自行踏勘现场并精确测量，将拆除、开孔、复原修复及墙体加固等全部工作量纳入报价，最终报价视为已包含全部现场风险，结算时不作调整且不得以现场情况不明为由追加费用；报价须包含LED显示屏整屏面积3%的备用模组，于验收时随设备无偿移交采购人留存用于后期维修更换，不再另行支付费用；所有电源线、信号线须优先暗敷严禁裸露明挂，因安装产生的墙面孔洞、开槽破损及墙体加固造成的破坏均由供货方负责修补复原；项目竣工验收除设备功能达标外，建筑装饰复原完好、无施工破损痕迹方可视为验收合格。</w:t>
            </w:r>
          </w:p>
        </w:tc>
      </w:tr>
    </w:tbl>
    <w:p w14:paraId="6A98F7F9">
      <w:pPr>
        <w:pStyle w:val="20"/>
        <w:keepNext w:val="0"/>
        <w:keepLines w:val="0"/>
        <w:pageBreakBefore w:val="0"/>
        <w:widowControl/>
        <w:kinsoku/>
        <w:wordWrap/>
        <w:overflowPunct/>
        <w:topLinePunct w:val="0"/>
        <w:autoSpaceDE/>
        <w:autoSpaceDN/>
        <w:bidi w:val="0"/>
        <w:adjustRightInd/>
        <w:snapToGrid w:val="0"/>
        <w:spacing w:line="360" w:lineRule="auto"/>
        <w:ind w:left="0" w:leftChars="0" w:firstLine="0" w:firstLineChars="0"/>
        <w:textAlignment w:val="baseline"/>
        <w:rPr>
          <w:rFonts w:hint="eastAsia" w:ascii="仿宋" w:hAnsi="仿宋" w:eastAsia="仿宋" w:cs="仿宋"/>
          <w:b/>
          <w:bCs w:val="0"/>
          <w:color w:val="FF0000"/>
          <w:sz w:val="28"/>
          <w:szCs w:val="28"/>
          <w:lang w:val="en-US" w:eastAsia="zh-CN"/>
        </w:rPr>
      </w:pPr>
    </w:p>
    <w:p w14:paraId="06F2C8A4">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相关要求：</w:t>
      </w:r>
    </w:p>
    <w:p w14:paraId="2115B254">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_GB2312" w:eastAsia="仿宋_GB2312"/>
          <w:color w:val="FF0000"/>
          <w:kern w:val="2"/>
          <w:sz w:val="30"/>
          <w:szCs w:val="30"/>
          <w:highlight w:val="none"/>
          <w:lang w:val="en-US" w:eastAsia="zh-CN"/>
        </w:rPr>
      </w:pPr>
      <w:r>
        <w:rPr>
          <w:rFonts w:hint="eastAsia" w:ascii="仿宋_GB2312" w:eastAsia="仿宋_GB2312"/>
          <w:color w:val="FF0000"/>
          <w:kern w:val="2"/>
          <w:sz w:val="30"/>
          <w:szCs w:val="30"/>
          <w:highlight w:val="none"/>
          <w:lang w:val="en-US" w:eastAsia="zh-CN"/>
        </w:rPr>
        <w:t>1.报价资格一览表内不得显示价格。</w:t>
      </w:r>
    </w:p>
    <w:p w14:paraId="4C21A976">
      <w:pPr>
        <w:keepNext w:val="0"/>
        <w:keepLines w:val="0"/>
        <w:pageBreakBefore w:val="0"/>
        <w:widowControl w:val="0"/>
        <w:kinsoku/>
        <w:wordWrap/>
        <w:overflowPunct/>
        <w:topLinePunct w:val="0"/>
        <w:autoSpaceDE/>
        <w:autoSpaceDN/>
        <w:bidi w:val="0"/>
        <w:adjustRightInd/>
        <w:snapToGrid w:val="0"/>
        <w:spacing w:line="360" w:lineRule="auto"/>
        <w:ind w:left="0" w:leftChars="0" w:firstLine="600" w:firstLineChars="200"/>
        <w:jc w:val="left"/>
        <w:textAlignment w:val="auto"/>
        <w:rPr>
          <w:rFonts w:hint="eastAsia" w:ascii="仿宋_GB2312" w:eastAsia="仿宋_GB2312"/>
          <w:color w:val="FF0000"/>
          <w:kern w:val="2"/>
          <w:sz w:val="30"/>
          <w:szCs w:val="30"/>
          <w:highlight w:val="none"/>
          <w:lang w:val="en-US" w:eastAsia="zh-CN"/>
        </w:rPr>
      </w:pPr>
      <w:r>
        <w:rPr>
          <w:rFonts w:hint="eastAsia" w:ascii="仿宋_GB2312" w:eastAsia="仿宋_GB2312"/>
          <w:color w:val="FF0000"/>
          <w:kern w:val="2"/>
          <w:sz w:val="30"/>
          <w:szCs w:val="30"/>
          <w:highlight w:val="none"/>
          <w:lang w:val="en-US" w:eastAsia="zh-CN"/>
        </w:rPr>
        <w:t>2.品牌填报要求：报价人须对报价表中每一项产品的品牌进行明确填报。</w:t>
      </w:r>
    </w:p>
    <w:p w14:paraId="06703073">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_GB2312" w:eastAsia="仿宋_GB2312"/>
          <w:color w:val="FF0000"/>
          <w:kern w:val="2"/>
          <w:sz w:val="30"/>
          <w:szCs w:val="30"/>
          <w:highlight w:val="none"/>
          <w:lang w:val="en-US" w:eastAsia="zh-CN"/>
        </w:rPr>
      </w:pPr>
      <w:r>
        <w:rPr>
          <w:rFonts w:hint="eastAsia" w:ascii="仿宋_GB2312" w:eastAsia="仿宋_GB2312"/>
          <w:color w:val="FF0000"/>
          <w:kern w:val="2"/>
          <w:sz w:val="30"/>
          <w:szCs w:val="30"/>
          <w:highlight w:val="none"/>
          <w:lang w:val="en-US" w:eastAsia="zh-CN"/>
        </w:rPr>
        <w:t>①关于指定品牌：报价表“品牌”栏中以红色字体标注的内容为采购人指定的可选品牌。报价人须严格响应上述指定品牌，严禁擅自修改、替换或提供指定范围以外的品牌。若报价人未按要求响应，其投标将被否决（或该项报价按无效处理）。</w:t>
      </w:r>
    </w:p>
    <w:p w14:paraId="7BD8C1A4">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lang w:val="en-US" w:eastAsia="zh-CN"/>
        </w:rPr>
      </w:pPr>
      <w:r>
        <w:rPr>
          <w:rFonts w:hint="eastAsia" w:ascii="仿宋_GB2312" w:eastAsia="仿宋_GB2312"/>
          <w:color w:val="FF0000"/>
          <w:kern w:val="2"/>
          <w:sz w:val="30"/>
          <w:szCs w:val="30"/>
          <w:highlight w:val="none"/>
          <w:lang w:val="en-US" w:eastAsia="zh-CN"/>
        </w:rPr>
        <w:t>②关于非指定品牌：表格内未以红色字体标注的产品，报价人可根据自身产品情况如实填写具体品牌。</w:t>
      </w:r>
    </w:p>
    <w:p w14:paraId="4A5B8B10">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default" w:ascii="仿宋" w:hAnsi="仿宋" w:eastAsia="仿宋" w:cs="仿宋"/>
          <w:b/>
          <w:bCs/>
          <w:color w:val="FF0000"/>
          <w:sz w:val="30"/>
          <w:szCs w:val="30"/>
          <w:highlight w:val="none"/>
          <w:lang w:val="en-US" w:eastAsia="zh-CN"/>
        </w:rPr>
      </w:pPr>
      <w:r>
        <w:rPr>
          <w:rFonts w:hint="eastAsia" w:ascii="仿宋_GB2312" w:eastAsia="仿宋_GB2312"/>
          <w:color w:val="FF0000"/>
          <w:kern w:val="2"/>
          <w:sz w:val="30"/>
          <w:szCs w:val="30"/>
          <w:highlight w:val="none"/>
          <w:lang w:val="en-US" w:eastAsia="zh-CN"/>
        </w:rPr>
        <w:t>3.此附表需与报价文件分开包装，封装方式与报价文件相同（正本1份，副本4份），共同递交至绍兴市再生能源发展有限公司综合楼一楼投标箱。</w:t>
      </w:r>
    </w:p>
    <w:p w14:paraId="70CF1B39">
      <w:pPr>
        <w:keepNext w:val="0"/>
        <w:keepLines w:val="0"/>
        <w:pageBreakBefore w:val="0"/>
        <w:widowControl w:val="0"/>
        <w:kinsoku/>
        <w:wordWrap/>
        <w:overflowPunct/>
        <w:topLinePunct w:val="0"/>
        <w:autoSpaceDE/>
        <w:autoSpaceDN/>
        <w:bidi w:val="0"/>
        <w:adjustRightInd/>
        <w:snapToGrid w:val="0"/>
        <w:spacing w:line="360" w:lineRule="auto"/>
        <w:ind w:firstLine="602" w:firstLineChars="200"/>
        <w:jc w:val="both"/>
        <w:textAlignment w:val="auto"/>
        <w:rPr>
          <w:rFonts w:hint="eastAsia" w:ascii="仿宋" w:hAnsi="仿宋" w:eastAsia="仿宋" w:cs="仿宋"/>
          <w:sz w:val="30"/>
          <w:szCs w:val="30"/>
          <w:lang w:val="en-US" w:eastAsia="zh-CN"/>
        </w:rPr>
      </w:pPr>
      <w:r>
        <w:rPr>
          <w:rFonts w:hint="eastAsia" w:ascii="仿宋_GB2312" w:eastAsia="仿宋_GB2312"/>
          <w:b/>
          <w:bCs/>
          <w:color w:val="FF0000"/>
          <w:kern w:val="2"/>
          <w:sz w:val="30"/>
          <w:szCs w:val="30"/>
          <w:highlight w:val="none"/>
          <w:lang w:eastAsia="zh-CN"/>
        </w:rPr>
        <w:t>【未满足</w:t>
      </w:r>
      <w:r>
        <w:rPr>
          <w:rFonts w:hint="eastAsia" w:ascii="仿宋_GB2312" w:eastAsia="仿宋_GB2312"/>
          <w:b/>
          <w:bCs/>
          <w:color w:val="FF0000"/>
          <w:kern w:val="2"/>
          <w:sz w:val="30"/>
          <w:szCs w:val="30"/>
          <w:highlight w:val="none"/>
          <w:lang w:val="en-US" w:eastAsia="zh-CN"/>
        </w:rPr>
        <w:t>以上</w:t>
      </w:r>
      <w:r>
        <w:rPr>
          <w:rFonts w:hint="eastAsia" w:ascii="仿宋_GB2312" w:eastAsia="仿宋_GB2312"/>
          <w:b/>
          <w:bCs/>
          <w:color w:val="FF0000"/>
          <w:kern w:val="2"/>
          <w:sz w:val="30"/>
          <w:szCs w:val="30"/>
          <w:highlight w:val="none"/>
          <w:lang w:eastAsia="zh-CN"/>
        </w:rPr>
        <w:t>条件则视为无效投标，</w:t>
      </w:r>
      <w:r>
        <w:rPr>
          <w:rFonts w:hint="eastAsia" w:ascii="仿宋_GB2312" w:eastAsia="仿宋_GB2312"/>
          <w:b/>
          <w:bCs/>
          <w:color w:val="FF0000"/>
          <w:kern w:val="2"/>
          <w:sz w:val="30"/>
          <w:szCs w:val="30"/>
          <w:highlight w:val="none"/>
          <w:lang w:val="en-US" w:eastAsia="zh-CN"/>
        </w:rPr>
        <w:t>且报价文件一同作废，不再进入后续的评审与比较环节</w:t>
      </w:r>
      <w:r>
        <w:rPr>
          <w:rFonts w:hint="eastAsia" w:ascii="仿宋_GB2312" w:eastAsia="仿宋_GB2312"/>
          <w:b/>
          <w:bCs/>
          <w:color w:val="FF0000"/>
          <w:kern w:val="2"/>
          <w:sz w:val="30"/>
          <w:szCs w:val="30"/>
          <w:highlight w:val="none"/>
          <w:lang w:eastAsia="zh-CN"/>
        </w:rPr>
        <w:t>】</w:t>
      </w:r>
    </w:p>
    <w:p w14:paraId="47734B1F">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24"/>
          <w:szCs w:val="24"/>
        </w:rPr>
      </w:pPr>
      <w:r>
        <w:rPr>
          <w:rFonts w:hint="eastAsia" w:ascii="仿宋" w:hAnsi="仿宋" w:eastAsia="仿宋" w:cs="仿宋"/>
          <w:sz w:val="30"/>
          <w:szCs w:val="30"/>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p>
    <w:p w14:paraId="5E4F92D7">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sz w:val="24"/>
          <w:szCs w:val="24"/>
        </w:rPr>
      </w:pPr>
    </w:p>
    <w:p w14:paraId="68506379">
      <w:pPr>
        <w:snapToGrid w:val="0"/>
        <w:ind w:firstLine="480" w:firstLineChars="200"/>
        <w:jc w:val="right"/>
        <w:rPr>
          <w:rFonts w:hint="eastAsia" w:ascii="仿宋" w:hAnsi="仿宋" w:eastAsia="仿宋" w:cs="仿宋"/>
          <w:sz w:val="24"/>
          <w:szCs w:val="24"/>
        </w:rPr>
      </w:pPr>
      <w:r>
        <w:rPr>
          <w:rFonts w:hint="eastAsia" w:ascii="仿宋" w:hAnsi="仿宋" w:eastAsia="仿宋" w:cs="仿宋"/>
          <w:sz w:val="24"/>
          <w:szCs w:val="24"/>
        </w:rPr>
        <w:t>报价单位名称（公章）：</w:t>
      </w:r>
    </w:p>
    <w:p w14:paraId="5D6791C7">
      <w:pPr>
        <w:snapToGrid w:val="0"/>
        <w:ind w:firstLine="480" w:firstLineChars="200"/>
        <w:jc w:val="right"/>
        <w:rPr>
          <w:rFonts w:hint="eastAsia" w:ascii="仿宋" w:hAnsi="仿宋" w:eastAsia="仿宋" w:cs="仿宋"/>
          <w:sz w:val="24"/>
          <w:szCs w:val="24"/>
        </w:rPr>
      </w:pP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 xml:space="preserve">           </w:t>
      </w:r>
      <w:r>
        <w:rPr>
          <w:rFonts w:hint="default" w:ascii="仿宋" w:hAnsi="仿宋" w:eastAsia="仿宋" w:cs="仿宋"/>
          <w:sz w:val="24"/>
          <w:szCs w:val="24"/>
          <w:lang w:val="en-US"/>
        </w:rPr>
        <w:t>202</w:t>
      </w:r>
      <w:r>
        <w:rPr>
          <w:rFonts w:hint="eastAsia" w:ascii="仿宋" w:hAnsi="仿宋" w:eastAsia="仿宋" w:cs="仿宋"/>
          <w:sz w:val="24"/>
          <w:szCs w:val="24"/>
          <w:lang w:val="en-US" w:eastAsia="zh-CN"/>
        </w:rPr>
        <w:t>6</w:t>
      </w:r>
      <w:r>
        <w:rPr>
          <w:rFonts w:hint="default" w:ascii="仿宋" w:hAnsi="仿宋" w:eastAsia="仿宋" w:cs="仿宋"/>
          <w:sz w:val="24"/>
          <w:szCs w:val="24"/>
          <w:lang w:val="en-US"/>
        </w:rPr>
        <w:t>年</w:t>
      </w:r>
      <w:r>
        <w:rPr>
          <w:rFonts w:hint="eastAsia" w:ascii="仿宋" w:hAnsi="仿宋" w:eastAsia="仿宋" w:cs="仿宋"/>
          <w:sz w:val="24"/>
          <w:szCs w:val="24"/>
        </w:rPr>
        <w:t xml:space="preserve"> 月 日</w:t>
      </w:r>
    </w:p>
    <w:p w14:paraId="2ECE39BF">
      <w:pPr>
        <w:jc w:val="left"/>
        <w:outlineLvl w:val="0"/>
        <w:rPr>
          <w:rStyle w:val="21"/>
          <w:rFonts w:hint="eastAsia" w:ascii="仿宋" w:hAnsi="仿宋" w:eastAsia="仿宋" w:cs="仿宋"/>
          <w:sz w:val="30"/>
        </w:rPr>
      </w:pPr>
    </w:p>
    <w:p w14:paraId="4A931E0D">
      <w:pPr>
        <w:jc w:val="left"/>
        <w:outlineLvl w:val="0"/>
        <w:rPr>
          <w:rStyle w:val="21"/>
          <w:rFonts w:hint="eastAsia" w:ascii="仿宋" w:hAnsi="仿宋" w:eastAsia="仿宋" w:cs="仿宋"/>
          <w:sz w:val="30"/>
        </w:rPr>
      </w:pPr>
    </w:p>
    <w:p w14:paraId="289347F0">
      <w:pPr>
        <w:jc w:val="left"/>
        <w:outlineLvl w:val="0"/>
        <w:rPr>
          <w:rStyle w:val="21"/>
          <w:rFonts w:hint="eastAsia" w:ascii="仿宋" w:hAnsi="仿宋" w:eastAsia="仿宋" w:cs="仿宋"/>
          <w:sz w:val="30"/>
        </w:rPr>
      </w:pPr>
    </w:p>
    <w:p w14:paraId="08CA967B">
      <w:pPr>
        <w:jc w:val="left"/>
        <w:outlineLvl w:val="0"/>
        <w:rPr>
          <w:rStyle w:val="21"/>
          <w:rFonts w:hint="eastAsia" w:ascii="仿宋" w:hAnsi="仿宋" w:eastAsia="仿宋" w:cs="仿宋"/>
          <w:sz w:val="30"/>
        </w:rPr>
      </w:pPr>
      <w:bookmarkStart w:id="18" w:name="_Toc18885"/>
      <w:r>
        <w:rPr>
          <w:rStyle w:val="21"/>
          <w:rFonts w:hint="eastAsia" w:ascii="仿宋" w:hAnsi="仿宋" w:eastAsia="仿宋" w:cs="仿宋"/>
          <w:sz w:val="30"/>
        </w:rPr>
        <w:t>附件</w:t>
      </w:r>
      <w:r>
        <w:rPr>
          <w:rStyle w:val="21"/>
          <w:rFonts w:hint="eastAsia" w:ascii="仿宋" w:hAnsi="仿宋" w:eastAsia="仿宋" w:cs="仿宋"/>
          <w:sz w:val="30"/>
          <w:lang w:val="en-US"/>
        </w:rPr>
        <w:t>二</w:t>
      </w:r>
      <w:r>
        <w:rPr>
          <w:rStyle w:val="21"/>
          <w:rFonts w:hint="eastAsia" w:ascii="仿宋" w:hAnsi="仿宋" w:eastAsia="仿宋" w:cs="仿宋"/>
          <w:sz w:val="30"/>
        </w:rPr>
        <w:t>：</w:t>
      </w:r>
      <w:bookmarkEnd w:id="18"/>
    </w:p>
    <w:p w14:paraId="2ECC617D">
      <w:pPr>
        <w:spacing w:line="360" w:lineRule="auto"/>
        <w:jc w:val="center"/>
        <w:rPr>
          <w:rFonts w:hint="eastAsia" w:ascii="仿宋" w:hAnsi="仿宋" w:eastAsia="仿宋" w:cs="仿宋"/>
          <w:b/>
          <w:sz w:val="44"/>
        </w:rPr>
      </w:pPr>
      <w:r>
        <w:rPr>
          <w:rFonts w:hint="eastAsia" w:ascii="仿宋" w:hAnsi="仿宋" w:eastAsia="仿宋" w:cs="仿宋"/>
          <w:b/>
          <w:sz w:val="44"/>
        </w:rPr>
        <w:t>报 价 一 览 表</w:t>
      </w:r>
    </w:p>
    <w:p w14:paraId="42106014">
      <w:pPr>
        <w:pStyle w:val="22"/>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b w:val="0"/>
          <w:sz w:val="30"/>
          <w:szCs w:val="30"/>
        </w:rPr>
      </w:pPr>
      <w:r>
        <w:rPr>
          <w:rFonts w:hint="eastAsia" w:ascii="仿宋" w:hAnsi="仿宋" w:eastAsia="仿宋" w:cs="仿宋"/>
          <w:b w:val="0"/>
          <w:sz w:val="30"/>
          <w:szCs w:val="30"/>
          <w:lang w:eastAsia="zh-CN"/>
        </w:rPr>
        <w:t>绍兴市再生能源发展有限公司</w:t>
      </w:r>
      <w:r>
        <w:rPr>
          <w:rFonts w:hint="eastAsia" w:ascii="仿宋" w:hAnsi="仿宋" w:eastAsia="仿宋" w:cs="仿宋"/>
          <w:b w:val="0"/>
          <w:sz w:val="30"/>
          <w:szCs w:val="30"/>
        </w:rPr>
        <w:t>：</w:t>
      </w:r>
    </w:p>
    <w:p w14:paraId="64A5D01F">
      <w:pPr>
        <w:keepNext w:val="0"/>
        <w:keepLines w:val="0"/>
        <w:pageBreakBefore w:val="0"/>
        <w:widowControl w:val="0"/>
        <w:kinsoku/>
        <w:wordWrap/>
        <w:overflowPunct/>
        <w:topLinePunct w:val="0"/>
        <w:autoSpaceDE/>
        <w:autoSpaceDN/>
        <w:bidi w:val="0"/>
        <w:adjustRightInd/>
        <w:snapToGrid w:val="0"/>
        <w:spacing w:line="360" w:lineRule="auto"/>
        <w:ind w:firstLine="560" w:firstLineChars="200"/>
        <w:jc w:val="left"/>
        <w:textAlignment w:val="auto"/>
        <w:rPr>
          <w:rFonts w:hint="eastAsia" w:ascii="仿宋" w:hAnsi="仿宋" w:eastAsia="仿宋" w:cs="仿宋"/>
          <w:sz w:val="30"/>
          <w:szCs w:val="30"/>
        </w:rPr>
      </w:pPr>
      <w:r>
        <w:rPr>
          <w:rFonts w:hint="eastAsia" w:ascii="仿宋_GB2312" w:eastAsia="仿宋_GB2312"/>
          <w:sz w:val="28"/>
          <w:szCs w:val="28"/>
        </w:rPr>
        <w:t>我公司</w:t>
      </w:r>
      <w:r>
        <w:rPr>
          <w:rFonts w:hint="eastAsia" w:ascii="仿宋_GB2312" w:eastAsia="仿宋_GB2312"/>
          <w:sz w:val="28"/>
          <w:szCs w:val="28"/>
          <w:u w:val="single"/>
        </w:rPr>
        <w:t xml:space="preserve">        （报价单位名称）         </w:t>
      </w:r>
      <w:r>
        <w:rPr>
          <w:rFonts w:hint="eastAsia" w:ascii="仿宋_GB2312" w:eastAsia="仿宋_GB2312"/>
          <w:sz w:val="28"/>
          <w:szCs w:val="28"/>
        </w:rPr>
        <w:t>根据贵单位询价文件要求，</w:t>
      </w:r>
      <w:r>
        <w:rPr>
          <w:rFonts w:hint="eastAsia" w:ascii="仿宋_GB2312" w:eastAsia="仿宋_GB2312"/>
          <w:sz w:val="28"/>
          <w:szCs w:val="28"/>
          <w:lang w:eastAsia="zh-CN"/>
        </w:rPr>
        <w:t>委派</w:t>
      </w:r>
      <w:r>
        <w:rPr>
          <w:rFonts w:hint="eastAsia" w:ascii="仿宋_GB2312" w:eastAsia="仿宋_GB2312"/>
          <w:sz w:val="28"/>
          <w:szCs w:val="28"/>
          <w:u w:val="single"/>
          <w:lang w:val="en-US" w:eastAsia="zh-CN"/>
        </w:rPr>
        <w:t xml:space="preserve"> （联系人）   </w:t>
      </w:r>
      <w:r>
        <w:rPr>
          <w:rFonts w:hint="eastAsia" w:ascii="仿宋_GB2312" w:eastAsia="仿宋_GB2312"/>
          <w:sz w:val="28"/>
          <w:szCs w:val="28"/>
          <w:u w:val="none"/>
          <w:lang w:val="en-US" w:eastAsia="zh-CN"/>
        </w:rPr>
        <w:t>，联系方式</w:t>
      </w:r>
      <w:r>
        <w:rPr>
          <w:rFonts w:hint="eastAsia" w:ascii="仿宋_GB2312" w:eastAsia="仿宋_GB2312"/>
          <w:sz w:val="28"/>
          <w:szCs w:val="28"/>
          <w:u w:val="single"/>
          <w:lang w:val="en-US" w:eastAsia="zh-CN"/>
        </w:rPr>
        <w:t xml:space="preserve">                 </w:t>
      </w:r>
      <w:r>
        <w:rPr>
          <w:rFonts w:hint="eastAsia" w:ascii="仿宋" w:hAnsi="仿宋" w:eastAsia="仿宋" w:cs="仿宋"/>
          <w:sz w:val="30"/>
          <w:szCs w:val="30"/>
        </w:rPr>
        <w:t>，参加</w:t>
      </w:r>
      <w:r>
        <w:rPr>
          <w:rFonts w:hint="eastAsia" w:ascii="仿宋" w:hAnsi="仿宋" w:eastAsia="仿宋" w:cs="仿宋"/>
          <w:sz w:val="30"/>
          <w:szCs w:val="30"/>
          <w:u w:val="single"/>
        </w:rPr>
        <w:t xml:space="preserve">  </w:t>
      </w:r>
      <w:r>
        <w:rPr>
          <w:rFonts w:hint="eastAsia" w:ascii="仿宋" w:hAnsi="仿宋" w:eastAsia="仿宋" w:cs="仿宋"/>
          <w:sz w:val="30"/>
          <w:szCs w:val="30"/>
          <w:u w:val="single"/>
          <w:lang w:val="en-US" w:eastAsia="zh-CN"/>
        </w:rPr>
        <w:t xml:space="preserve">绍兴市再生能源发展有限公司 会议室影音设备整体改造 </w:t>
      </w:r>
      <w:r>
        <w:rPr>
          <w:rFonts w:hint="eastAsia" w:ascii="仿宋" w:hAnsi="仿宋" w:eastAsia="仿宋" w:cs="仿宋"/>
          <w:sz w:val="30"/>
          <w:szCs w:val="30"/>
          <w:u w:val="none"/>
          <w:lang w:val="en-US" w:eastAsia="zh-CN"/>
        </w:rPr>
        <w:t>项目。</w:t>
      </w:r>
    </w:p>
    <w:tbl>
      <w:tblPr>
        <w:tblStyle w:val="13"/>
        <w:tblW w:w="5382" w:type="pct"/>
        <w:jc w:val="center"/>
        <w:tblLayout w:type="fixed"/>
        <w:tblCellMar>
          <w:top w:w="0" w:type="dxa"/>
          <w:left w:w="108" w:type="dxa"/>
          <w:bottom w:w="0" w:type="dxa"/>
          <w:right w:w="108" w:type="dxa"/>
        </w:tblCellMar>
      </w:tblPr>
      <w:tblGrid>
        <w:gridCol w:w="334"/>
        <w:gridCol w:w="1076"/>
        <w:gridCol w:w="4426"/>
        <w:gridCol w:w="780"/>
        <w:gridCol w:w="525"/>
        <w:gridCol w:w="885"/>
        <w:gridCol w:w="825"/>
        <w:gridCol w:w="1147"/>
      </w:tblGrid>
      <w:tr w14:paraId="43C43671">
        <w:tblPrEx>
          <w:tblCellMar>
            <w:top w:w="0" w:type="dxa"/>
            <w:left w:w="108" w:type="dxa"/>
            <w:bottom w:w="0" w:type="dxa"/>
            <w:right w:w="108" w:type="dxa"/>
          </w:tblCellMar>
        </w:tblPrEx>
        <w:trPr>
          <w:trHeight w:val="467" w:hRule="atLeast"/>
          <w:jc w:val="center"/>
        </w:trPr>
        <w:tc>
          <w:tcPr>
            <w:tcW w:w="167" w:type="pct"/>
            <w:tcBorders>
              <w:top w:val="single" w:color="000000" w:sz="4" w:space="0"/>
              <w:left w:val="single" w:color="000000" w:sz="4" w:space="0"/>
              <w:bottom w:val="single" w:color="000000" w:sz="4" w:space="0"/>
              <w:right w:val="single" w:color="000000" w:sz="4" w:space="0"/>
            </w:tcBorders>
            <w:noWrap/>
            <w:vAlign w:val="center"/>
          </w:tcPr>
          <w:p w14:paraId="44C6D4F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序号</w:t>
            </w:r>
          </w:p>
        </w:tc>
        <w:tc>
          <w:tcPr>
            <w:tcW w:w="538" w:type="pct"/>
            <w:tcBorders>
              <w:top w:val="single" w:color="000000" w:sz="4" w:space="0"/>
              <w:left w:val="single" w:color="000000" w:sz="4" w:space="0"/>
              <w:bottom w:val="single" w:color="000000" w:sz="4" w:space="0"/>
              <w:right w:val="single" w:color="000000" w:sz="4" w:space="0"/>
            </w:tcBorders>
            <w:noWrap/>
            <w:vAlign w:val="center"/>
          </w:tcPr>
          <w:p w14:paraId="082D5F2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设备名称</w:t>
            </w:r>
          </w:p>
        </w:tc>
        <w:tc>
          <w:tcPr>
            <w:tcW w:w="2213" w:type="pct"/>
            <w:tcBorders>
              <w:top w:val="single" w:color="000000" w:sz="4" w:space="0"/>
              <w:left w:val="single" w:color="000000" w:sz="4" w:space="0"/>
              <w:bottom w:val="single" w:color="000000" w:sz="4" w:space="0"/>
              <w:right w:val="single" w:color="000000" w:sz="4" w:space="0"/>
            </w:tcBorders>
            <w:noWrap/>
            <w:vAlign w:val="center"/>
          </w:tcPr>
          <w:p w14:paraId="4803E8D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详细技术参数</w:t>
            </w:r>
          </w:p>
        </w:tc>
        <w:tc>
          <w:tcPr>
            <w:tcW w:w="390" w:type="pct"/>
            <w:tcBorders>
              <w:top w:val="single" w:color="000000" w:sz="4" w:space="0"/>
              <w:left w:val="single" w:color="000000" w:sz="4" w:space="0"/>
              <w:bottom w:val="single" w:color="000000" w:sz="4" w:space="0"/>
              <w:right w:val="single" w:color="000000" w:sz="4" w:space="0"/>
            </w:tcBorders>
            <w:noWrap/>
            <w:vAlign w:val="center"/>
          </w:tcPr>
          <w:p w14:paraId="730B77A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预估数量</w:t>
            </w:r>
          </w:p>
        </w:tc>
        <w:tc>
          <w:tcPr>
            <w:tcW w:w="262" w:type="pct"/>
            <w:tcBorders>
              <w:top w:val="single" w:color="000000" w:sz="4" w:space="0"/>
              <w:left w:val="single" w:color="000000" w:sz="4" w:space="0"/>
              <w:bottom w:val="single" w:color="000000" w:sz="4" w:space="0"/>
              <w:right w:val="single" w:color="000000" w:sz="4" w:space="0"/>
            </w:tcBorders>
            <w:noWrap/>
            <w:vAlign w:val="center"/>
          </w:tcPr>
          <w:p w14:paraId="43B8B3B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单位</w:t>
            </w:r>
          </w:p>
        </w:tc>
        <w:tc>
          <w:tcPr>
            <w:tcW w:w="442" w:type="pct"/>
            <w:tcBorders>
              <w:top w:val="single" w:color="000000" w:sz="4" w:space="0"/>
              <w:left w:val="single" w:color="000000" w:sz="4" w:space="0"/>
              <w:bottom w:val="single" w:color="000000" w:sz="4" w:space="0"/>
              <w:right w:val="single" w:color="000000" w:sz="4" w:space="0"/>
            </w:tcBorders>
            <w:noWrap/>
            <w:vAlign w:val="center"/>
          </w:tcPr>
          <w:p w14:paraId="2EC4943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单价（元）</w:t>
            </w:r>
          </w:p>
        </w:tc>
        <w:tc>
          <w:tcPr>
            <w:tcW w:w="412" w:type="pct"/>
            <w:tcBorders>
              <w:top w:val="single" w:color="000000" w:sz="4" w:space="0"/>
              <w:left w:val="single" w:color="000000" w:sz="4" w:space="0"/>
              <w:bottom w:val="single" w:color="000000" w:sz="4" w:space="0"/>
              <w:right w:val="single" w:color="000000" w:sz="4" w:space="0"/>
            </w:tcBorders>
            <w:noWrap/>
            <w:vAlign w:val="center"/>
          </w:tcPr>
          <w:p w14:paraId="2B93C58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金额（元）</w:t>
            </w:r>
          </w:p>
        </w:tc>
        <w:tc>
          <w:tcPr>
            <w:tcW w:w="573" w:type="pct"/>
            <w:tcBorders>
              <w:top w:val="single" w:color="000000" w:sz="4" w:space="0"/>
              <w:left w:val="single" w:color="000000" w:sz="4" w:space="0"/>
              <w:bottom w:val="single" w:color="000000" w:sz="4" w:space="0"/>
              <w:right w:val="single" w:color="000000" w:sz="4" w:space="0"/>
            </w:tcBorders>
            <w:noWrap/>
            <w:vAlign w:val="center"/>
          </w:tcPr>
          <w:p w14:paraId="045512A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品牌</w:t>
            </w:r>
          </w:p>
        </w:tc>
      </w:tr>
      <w:tr w14:paraId="340C726D">
        <w:tblPrEx>
          <w:tblCellMar>
            <w:top w:w="0" w:type="dxa"/>
            <w:left w:w="108" w:type="dxa"/>
            <w:bottom w:w="0" w:type="dxa"/>
            <w:right w:w="108" w:type="dxa"/>
          </w:tblCellMar>
        </w:tblPrEx>
        <w:trPr>
          <w:trHeight w:val="529" w:hRule="atLeast"/>
          <w:jc w:val="center"/>
        </w:trPr>
        <w:tc>
          <w:tcPr>
            <w:tcW w:w="5000" w:type="pct"/>
            <w:gridSpan w:val="8"/>
            <w:tcBorders>
              <w:top w:val="single" w:color="000000" w:sz="4" w:space="0"/>
              <w:left w:val="single" w:color="000000" w:sz="4" w:space="0"/>
              <w:bottom w:val="single" w:color="000000" w:sz="4" w:space="0"/>
              <w:right w:val="single" w:color="000000" w:sz="4" w:space="0"/>
            </w:tcBorders>
            <w:noWrap/>
            <w:vAlign w:val="center"/>
          </w:tcPr>
          <w:p w14:paraId="7C282D42">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sz w:val="24"/>
                <w:szCs w:val="24"/>
                <w:highlight w:val="none"/>
                <w:u w:val="none"/>
                <w:lang w:val="en-US" w:eastAsia="zh-CN"/>
              </w:rPr>
              <w:t>电子桌牌</w:t>
            </w:r>
          </w:p>
        </w:tc>
      </w:tr>
      <w:tr w14:paraId="6F3646B6">
        <w:tblPrEx>
          <w:tblCellMar>
            <w:top w:w="0" w:type="dxa"/>
            <w:left w:w="108" w:type="dxa"/>
            <w:bottom w:w="0" w:type="dxa"/>
            <w:right w:w="108" w:type="dxa"/>
          </w:tblCellMar>
        </w:tblPrEx>
        <w:trPr>
          <w:trHeight w:val="529" w:hRule="atLeast"/>
          <w:jc w:val="center"/>
        </w:trPr>
        <w:tc>
          <w:tcPr>
            <w:tcW w:w="167" w:type="pct"/>
            <w:tcBorders>
              <w:top w:val="single" w:color="000000" w:sz="4" w:space="0"/>
              <w:left w:val="single" w:color="000000" w:sz="4" w:space="0"/>
              <w:bottom w:val="single" w:color="000000" w:sz="4" w:space="0"/>
              <w:right w:val="single" w:color="000000" w:sz="4" w:space="0"/>
            </w:tcBorders>
            <w:noWrap/>
            <w:vAlign w:val="center"/>
          </w:tcPr>
          <w:p w14:paraId="73A9B384">
            <w:pPr>
              <w:keepNext w:val="0"/>
              <w:keepLines w:val="0"/>
              <w:pageBreakBefore w:val="0"/>
              <w:widowControl/>
              <w:numPr>
                <w:ilvl w:val="0"/>
                <w:numId w:val="0"/>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r>
              <w:rPr>
                <w:rFonts w:hint="default" w:ascii="仿宋" w:hAnsi="仿宋" w:eastAsia="仿宋" w:cs="仿宋"/>
                <w:i w:val="0"/>
                <w:iCs w:val="0"/>
                <w:strike w:val="0"/>
                <w:dstrike w:val="0"/>
                <w:color w:val="000000"/>
                <w:kern w:val="0"/>
                <w:sz w:val="24"/>
                <w:szCs w:val="24"/>
                <w:lang w:val="en-US" w:eastAsia="zh-CN" w:bidi="ar"/>
              </w:rPr>
              <w:t>1</w:t>
            </w:r>
          </w:p>
        </w:tc>
        <w:tc>
          <w:tcPr>
            <w:tcW w:w="538" w:type="pct"/>
            <w:tcBorders>
              <w:top w:val="single" w:color="000000" w:sz="4" w:space="0"/>
              <w:left w:val="single" w:color="000000" w:sz="4" w:space="0"/>
              <w:bottom w:val="single" w:color="000000" w:sz="4" w:space="0"/>
              <w:right w:val="single" w:color="000000" w:sz="4" w:space="0"/>
            </w:tcBorders>
            <w:noWrap/>
            <w:vAlign w:val="center"/>
          </w:tcPr>
          <w:p w14:paraId="372D2931">
            <w:pPr>
              <w:keepNext w:val="0"/>
              <w:keepLines w:val="0"/>
              <w:pageBreakBefore w:val="0"/>
              <w:widowControl/>
              <w:numPr>
                <w:ilvl w:val="0"/>
                <w:numId w:val="0"/>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r>
              <w:rPr>
                <w:rFonts w:hint="eastAsia" w:ascii="仿宋" w:hAnsi="仿宋" w:eastAsia="仿宋" w:cs="仿宋"/>
                <w:i w:val="0"/>
                <w:iCs w:val="0"/>
                <w:strike w:val="0"/>
                <w:dstrike w:val="0"/>
                <w:color w:val="000000"/>
                <w:kern w:val="0"/>
                <w:sz w:val="24"/>
                <w:szCs w:val="24"/>
                <w:u w:val="none"/>
                <w:lang w:val="en-US" w:eastAsia="zh-CN" w:bidi="ar"/>
              </w:rPr>
              <w:t>电子桌牌</w:t>
            </w:r>
          </w:p>
        </w:tc>
        <w:tc>
          <w:tcPr>
            <w:tcW w:w="2213" w:type="pct"/>
            <w:tcBorders>
              <w:top w:val="single" w:color="000000" w:sz="4" w:space="0"/>
              <w:left w:val="single" w:color="000000" w:sz="4" w:space="0"/>
              <w:bottom w:val="single" w:color="000000" w:sz="4" w:space="0"/>
              <w:right w:val="single" w:color="000000" w:sz="4" w:space="0"/>
            </w:tcBorders>
            <w:noWrap w:val="0"/>
            <w:vAlign w:val="center"/>
          </w:tcPr>
          <w:p w14:paraId="7DCD0D5B">
            <w:pPr>
              <w:keepNext w:val="0"/>
              <w:keepLines w:val="0"/>
              <w:widowControl/>
              <w:suppressLineNumbers w:val="0"/>
              <w:jc w:val="left"/>
              <w:textAlignment w:val="center"/>
              <w:rPr>
                <w:rFonts w:hint="eastAsia"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尺寸：7.4英寸双面墨水屏电子桌牌</w:t>
            </w:r>
          </w:p>
          <w:p w14:paraId="04B33973">
            <w:pPr>
              <w:keepNext w:val="0"/>
              <w:keepLines w:val="0"/>
              <w:widowControl/>
              <w:suppressLineNumbers w:val="0"/>
              <w:jc w:val="left"/>
              <w:textAlignment w:val="center"/>
              <w:rPr>
                <w:rFonts w:hint="eastAsia"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功能：无线后台批量编辑姓名职务，免反复打印，支持手机扫码即改、批量秒发，支持蓝牙/NFC远程改字，双面异显，多模块自由切换。</w:t>
            </w:r>
          </w:p>
          <w:p w14:paraId="39E62F4F">
            <w:pPr>
              <w:keepNext w:val="0"/>
              <w:keepLines w:val="0"/>
              <w:widowControl/>
              <w:suppressLineNumbers w:val="0"/>
              <w:jc w:val="left"/>
              <w:textAlignment w:val="center"/>
              <w:rPr>
                <w:rFonts w:hint="eastAsia"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配套：配套管理软件、集中充电收纳盒。</w:t>
            </w:r>
          </w:p>
          <w:p w14:paraId="3950B4CA">
            <w:pPr>
              <w:keepNext w:val="0"/>
              <w:keepLines w:val="0"/>
              <w:widowControl/>
              <w:suppressLineNumbers w:val="0"/>
              <w:jc w:val="left"/>
              <w:textAlignment w:val="center"/>
              <w:rPr>
                <w:rFonts w:hint="eastAsia"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质保：电子桌牌整机≥3年上门质保。</w:t>
            </w:r>
          </w:p>
        </w:tc>
        <w:tc>
          <w:tcPr>
            <w:tcW w:w="390" w:type="pct"/>
            <w:tcBorders>
              <w:top w:val="single" w:color="000000" w:sz="4" w:space="0"/>
              <w:left w:val="single" w:color="000000" w:sz="4" w:space="0"/>
              <w:bottom w:val="single" w:color="000000" w:sz="4" w:space="0"/>
              <w:right w:val="single" w:color="000000" w:sz="4" w:space="0"/>
            </w:tcBorders>
            <w:noWrap w:val="0"/>
            <w:vAlign w:val="center"/>
          </w:tcPr>
          <w:p w14:paraId="6C215460">
            <w:pPr>
              <w:keepNext w:val="0"/>
              <w:keepLines w:val="0"/>
              <w:widowControl/>
              <w:suppressLineNumbers w:val="0"/>
              <w:jc w:val="center"/>
              <w:textAlignment w:val="center"/>
              <w:rPr>
                <w:rFonts w:hint="default"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20</w:t>
            </w: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02689213">
            <w:pPr>
              <w:keepNext w:val="0"/>
              <w:keepLines w:val="0"/>
              <w:widowControl/>
              <w:suppressLineNumbers w:val="0"/>
              <w:jc w:val="center"/>
              <w:textAlignment w:val="center"/>
              <w:rPr>
                <w:rFonts w:hint="default"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个</w:t>
            </w:r>
          </w:p>
        </w:tc>
        <w:tc>
          <w:tcPr>
            <w:tcW w:w="442" w:type="pct"/>
            <w:tcBorders>
              <w:top w:val="single" w:color="000000" w:sz="4" w:space="0"/>
              <w:left w:val="single" w:color="000000" w:sz="4" w:space="0"/>
              <w:bottom w:val="single" w:color="000000" w:sz="4" w:space="0"/>
              <w:right w:val="single" w:color="000000" w:sz="4" w:space="0"/>
            </w:tcBorders>
            <w:noWrap w:val="0"/>
            <w:vAlign w:val="center"/>
          </w:tcPr>
          <w:p w14:paraId="1D967CF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12" w:type="pct"/>
            <w:tcBorders>
              <w:top w:val="single" w:color="000000" w:sz="4" w:space="0"/>
              <w:left w:val="single" w:color="000000" w:sz="4" w:space="0"/>
              <w:bottom w:val="single" w:color="000000" w:sz="4" w:space="0"/>
              <w:right w:val="single" w:color="000000" w:sz="4" w:space="0"/>
            </w:tcBorders>
            <w:noWrap w:val="0"/>
            <w:vAlign w:val="center"/>
          </w:tcPr>
          <w:p w14:paraId="298FDD85">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1AF6E917">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京东方（BOE）、MAXHUB、皓丽</w:t>
            </w:r>
          </w:p>
        </w:tc>
      </w:tr>
      <w:tr w14:paraId="01D932FE">
        <w:tblPrEx>
          <w:tblCellMar>
            <w:top w:w="0" w:type="dxa"/>
            <w:left w:w="108" w:type="dxa"/>
            <w:bottom w:w="0" w:type="dxa"/>
            <w:right w:w="108" w:type="dxa"/>
          </w:tblCellMar>
        </w:tblPrEx>
        <w:trPr>
          <w:trHeight w:val="529" w:hRule="atLeast"/>
          <w:jc w:val="center"/>
        </w:trPr>
        <w:tc>
          <w:tcPr>
            <w:tcW w:w="5000" w:type="pct"/>
            <w:gridSpan w:val="8"/>
            <w:tcBorders>
              <w:top w:val="single" w:color="000000" w:sz="4" w:space="0"/>
              <w:left w:val="single" w:color="000000" w:sz="4" w:space="0"/>
              <w:bottom w:val="single" w:color="000000" w:sz="4" w:space="0"/>
              <w:right w:val="single" w:color="000000" w:sz="4" w:space="0"/>
            </w:tcBorders>
            <w:noWrap/>
            <w:vAlign w:val="center"/>
          </w:tcPr>
          <w:p w14:paraId="777BDE7C">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u w:val="none"/>
                <w:lang w:val="en-US" w:eastAsia="zh-CN" w:bidi="ar"/>
              </w:rPr>
              <w:t>三楼会议室智慧大屏</w:t>
            </w:r>
          </w:p>
        </w:tc>
      </w:tr>
      <w:tr w14:paraId="2417FBA4">
        <w:tblPrEx>
          <w:tblCellMar>
            <w:top w:w="0" w:type="dxa"/>
            <w:left w:w="108" w:type="dxa"/>
            <w:bottom w:w="0" w:type="dxa"/>
            <w:right w:w="108" w:type="dxa"/>
          </w:tblCellMar>
        </w:tblPrEx>
        <w:trPr>
          <w:trHeight w:val="529" w:hRule="atLeast"/>
          <w:jc w:val="center"/>
        </w:trPr>
        <w:tc>
          <w:tcPr>
            <w:tcW w:w="167" w:type="pct"/>
            <w:tcBorders>
              <w:top w:val="single" w:color="000000" w:sz="4" w:space="0"/>
              <w:left w:val="single" w:color="000000" w:sz="4" w:space="0"/>
              <w:bottom w:val="single" w:color="000000" w:sz="4" w:space="0"/>
              <w:right w:val="single" w:color="000000" w:sz="4" w:space="0"/>
            </w:tcBorders>
            <w:noWrap/>
            <w:vAlign w:val="center"/>
          </w:tcPr>
          <w:p w14:paraId="5CD6B80F">
            <w:pPr>
              <w:keepNext w:val="0"/>
              <w:keepLines w:val="0"/>
              <w:pageBreakBefore w:val="0"/>
              <w:widowControl/>
              <w:numPr>
                <w:ilvl w:val="0"/>
                <w:numId w:val="0"/>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r>
              <w:rPr>
                <w:rFonts w:hint="eastAsia" w:ascii="仿宋" w:hAnsi="仿宋" w:eastAsia="仿宋" w:cs="仿宋"/>
                <w:i w:val="0"/>
                <w:iCs w:val="0"/>
                <w:strike w:val="0"/>
                <w:dstrike w:val="0"/>
                <w:color w:val="000000"/>
                <w:kern w:val="0"/>
                <w:sz w:val="24"/>
                <w:szCs w:val="24"/>
                <w:lang w:val="en-US" w:eastAsia="zh-CN" w:bidi="ar"/>
              </w:rPr>
              <w:t>2</w:t>
            </w:r>
          </w:p>
        </w:tc>
        <w:tc>
          <w:tcPr>
            <w:tcW w:w="538" w:type="pct"/>
            <w:tcBorders>
              <w:top w:val="single" w:color="000000" w:sz="4" w:space="0"/>
              <w:left w:val="single" w:color="000000" w:sz="4" w:space="0"/>
              <w:bottom w:val="single" w:color="000000" w:sz="4" w:space="0"/>
              <w:right w:val="single" w:color="000000" w:sz="4" w:space="0"/>
            </w:tcBorders>
            <w:noWrap/>
            <w:vAlign w:val="center"/>
          </w:tcPr>
          <w:p w14:paraId="12CD6F8A">
            <w:pPr>
              <w:keepNext w:val="0"/>
              <w:keepLines w:val="0"/>
              <w:pageBreakBefore w:val="0"/>
              <w:widowControl/>
              <w:numPr>
                <w:ilvl w:val="0"/>
                <w:numId w:val="0"/>
              </w:numPr>
              <w:suppressLineNumbers w:val="0"/>
              <w:kinsoku/>
              <w:wordWrap/>
              <w:overflowPunct/>
              <w:topLinePunct w:val="0"/>
              <w:autoSpaceDE/>
              <w:autoSpaceDN/>
              <w:bidi w:val="0"/>
              <w:adjustRightInd/>
              <w:snapToGrid/>
              <w:ind w:left="0" w:leftChars="0" w:firstLine="0"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r>
              <w:rPr>
                <w:rFonts w:hint="eastAsia" w:ascii="仿宋" w:hAnsi="仿宋" w:eastAsia="仿宋" w:cs="仿宋"/>
                <w:i w:val="0"/>
                <w:iCs w:val="0"/>
                <w:strike w:val="0"/>
                <w:dstrike w:val="0"/>
                <w:color w:val="000000"/>
                <w:kern w:val="0"/>
                <w:sz w:val="24"/>
                <w:szCs w:val="24"/>
                <w:u w:val="none"/>
                <w:lang w:val="en-US" w:eastAsia="zh-CN" w:bidi="ar"/>
              </w:rPr>
              <w:t>三楼会议室智慧大屏</w:t>
            </w:r>
          </w:p>
        </w:tc>
        <w:tc>
          <w:tcPr>
            <w:tcW w:w="2213" w:type="pct"/>
            <w:tcBorders>
              <w:top w:val="single" w:color="000000" w:sz="4" w:space="0"/>
              <w:left w:val="single" w:color="000000" w:sz="4" w:space="0"/>
              <w:bottom w:val="single" w:color="000000" w:sz="4" w:space="0"/>
              <w:right w:val="single" w:color="000000" w:sz="4" w:space="0"/>
            </w:tcBorders>
            <w:noWrap w:val="0"/>
            <w:vAlign w:val="center"/>
          </w:tcPr>
          <w:p w14:paraId="5E62F0A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1.产品规格：100英寸商用智能液晶电视，非拼接屏、非激光电视、非触摸式会议平板。</w:t>
            </w:r>
          </w:p>
          <w:p w14:paraId="12C1A28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2.显示规格：屏幕尺寸100英寸，16:9，物理分辨率3840×2160（4K）；采用AG防眩光商用面板，支持会议室长时间开机运行，具备防残影能力。</w:t>
            </w:r>
          </w:p>
          <w:p w14:paraId="6C3E2E7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3.硬件系统：搭载Android或HarmonyOS智能系统；运行内存≥4GB，机身存储≥128GB；支持设备后台管理。</w:t>
            </w:r>
          </w:p>
          <w:p w14:paraId="61FAD0A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4.接口配置</w:t>
            </w:r>
          </w:p>
          <w:p w14:paraId="573D77E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有线网络：配置RJ45有线网口，支持有线联网；</w:t>
            </w:r>
          </w:p>
          <w:p w14:paraId="79F36CB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HDMI接口：HDMI2.0及以上接口不少于2路；</w:t>
            </w:r>
          </w:p>
          <w:p w14:paraId="278F779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Type‑C接口：配置1路Type‑C接口，支持视频投屏、文件读取；</w:t>
            </w:r>
          </w:p>
          <w:p w14:paraId="5FF324F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USB接口：配置USB3.0、USB2.0接口，支持U盘、移动硬盘本地媒体播放；</w:t>
            </w:r>
          </w:p>
          <w:p w14:paraId="1AAE27B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音频输出：配置同轴音频输出接口，可外接功放音响设备。</w:t>
            </w:r>
          </w:p>
          <w:p w14:paraId="4374958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5.功能要求：支持无线投屏、多画面分屏显示；支持本地音视频文件播放，开机无强制广告。</w:t>
            </w:r>
          </w:p>
          <w:p w14:paraId="552A317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6.安装配套：支持标准壁挂安装，提供壁挂支架及全套安装配件，包含设备上门安装调试。</w:t>
            </w:r>
          </w:p>
          <w:p w14:paraId="74F740E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7.质保：提供整机不少于3年商用质保，提供本地上门售后服务。</w:t>
            </w:r>
          </w:p>
        </w:tc>
        <w:tc>
          <w:tcPr>
            <w:tcW w:w="390" w:type="pct"/>
            <w:tcBorders>
              <w:top w:val="single" w:color="000000" w:sz="4" w:space="0"/>
              <w:left w:val="single" w:color="000000" w:sz="4" w:space="0"/>
              <w:bottom w:val="single" w:color="000000" w:sz="4" w:space="0"/>
              <w:right w:val="single" w:color="000000" w:sz="4" w:space="0"/>
            </w:tcBorders>
            <w:noWrap w:val="0"/>
            <w:vAlign w:val="center"/>
          </w:tcPr>
          <w:p w14:paraId="4BF52316">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20356FE4">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442" w:type="pct"/>
            <w:tcBorders>
              <w:top w:val="single" w:color="000000" w:sz="4" w:space="0"/>
              <w:left w:val="single" w:color="000000" w:sz="4" w:space="0"/>
              <w:bottom w:val="single" w:color="000000" w:sz="4" w:space="0"/>
              <w:right w:val="single" w:color="000000" w:sz="4" w:space="0"/>
            </w:tcBorders>
            <w:noWrap w:val="0"/>
            <w:vAlign w:val="center"/>
          </w:tcPr>
          <w:p w14:paraId="762E09F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12" w:type="pct"/>
            <w:tcBorders>
              <w:top w:val="single" w:color="000000" w:sz="4" w:space="0"/>
              <w:left w:val="single" w:color="000000" w:sz="4" w:space="0"/>
              <w:bottom w:val="single" w:color="000000" w:sz="4" w:space="0"/>
              <w:right w:val="single" w:color="000000" w:sz="4" w:space="0"/>
            </w:tcBorders>
            <w:noWrap w:val="0"/>
            <w:vAlign w:val="center"/>
          </w:tcPr>
          <w:p w14:paraId="11B2EDEE">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5643B7E7">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海</w:t>
            </w:r>
            <w:r>
              <w:rPr>
                <w:rFonts w:hint="eastAsia" w:ascii="仿宋" w:hAnsi="仿宋" w:eastAsia="仿宋" w:cs="仿宋"/>
                <w:i w:val="0"/>
                <w:iCs w:val="0"/>
                <w:color w:val="000000"/>
                <w:kern w:val="0"/>
                <w:sz w:val="24"/>
                <w:szCs w:val="24"/>
                <w:u w:val="none"/>
                <w:lang w:val="en-US" w:eastAsia="zh-CN" w:bidi="ar"/>
              </w:rPr>
              <w:t>信、TCL、创维（商用系列）</w:t>
            </w:r>
          </w:p>
        </w:tc>
      </w:tr>
      <w:tr w14:paraId="245EF659">
        <w:tblPrEx>
          <w:tblCellMar>
            <w:top w:w="0" w:type="dxa"/>
            <w:left w:w="108" w:type="dxa"/>
            <w:bottom w:w="0" w:type="dxa"/>
            <w:right w:w="108" w:type="dxa"/>
          </w:tblCellMar>
        </w:tblPrEx>
        <w:trPr>
          <w:trHeight w:val="529" w:hRule="atLeast"/>
          <w:jc w:val="center"/>
        </w:trPr>
        <w:tc>
          <w:tcPr>
            <w:tcW w:w="5000" w:type="pct"/>
            <w:gridSpan w:val="8"/>
            <w:tcBorders>
              <w:top w:val="single" w:color="000000" w:sz="4" w:space="0"/>
              <w:left w:val="single" w:color="000000" w:sz="4" w:space="0"/>
              <w:bottom w:val="single" w:color="000000" w:sz="4" w:space="0"/>
              <w:right w:val="single" w:color="000000" w:sz="4" w:space="0"/>
            </w:tcBorders>
            <w:noWrap/>
            <w:vAlign w:val="center"/>
          </w:tcPr>
          <w:p w14:paraId="18148AD8">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u w:val="none"/>
                <w:lang w:val="en-US" w:eastAsia="zh-CN" w:bidi="ar"/>
              </w:rPr>
              <w:t>二楼会议室LED大屏</w:t>
            </w:r>
          </w:p>
        </w:tc>
      </w:tr>
      <w:tr w14:paraId="08CA8DD6">
        <w:tblPrEx>
          <w:tblCellMar>
            <w:top w:w="0" w:type="dxa"/>
            <w:left w:w="108" w:type="dxa"/>
            <w:bottom w:w="0" w:type="dxa"/>
            <w:right w:w="108" w:type="dxa"/>
          </w:tblCellMar>
        </w:tblPrEx>
        <w:trPr>
          <w:trHeight w:val="529" w:hRule="atLeast"/>
          <w:jc w:val="center"/>
        </w:trPr>
        <w:tc>
          <w:tcPr>
            <w:tcW w:w="167" w:type="pct"/>
            <w:tcBorders>
              <w:top w:val="single" w:color="000000" w:sz="4" w:space="0"/>
              <w:left w:val="single" w:color="000000" w:sz="4" w:space="0"/>
              <w:bottom w:val="single" w:color="000000" w:sz="4" w:space="0"/>
              <w:right w:val="single" w:color="000000" w:sz="4" w:space="0"/>
            </w:tcBorders>
            <w:noWrap/>
            <w:vAlign w:val="center"/>
          </w:tcPr>
          <w:p w14:paraId="3DE0402D">
            <w:pPr>
              <w:keepNext w:val="0"/>
              <w:keepLines w:val="0"/>
              <w:pageBreakBefore w:val="0"/>
              <w:widowControl/>
              <w:numPr>
                <w:ilvl w:val="0"/>
                <w:numId w:val="0"/>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r>
              <w:rPr>
                <w:rFonts w:hint="eastAsia" w:ascii="仿宋" w:hAnsi="仿宋" w:eastAsia="仿宋" w:cs="仿宋"/>
                <w:i w:val="0"/>
                <w:iCs w:val="0"/>
                <w:strike w:val="0"/>
                <w:dstrike w:val="0"/>
                <w:color w:val="000000"/>
                <w:kern w:val="0"/>
                <w:sz w:val="24"/>
                <w:szCs w:val="24"/>
                <w:lang w:val="en-US" w:eastAsia="zh-CN" w:bidi="ar"/>
              </w:rPr>
              <w:t>3</w:t>
            </w:r>
          </w:p>
        </w:tc>
        <w:tc>
          <w:tcPr>
            <w:tcW w:w="538" w:type="pct"/>
            <w:tcBorders>
              <w:top w:val="single" w:color="000000" w:sz="4" w:space="0"/>
              <w:left w:val="single" w:color="000000" w:sz="4" w:space="0"/>
              <w:bottom w:val="single" w:color="000000" w:sz="4" w:space="0"/>
              <w:right w:val="single" w:color="000000" w:sz="4" w:space="0"/>
            </w:tcBorders>
            <w:noWrap/>
            <w:vAlign w:val="center"/>
          </w:tcPr>
          <w:p w14:paraId="789458DB">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olor w:val="000000"/>
                <w:sz w:val="24"/>
                <w:szCs w:val="24"/>
              </w:rPr>
              <w:t>P1.5LED</w:t>
            </w:r>
          </w:p>
        </w:tc>
        <w:tc>
          <w:tcPr>
            <w:tcW w:w="2213" w:type="pct"/>
            <w:tcBorders>
              <w:top w:val="single" w:color="000000" w:sz="4" w:space="0"/>
              <w:left w:val="single" w:color="000000" w:sz="4" w:space="0"/>
              <w:bottom w:val="single" w:color="000000" w:sz="4" w:space="0"/>
              <w:right w:val="single" w:color="000000" w:sz="4" w:space="0"/>
            </w:tcBorders>
            <w:noWrap w:val="0"/>
            <w:vAlign w:val="center"/>
          </w:tcPr>
          <w:p w14:paraId="0E9E280D">
            <w:pPr>
              <w:keepNext w:val="0"/>
              <w:keepLines w:val="0"/>
              <w:widowControl/>
              <w:suppressLineNumbers w:val="0"/>
              <w:jc w:val="left"/>
              <w:textAlignment w:val="center"/>
              <w:rPr>
                <w:rFonts w:hint="default" w:ascii="仿宋" w:hAnsi="仿宋" w:eastAsia="仿宋" w:cs="仿宋"/>
                <w:i w:val="0"/>
                <w:iCs w:val="0"/>
                <w:color w:val="000000"/>
                <w:kern w:val="0"/>
                <w:sz w:val="24"/>
                <w:szCs w:val="24"/>
                <w:u w:val="none"/>
                <w:lang w:val="en-US" w:eastAsia="zh-CN" w:bidi="ar"/>
              </w:rPr>
            </w:pPr>
            <w:r>
              <w:rPr>
                <w:rFonts w:hint="default" w:ascii="仿宋" w:hAnsi="仿宋" w:eastAsia="仿宋" w:cs="仿宋"/>
                <w:i w:val="0"/>
                <w:iCs w:val="0"/>
                <w:color w:val="000000"/>
                <w:kern w:val="0"/>
                <w:sz w:val="24"/>
                <w:szCs w:val="24"/>
                <w:u w:val="none"/>
                <w:lang w:val="en-US" w:eastAsia="zh-CN" w:bidi="ar"/>
              </w:rPr>
              <w:t>1.像素：点间距≤1.538mm，密度≥422,500点/㎡。</w:t>
            </w:r>
            <w:r>
              <w:rPr>
                <w:rFonts w:hint="default" w:ascii="仿宋" w:hAnsi="仿宋" w:eastAsia="仿宋" w:cs="仿宋"/>
                <w:i w:val="0"/>
                <w:iCs w:val="0"/>
                <w:color w:val="000000"/>
                <w:kern w:val="0"/>
                <w:sz w:val="24"/>
                <w:szCs w:val="24"/>
                <w:u w:val="none"/>
                <w:lang w:val="en-US" w:eastAsia="zh-CN" w:bidi="ar"/>
              </w:rPr>
              <w:br w:type="textWrapping"/>
            </w:r>
            <w:r>
              <w:rPr>
                <w:rFonts w:hint="default" w:ascii="仿宋" w:hAnsi="仿宋" w:eastAsia="仿宋" w:cs="仿宋"/>
                <w:i w:val="0"/>
                <w:iCs w:val="0"/>
                <w:color w:val="000000"/>
                <w:kern w:val="0"/>
                <w:sz w:val="24"/>
                <w:szCs w:val="24"/>
                <w:u w:val="none"/>
                <w:lang w:val="en-US" w:eastAsia="zh-CN" w:bidi="ar"/>
              </w:rPr>
              <w:t>2.亮度/功耗：峰值亮度≥600cd/㎡，峰值功耗≤420W/㎡，平均功耗≤140W/㎡。</w:t>
            </w:r>
            <w:r>
              <w:rPr>
                <w:rFonts w:hint="default"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3.水平视角≥1</w:t>
            </w:r>
            <w:r>
              <w:rPr>
                <w:rFonts w:hint="default" w:ascii="仿宋" w:hAnsi="仿宋" w:eastAsia="仿宋" w:cs="仿宋"/>
                <w:i w:val="0"/>
                <w:iCs w:val="0"/>
                <w:color w:val="000000"/>
                <w:kern w:val="0"/>
                <w:sz w:val="24"/>
                <w:szCs w:val="24"/>
                <w:u w:val="none"/>
                <w:lang w:val="en-US" w:eastAsia="zh-CN" w:bidi="ar"/>
              </w:rPr>
              <w:t>70</w:t>
            </w:r>
            <w:r>
              <w:rPr>
                <w:rFonts w:hint="eastAsia" w:ascii="仿宋" w:hAnsi="仿宋" w:eastAsia="仿宋" w:cs="仿宋"/>
                <w:i w:val="0"/>
                <w:iCs w:val="0"/>
                <w:color w:val="000000"/>
                <w:kern w:val="0"/>
                <w:sz w:val="24"/>
                <w:szCs w:val="24"/>
                <w:u w:val="none"/>
                <w:lang w:val="en-US" w:eastAsia="zh-CN" w:bidi="ar"/>
              </w:rPr>
              <w:t>°，垂直视角≥1</w:t>
            </w:r>
            <w:r>
              <w:rPr>
                <w:rFonts w:hint="default" w:ascii="仿宋" w:hAnsi="仿宋" w:eastAsia="仿宋" w:cs="仿宋"/>
                <w:i w:val="0"/>
                <w:iCs w:val="0"/>
                <w:color w:val="000000"/>
                <w:kern w:val="0"/>
                <w:sz w:val="24"/>
                <w:szCs w:val="24"/>
                <w:u w:val="none"/>
                <w:lang w:val="en-US" w:eastAsia="zh-CN" w:bidi="ar"/>
              </w:rPr>
              <w:t>70</w:t>
            </w:r>
            <w:r>
              <w:rPr>
                <w:rFonts w:hint="eastAsia" w:ascii="仿宋" w:hAnsi="仿宋" w:eastAsia="仿宋" w:cs="仿宋"/>
                <w:i w:val="0"/>
                <w:iCs w:val="0"/>
                <w:color w:val="000000"/>
                <w:kern w:val="0"/>
                <w:sz w:val="24"/>
                <w:szCs w:val="24"/>
                <w:u w:val="none"/>
                <w:lang w:val="en-US" w:eastAsia="zh-CN" w:bidi="ar"/>
              </w:rPr>
              <w:t>°；基色主波长误差要求为C级：ΔλD≤5nm，亮度误差值在5</w:t>
            </w:r>
            <w:r>
              <w:rPr>
                <w:rFonts w:hint="default" w:ascii="仿宋" w:hAnsi="仿宋" w:eastAsia="仿宋" w:cs="仿宋"/>
                <w:i w:val="0"/>
                <w:iCs w:val="0"/>
                <w:color w:val="000000"/>
                <w:kern w:val="0"/>
                <w:sz w:val="24"/>
                <w:szCs w:val="24"/>
                <w:u w:val="none"/>
                <w:lang w:val="en-US" w:eastAsia="zh-CN" w:bidi="ar"/>
              </w:rPr>
              <w:t>%以内</w:t>
            </w:r>
            <w:r>
              <w:rPr>
                <w:rFonts w:hint="eastAsia" w:ascii="仿宋" w:hAnsi="仿宋" w:eastAsia="仿宋" w:cs="仿宋"/>
                <w:i w:val="0"/>
                <w:iCs w:val="0"/>
                <w:color w:val="000000"/>
                <w:kern w:val="0"/>
                <w:sz w:val="24"/>
                <w:szCs w:val="24"/>
                <w:u w:val="none"/>
                <w:lang w:val="en-US" w:eastAsia="zh-CN" w:bidi="ar"/>
              </w:rPr>
              <w:t>；</w:t>
            </w:r>
          </w:p>
          <w:p w14:paraId="37A2828A">
            <w:pPr>
              <w:keepNext w:val="0"/>
              <w:keepLines w:val="0"/>
              <w:widowControl/>
              <w:suppressLineNumbers w:val="0"/>
              <w:jc w:val="left"/>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4.亮度不低于600（cd/㎡），模组间间隙＜0</w:t>
            </w:r>
            <w:r>
              <w:rPr>
                <w:rFonts w:hint="default" w:ascii="仿宋" w:hAnsi="仿宋" w:eastAsia="仿宋" w:cs="仿宋"/>
                <w:i w:val="0"/>
                <w:iCs w:val="0"/>
                <w:color w:val="000000"/>
                <w:kern w:val="0"/>
                <w:sz w:val="24"/>
                <w:szCs w:val="24"/>
                <w:u w:val="none"/>
                <w:lang w:val="en-US" w:eastAsia="zh-CN" w:bidi="ar"/>
              </w:rPr>
              <w:t>.1mm，模组间相对错位值＜</w:t>
            </w:r>
            <w:r>
              <w:rPr>
                <w:rFonts w:hint="eastAsia" w:ascii="仿宋" w:hAnsi="仿宋" w:eastAsia="仿宋" w:cs="仿宋"/>
                <w:i w:val="0"/>
                <w:iCs w:val="0"/>
                <w:color w:val="000000"/>
                <w:kern w:val="0"/>
                <w:sz w:val="24"/>
                <w:szCs w:val="24"/>
                <w:u w:val="none"/>
                <w:lang w:val="en-US" w:eastAsia="zh-CN" w:bidi="ar"/>
              </w:rPr>
              <w:t>1</w:t>
            </w:r>
            <w:r>
              <w:rPr>
                <w:rFonts w:hint="default" w:ascii="仿宋" w:hAnsi="仿宋" w:eastAsia="仿宋" w:cs="仿宋"/>
                <w:i w:val="0"/>
                <w:iCs w:val="0"/>
                <w:color w:val="000000"/>
                <w:kern w:val="0"/>
                <w:sz w:val="24"/>
                <w:szCs w:val="24"/>
                <w:u w:val="none"/>
                <w:lang w:val="en-US" w:eastAsia="zh-CN" w:bidi="ar"/>
              </w:rPr>
              <w:t>%；亮度均匀性＞99%；色温支持2500K-9500K；发光中心距偏差＜</w:t>
            </w:r>
            <w:r>
              <w:rPr>
                <w:rFonts w:hint="eastAsia" w:ascii="仿宋" w:hAnsi="仿宋" w:eastAsia="仿宋" w:cs="仿宋"/>
                <w:i w:val="0"/>
                <w:iCs w:val="0"/>
                <w:color w:val="000000"/>
                <w:kern w:val="0"/>
                <w:sz w:val="24"/>
                <w:szCs w:val="24"/>
                <w:u w:val="none"/>
                <w:lang w:val="en-US" w:eastAsia="zh-CN" w:bidi="ar"/>
              </w:rPr>
              <w:t>1</w:t>
            </w:r>
            <w:r>
              <w:rPr>
                <w:rFonts w:hint="default" w:ascii="仿宋" w:hAnsi="仿宋" w:eastAsia="仿宋" w:cs="仿宋"/>
                <w:i w:val="0"/>
                <w:iCs w:val="0"/>
                <w:color w:val="000000"/>
                <w:kern w:val="0"/>
                <w:sz w:val="24"/>
                <w:szCs w:val="24"/>
                <w:u w:val="none"/>
                <w:lang w:val="en-US" w:eastAsia="zh-CN" w:bidi="ar"/>
              </w:rPr>
              <w:t>%；</w:t>
            </w:r>
          </w:p>
          <w:p w14:paraId="5FEF656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6.刷新率：支持通过配套软件调节刷新率的设置选项，支持刷新率≥3840Hz；</w:t>
            </w:r>
          </w:p>
          <w:p w14:paraId="0FDB91D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7.含接收卡、电源、信号线、电源线等配件</w:t>
            </w:r>
          </w:p>
        </w:tc>
        <w:tc>
          <w:tcPr>
            <w:tcW w:w="390" w:type="pct"/>
            <w:tcBorders>
              <w:top w:val="single" w:color="000000" w:sz="4" w:space="0"/>
              <w:left w:val="single" w:color="000000" w:sz="4" w:space="0"/>
              <w:bottom w:val="single" w:color="000000" w:sz="4" w:space="0"/>
              <w:right w:val="single" w:color="000000" w:sz="4" w:space="0"/>
            </w:tcBorders>
            <w:noWrap w:val="0"/>
            <w:vAlign w:val="center"/>
          </w:tcPr>
          <w:p w14:paraId="43BD346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w:t>
            </w: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34BDAC2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平方米</w:t>
            </w:r>
          </w:p>
        </w:tc>
        <w:tc>
          <w:tcPr>
            <w:tcW w:w="442" w:type="pct"/>
            <w:tcBorders>
              <w:top w:val="single" w:color="000000" w:sz="4" w:space="0"/>
              <w:left w:val="single" w:color="000000" w:sz="4" w:space="0"/>
              <w:bottom w:val="single" w:color="000000" w:sz="4" w:space="0"/>
              <w:right w:val="single" w:color="000000" w:sz="4" w:space="0"/>
            </w:tcBorders>
            <w:noWrap w:val="0"/>
            <w:vAlign w:val="center"/>
          </w:tcPr>
          <w:p w14:paraId="13F17E9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c>
          <w:tcPr>
            <w:tcW w:w="412" w:type="pct"/>
            <w:tcBorders>
              <w:top w:val="single" w:color="000000" w:sz="4" w:space="0"/>
              <w:left w:val="single" w:color="000000" w:sz="4" w:space="0"/>
              <w:bottom w:val="single" w:color="000000" w:sz="4" w:space="0"/>
              <w:right w:val="single" w:color="000000" w:sz="4" w:space="0"/>
            </w:tcBorders>
            <w:noWrap w:val="0"/>
            <w:vAlign w:val="center"/>
          </w:tcPr>
          <w:p w14:paraId="73118A0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2439691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利亚德、洲明、艾比森</w:t>
            </w:r>
          </w:p>
        </w:tc>
      </w:tr>
      <w:tr w14:paraId="0669F035">
        <w:tblPrEx>
          <w:tblCellMar>
            <w:top w:w="0" w:type="dxa"/>
            <w:left w:w="108" w:type="dxa"/>
            <w:bottom w:w="0" w:type="dxa"/>
            <w:right w:w="108" w:type="dxa"/>
          </w:tblCellMar>
        </w:tblPrEx>
        <w:trPr>
          <w:trHeight w:val="529" w:hRule="atLeast"/>
          <w:jc w:val="center"/>
        </w:trPr>
        <w:tc>
          <w:tcPr>
            <w:tcW w:w="167" w:type="pct"/>
            <w:tcBorders>
              <w:top w:val="single" w:color="000000" w:sz="4" w:space="0"/>
              <w:left w:val="single" w:color="000000" w:sz="4" w:space="0"/>
              <w:bottom w:val="single" w:color="000000" w:sz="4" w:space="0"/>
              <w:right w:val="single" w:color="000000" w:sz="4" w:space="0"/>
            </w:tcBorders>
            <w:noWrap/>
            <w:vAlign w:val="center"/>
          </w:tcPr>
          <w:p w14:paraId="7F214D4A">
            <w:pPr>
              <w:keepNext w:val="0"/>
              <w:keepLines w:val="0"/>
              <w:pageBreakBefore w:val="0"/>
              <w:widowControl/>
              <w:numPr>
                <w:ilvl w:val="0"/>
                <w:numId w:val="0"/>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r>
              <w:rPr>
                <w:rFonts w:hint="eastAsia" w:ascii="仿宋" w:hAnsi="仿宋" w:eastAsia="仿宋" w:cs="仿宋"/>
                <w:i w:val="0"/>
                <w:iCs w:val="0"/>
                <w:strike w:val="0"/>
                <w:dstrike w:val="0"/>
                <w:color w:val="000000"/>
                <w:kern w:val="0"/>
                <w:sz w:val="24"/>
                <w:szCs w:val="24"/>
                <w:lang w:val="en-US" w:eastAsia="zh-CN" w:bidi="ar"/>
              </w:rPr>
              <w:t>4</w:t>
            </w:r>
          </w:p>
        </w:tc>
        <w:tc>
          <w:tcPr>
            <w:tcW w:w="538" w:type="pct"/>
            <w:tcBorders>
              <w:top w:val="single" w:color="000000" w:sz="4" w:space="0"/>
              <w:left w:val="single" w:color="000000" w:sz="4" w:space="0"/>
              <w:bottom w:val="single" w:color="000000" w:sz="4" w:space="0"/>
              <w:right w:val="single" w:color="000000" w:sz="4" w:space="0"/>
            </w:tcBorders>
            <w:noWrap/>
            <w:vAlign w:val="center"/>
          </w:tcPr>
          <w:p w14:paraId="3240C07C">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olor w:val="000000"/>
                <w:sz w:val="24"/>
                <w:szCs w:val="24"/>
              </w:rPr>
              <w:t>LED钢结构框架</w:t>
            </w:r>
          </w:p>
        </w:tc>
        <w:tc>
          <w:tcPr>
            <w:tcW w:w="2213" w:type="pct"/>
            <w:tcBorders>
              <w:top w:val="single" w:color="000000" w:sz="4" w:space="0"/>
              <w:left w:val="single" w:color="000000" w:sz="4" w:space="0"/>
              <w:bottom w:val="single" w:color="000000" w:sz="4" w:space="0"/>
              <w:right w:val="single" w:color="000000" w:sz="4" w:space="0"/>
            </w:tcBorders>
            <w:noWrap w:val="0"/>
            <w:vAlign w:val="center"/>
          </w:tcPr>
          <w:p w14:paraId="3BE41CC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LED结构钢架，根据现场实际情况定制，符合国标要求</w:t>
            </w:r>
          </w:p>
        </w:tc>
        <w:tc>
          <w:tcPr>
            <w:tcW w:w="390" w:type="pct"/>
            <w:tcBorders>
              <w:top w:val="single" w:color="000000" w:sz="4" w:space="0"/>
              <w:left w:val="single" w:color="000000" w:sz="4" w:space="0"/>
              <w:bottom w:val="single" w:color="000000" w:sz="4" w:space="0"/>
              <w:right w:val="single" w:color="000000" w:sz="4" w:space="0"/>
            </w:tcBorders>
            <w:noWrap w:val="0"/>
            <w:vAlign w:val="center"/>
          </w:tcPr>
          <w:p w14:paraId="27A8D06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w:t>
            </w: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7DFFB96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平方米</w:t>
            </w:r>
          </w:p>
        </w:tc>
        <w:tc>
          <w:tcPr>
            <w:tcW w:w="442" w:type="pct"/>
            <w:tcBorders>
              <w:top w:val="single" w:color="000000" w:sz="4" w:space="0"/>
              <w:left w:val="single" w:color="000000" w:sz="4" w:space="0"/>
              <w:bottom w:val="single" w:color="000000" w:sz="4" w:space="0"/>
              <w:right w:val="single" w:color="000000" w:sz="4" w:space="0"/>
            </w:tcBorders>
            <w:noWrap w:val="0"/>
            <w:vAlign w:val="center"/>
          </w:tcPr>
          <w:p w14:paraId="75326B6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c>
          <w:tcPr>
            <w:tcW w:w="412" w:type="pct"/>
            <w:tcBorders>
              <w:top w:val="single" w:color="000000" w:sz="4" w:space="0"/>
              <w:left w:val="single" w:color="000000" w:sz="4" w:space="0"/>
              <w:bottom w:val="single" w:color="000000" w:sz="4" w:space="0"/>
              <w:right w:val="single" w:color="000000" w:sz="4" w:space="0"/>
            </w:tcBorders>
            <w:noWrap w:val="0"/>
            <w:vAlign w:val="center"/>
          </w:tcPr>
          <w:p w14:paraId="5FC7CAC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03576C1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定制</w:t>
            </w:r>
          </w:p>
        </w:tc>
      </w:tr>
      <w:tr w14:paraId="2C4B162F">
        <w:tblPrEx>
          <w:tblCellMar>
            <w:top w:w="0" w:type="dxa"/>
            <w:left w:w="108" w:type="dxa"/>
            <w:bottom w:w="0" w:type="dxa"/>
            <w:right w:w="108" w:type="dxa"/>
          </w:tblCellMar>
        </w:tblPrEx>
        <w:trPr>
          <w:trHeight w:val="529" w:hRule="atLeast"/>
          <w:jc w:val="center"/>
        </w:trPr>
        <w:tc>
          <w:tcPr>
            <w:tcW w:w="167" w:type="pct"/>
            <w:tcBorders>
              <w:top w:val="single" w:color="000000" w:sz="4" w:space="0"/>
              <w:left w:val="single" w:color="000000" w:sz="4" w:space="0"/>
              <w:bottom w:val="single" w:color="000000" w:sz="4" w:space="0"/>
              <w:right w:val="single" w:color="000000" w:sz="4" w:space="0"/>
            </w:tcBorders>
            <w:noWrap/>
            <w:vAlign w:val="center"/>
          </w:tcPr>
          <w:p w14:paraId="75847EFF">
            <w:pPr>
              <w:keepNext w:val="0"/>
              <w:keepLines w:val="0"/>
              <w:pageBreakBefore w:val="0"/>
              <w:widowControl/>
              <w:numPr>
                <w:ilvl w:val="0"/>
                <w:numId w:val="0"/>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r>
              <w:rPr>
                <w:rFonts w:hint="eastAsia" w:ascii="仿宋" w:hAnsi="仿宋" w:eastAsia="仿宋" w:cs="仿宋"/>
                <w:i w:val="0"/>
                <w:iCs w:val="0"/>
                <w:strike w:val="0"/>
                <w:dstrike w:val="0"/>
                <w:color w:val="000000"/>
                <w:kern w:val="0"/>
                <w:sz w:val="24"/>
                <w:szCs w:val="24"/>
                <w:lang w:val="en-US" w:eastAsia="zh-CN" w:bidi="ar"/>
              </w:rPr>
              <w:t>5</w:t>
            </w:r>
          </w:p>
        </w:tc>
        <w:tc>
          <w:tcPr>
            <w:tcW w:w="538" w:type="pct"/>
            <w:tcBorders>
              <w:top w:val="single" w:color="000000" w:sz="4" w:space="0"/>
              <w:left w:val="single" w:color="000000" w:sz="4" w:space="0"/>
              <w:bottom w:val="single" w:color="000000" w:sz="4" w:space="0"/>
              <w:right w:val="single" w:color="000000" w:sz="4" w:space="0"/>
            </w:tcBorders>
            <w:noWrap/>
            <w:vAlign w:val="center"/>
          </w:tcPr>
          <w:p w14:paraId="4FAB0F3A">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olor w:val="000000"/>
                <w:sz w:val="24"/>
                <w:szCs w:val="24"/>
              </w:rPr>
              <w:t>LED配电箱</w:t>
            </w:r>
          </w:p>
        </w:tc>
        <w:tc>
          <w:tcPr>
            <w:tcW w:w="2213" w:type="pct"/>
            <w:tcBorders>
              <w:top w:val="single" w:color="000000" w:sz="4" w:space="0"/>
              <w:left w:val="single" w:color="000000" w:sz="4" w:space="0"/>
              <w:bottom w:val="single" w:color="000000" w:sz="4" w:space="0"/>
              <w:right w:val="single" w:color="000000" w:sz="4" w:space="0"/>
            </w:tcBorders>
            <w:noWrap w:val="0"/>
            <w:vAlign w:val="center"/>
          </w:tcPr>
          <w:p w14:paraId="6EA4E92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20kW PLC智能配电箱</w:t>
            </w:r>
          </w:p>
        </w:tc>
        <w:tc>
          <w:tcPr>
            <w:tcW w:w="390" w:type="pct"/>
            <w:tcBorders>
              <w:top w:val="single" w:color="000000" w:sz="4" w:space="0"/>
              <w:left w:val="single" w:color="000000" w:sz="4" w:space="0"/>
              <w:bottom w:val="single" w:color="000000" w:sz="4" w:space="0"/>
              <w:right w:val="single" w:color="000000" w:sz="4" w:space="0"/>
            </w:tcBorders>
            <w:noWrap w:val="0"/>
            <w:vAlign w:val="center"/>
          </w:tcPr>
          <w:p w14:paraId="08631E9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0657A2B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442" w:type="pct"/>
            <w:tcBorders>
              <w:top w:val="single" w:color="000000" w:sz="4" w:space="0"/>
              <w:left w:val="single" w:color="000000" w:sz="4" w:space="0"/>
              <w:bottom w:val="single" w:color="000000" w:sz="4" w:space="0"/>
              <w:right w:val="single" w:color="000000" w:sz="4" w:space="0"/>
            </w:tcBorders>
            <w:noWrap w:val="0"/>
            <w:vAlign w:val="center"/>
          </w:tcPr>
          <w:p w14:paraId="72FA890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c>
          <w:tcPr>
            <w:tcW w:w="412" w:type="pct"/>
            <w:tcBorders>
              <w:top w:val="single" w:color="000000" w:sz="4" w:space="0"/>
              <w:left w:val="single" w:color="000000" w:sz="4" w:space="0"/>
              <w:bottom w:val="single" w:color="000000" w:sz="4" w:space="0"/>
              <w:right w:val="single" w:color="000000" w:sz="4" w:space="0"/>
            </w:tcBorders>
            <w:noWrap w:val="0"/>
            <w:vAlign w:val="center"/>
          </w:tcPr>
          <w:p w14:paraId="3BE82A8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52ACB5D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定制</w:t>
            </w:r>
          </w:p>
        </w:tc>
      </w:tr>
      <w:tr w14:paraId="28985C99">
        <w:tblPrEx>
          <w:tblCellMar>
            <w:top w:w="0" w:type="dxa"/>
            <w:left w:w="108" w:type="dxa"/>
            <w:bottom w:w="0" w:type="dxa"/>
            <w:right w:w="108" w:type="dxa"/>
          </w:tblCellMar>
        </w:tblPrEx>
        <w:trPr>
          <w:trHeight w:val="529" w:hRule="atLeast"/>
          <w:jc w:val="center"/>
        </w:trPr>
        <w:tc>
          <w:tcPr>
            <w:tcW w:w="167" w:type="pct"/>
            <w:tcBorders>
              <w:top w:val="single" w:color="000000" w:sz="4" w:space="0"/>
              <w:left w:val="single" w:color="000000" w:sz="4" w:space="0"/>
              <w:bottom w:val="single" w:color="000000" w:sz="4" w:space="0"/>
              <w:right w:val="single" w:color="000000" w:sz="4" w:space="0"/>
            </w:tcBorders>
            <w:noWrap/>
            <w:vAlign w:val="center"/>
          </w:tcPr>
          <w:p w14:paraId="29259EEE">
            <w:pPr>
              <w:keepNext w:val="0"/>
              <w:keepLines w:val="0"/>
              <w:pageBreakBefore w:val="0"/>
              <w:widowControl/>
              <w:numPr>
                <w:ilvl w:val="0"/>
                <w:numId w:val="0"/>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r>
              <w:rPr>
                <w:rFonts w:hint="eastAsia" w:ascii="仿宋" w:hAnsi="仿宋" w:eastAsia="仿宋" w:cs="仿宋"/>
                <w:i w:val="0"/>
                <w:iCs w:val="0"/>
                <w:strike w:val="0"/>
                <w:dstrike w:val="0"/>
                <w:color w:val="000000"/>
                <w:kern w:val="0"/>
                <w:sz w:val="24"/>
                <w:szCs w:val="24"/>
                <w:lang w:val="en-US" w:eastAsia="zh-CN" w:bidi="ar"/>
              </w:rPr>
              <w:t>6</w:t>
            </w:r>
          </w:p>
        </w:tc>
        <w:tc>
          <w:tcPr>
            <w:tcW w:w="538" w:type="pct"/>
            <w:tcBorders>
              <w:top w:val="single" w:color="000000" w:sz="4" w:space="0"/>
              <w:left w:val="single" w:color="000000" w:sz="4" w:space="0"/>
              <w:bottom w:val="single" w:color="000000" w:sz="4" w:space="0"/>
              <w:right w:val="single" w:color="000000" w:sz="4" w:space="0"/>
            </w:tcBorders>
            <w:noWrap/>
            <w:vAlign w:val="center"/>
          </w:tcPr>
          <w:p w14:paraId="631CC4AE">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olor w:val="000000"/>
                <w:sz w:val="24"/>
                <w:szCs w:val="24"/>
              </w:rPr>
              <w:t>数字影院解码器</w:t>
            </w:r>
          </w:p>
        </w:tc>
        <w:tc>
          <w:tcPr>
            <w:tcW w:w="2213" w:type="pct"/>
            <w:tcBorders>
              <w:top w:val="single" w:color="000000" w:sz="4" w:space="0"/>
              <w:left w:val="single" w:color="000000" w:sz="4" w:space="0"/>
              <w:bottom w:val="single" w:color="000000" w:sz="4" w:space="0"/>
              <w:right w:val="single" w:color="000000" w:sz="4" w:space="0"/>
            </w:tcBorders>
            <w:noWrap w:val="0"/>
            <w:vAlign w:val="center"/>
          </w:tcPr>
          <w:p w14:paraId="5840728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一、音频解码与处理</w:t>
            </w:r>
          </w:p>
          <w:p w14:paraId="11D3588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1.支持高清音频解码：Dolby TrueHD、Dolby Digital Plus、DTS‑Master Audio、DTS‑HI‑RES；向下兼容Dolby Digital（EX）、DTS、DTS‑ES、DTS96/24等7.1声道音频解码。</w:t>
            </w:r>
          </w:p>
          <w:p w14:paraId="285AA06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2.音频输出≥10路，其中不少于6路XLR平衡输出，4路RCA非平衡输出。</w:t>
            </w:r>
          </w:p>
          <w:p w14:paraId="2BA2B29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3.具备DSP数字音频处理，输入通道参量均衡≥15段，输出通道参量均衡≥12段；每通道支持高通、低通、延时、压限处理；内置自动声反馈抑制、噪声门功能，解决会议室话筒啸叫问题。</w:t>
            </w:r>
          </w:p>
          <w:p w14:paraId="0200812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4.配备光纤、同轴数字音频输入；≥2组立体声线路输入、2组TRS输入，具备立体声录音输出接口。</w:t>
            </w:r>
          </w:p>
          <w:p w14:paraId="33BA47D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5.可设置开机音量、最大音量限制。</w:t>
            </w:r>
          </w:p>
          <w:p w14:paraId="4B2B12C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6.设备配备彩色LCD显示屏，支持全中文操作菜单；支持RS232中控控制。</w:t>
            </w:r>
          </w:p>
          <w:p w14:paraId="5D1CE55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二、视频处理部分</w:t>
            </w:r>
          </w:p>
          <w:p w14:paraId="4140300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1.HDMI输入≥3路，HDMI输出≥1路，支持HDMI切换；支持HDR10、Dolby Vision、HLG广色域输出，适配P1.5 LED显示屏。</w:t>
            </w:r>
          </w:p>
          <w:p w14:paraId="741FDC6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2.支持HDMI‑ARC音频回传、CEC控制；支持3D视频，兼容480P‑1080P60分辨率。</w:t>
            </w:r>
          </w:p>
        </w:tc>
        <w:tc>
          <w:tcPr>
            <w:tcW w:w="390" w:type="pct"/>
            <w:tcBorders>
              <w:top w:val="single" w:color="000000" w:sz="4" w:space="0"/>
              <w:left w:val="single" w:color="000000" w:sz="4" w:space="0"/>
              <w:bottom w:val="single" w:color="000000" w:sz="4" w:space="0"/>
              <w:right w:val="single" w:color="000000" w:sz="4" w:space="0"/>
            </w:tcBorders>
            <w:noWrap w:val="0"/>
            <w:vAlign w:val="center"/>
          </w:tcPr>
          <w:p w14:paraId="7ACB73F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039903E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442" w:type="pct"/>
            <w:tcBorders>
              <w:top w:val="single" w:color="000000" w:sz="4" w:space="0"/>
              <w:left w:val="single" w:color="000000" w:sz="4" w:space="0"/>
              <w:bottom w:val="single" w:color="000000" w:sz="4" w:space="0"/>
              <w:right w:val="single" w:color="000000" w:sz="4" w:space="0"/>
            </w:tcBorders>
            <w:noWrap w:val="0"/>
            <w:vAlign w:val="center"/>
          </w:tcPr>
          <w:p w14:paraId="30284A3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c>
          <w:tcPr>
            <w:tcW w:w="412" w:type="pct"/>
            <w:tcBorders>
              <w:top w:val="single" w:color="000000" w:sz="4" w:space="0"/>
              <w:left w:val="single" w:color="000000" w:sz="4" w:space="0"/>
              <w:bottom w:val="single" w:color="000000" w:sz="4" w:space="0"/>
              <w:right w:val="single" w:color="000000" w:sz="4" w:space="0"/>
            </w:tcBorders>
            <w:noWrap w:val="0"/>
            <w:vAlign w:val="center"/>
          </w:tcPr>
          <w:p w14:paraId="04B06CD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54181C2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天龙 天逸 、惠威 </w:t>
            </w:r>
          </w:p>
        </w:tc>
      </w:tr>
      <w:tr w14:paraId="013B9EB4">
        <w:tblPrEx>
          <w:tblCellMar>
            <w:top w:w="0" w:type="dxa"/>
            <w:left w:w="108" w:type="dxa"/>
            <w:bottom w:w="0" w:type="dxa"/>
            <w:right w:w="108" w:type="dxa"/>
          </w:tblCellMar>
        </w:tblPrEx>
        <w:trPr>
          <w:trHeight w:val="529" w:hRule="atLeast"/>
          <w:jc w:val="center"/>
        </w:trPr>
        <w:tc>
          <w:tcPr>
            <w:tcW w:w="167" w:type="pct"/>
            <w:tcBorders>
              <w:top w:val="single" w:color="000000" w:sz="4" w:space="0"/>
              <w:left w:val="single" w:color="000000" w:sz="4" w:space="0"/>
              <w:bottom w:val="single" w:color="000000" w:sz="4" w:space="0"/>
              <w:right w:val="single" w:color="000000" w:sz="4" w:space="0"/>
            </w:tcBorders>
            <w:noWrap/>
            <w:vAlign w:val="center"/>
          </w:tcPr>
          <w:p w14:paraId="11F8E076">
            <w:pPr>
              <w:keepNext w:val="0"/>
              <w:keepLines w:val="0"/>
              <w:pageBreakBefore w:val="0"/>
              <w:widowControl/>
              <w:numPr>
                <w:ilvl w:val="0"/>
                <w:numId w:val="0"/>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r>
              <w:rPr>
                <w:rFonts w:hint="eastAsia" w:ascii="仿宋" w:hAnsi="仿宋" w:eastAsia="仿宋" w:cs="仿宋"/>
                <w:i w:val="0"/>
                <w:iCs w:val="0"/>
                <w:strike w:val="0"/>
                <w:dstrike w:val="0"/>
                <w:color w:val="000000"/>
                <w:kern w:val="0"/>
                <w:sz w:val="24"/>
                <w:szCs w:val="24"/>
                <w:lang w:val="en-US" w:eastAsia="zh-CN" w:bidi="ar"/>
              </w:rPr>
              <w:t>7</w:t>
            </w:r>
          </w:p>
        </w:tc>
        <w:tc>
          <w:tcPr>
            <w:tcW w:w="538" w:type="pct"/>
            <w:tcBorders>
              <w:top w:val="single" w:color="000000" w:sz="4" w:space="0"/>
              <w:left w:val="single" w:color="000000" w:sz="4" w:space="0"/>
              <w:bottom w:val="single" w:color="000000" w:sz="4" w:space="0"/>
              <w:right w:val="single" w:color="000000" w:sz="4" w:space="0"/>
            </w:tcBorders>
            <w:noWrap/>
            <w:vAlign w:val="center"/>
          </w:tcPr>
          <w:p w14:paraId="55CB180B">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olor w:val="000000"/>
                <w:sz w:val="24"/>
                <w:szCs w:val="24"/>
              </w:rPr>
              <w:t>LED视频处理器</w:t>
            </w:r>
          </w:p>
        </w:tc>
        <w:tc>
          <w:tcPr>
            <w:tcW w:w="2213" w:type="pct"/>
            <w:tcBorders>
              <w:top w:val="single" w:color="000000" w:sz="4" w:space="0"/>
              <w:left w:val="single" w:color="000000" w:sz="4" w:space="0"/>
              <w:bottom w:val="single" w:color="000000" w:sz="4" w:space="0"/>
              <w:right w:val="single" w:color="000000" w:sz="4" w:space="0"/>
            </w:tcBorders>
            <w:noWrap w:val="0"/>
            <w:vAlign w:val="center"/>
          </w:tcPr>
          <w:p w14:paraId="210530EE">
            <w:pPr>
              <w:keepNext w:val="0"/>
              <w:keepLines w:val="0"/>
              <w:widowControl/>
              <w:suppressLineNumbers w:val="0"/>
              <w:jc w:val="left"/>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r>
              <w:rPr>
                <w:rFonts w:hint="default" w:ascii="仿宋" w:hAnsi="仿宋" w:eastAsia="仿宋" w:cs="仿宋"/>
                <w:i w:val="0"/>
                <w:iCs w:val="0"/>
                <w:color w:val="000000"/>
                <w:kern w:val="0"/>
                <w:sz w:val="24"/>
                <w:szCs w:val="24"/>
                <w:u w:val="none"/>
                <w:lang w:val="en-US" w:eastAsia="zh-CN" w:bidi="ar"/>
              </w:rPr>
              <w:t>输入接口包括1路HDMI2.0+LOOP,2路HDMI1.3，1路USB3.0，支持选配1路3G-SDI（IN+LOOP），最大支持4096*2160@60</w:t>
            </w:r>
            <w:r>
              <w:rPr>
                <w:rFonts w:hint="eastAsia" w:ascii="仿宋" w:hAnsi="仿宋" w:eastAsia="仿宋" w:cs="仿宋"/>
                <w:i w:val="0"/>
                <w:iCs w:val="0"/>
                <w:color w:val="000000"/>
                <w:kern w:val="0"/>
                <w:sz w:val="24"/>
                <w:szCs w:val="24"/>
                <w:u w:val="none"/>
                <w:lang w:val="en-US" w:eastAsia="zh-CN" w:bidi="ar"/>
              </w:rPr>
              <w:t>Hz</w:t>
            </w:r>
            <w:r>
              <w:rPr>
                <w:rFonts w:hint="default" w:ascii="仿宋" w:hAnsi="仿宋" w:eastAsia="仿宋" w:cs="仿宋"/>
                <w:i w:val="0"/>
                <w:iCs w:val="0"/>
                <w:color w:val="000000"/>
                <w:kern w:val="0"/>
                <w:sz w:val="24"/>
                <w:szCs w:val="24"/>
                <w:u w:val="none"/>
                <w:lang w:val="en-US" w:eastAsia="zh-CN" w:bidi="ar"/>
              </w:rPr>
              <w:t>信号输入；</w:t>
            </w:r>
          </w:p>
          <w:p w14:paraId="05CF0B65">
            <w:pPr>
              <w:keepNext w:val="0"/>
              <w:keepLines w:val="0"/>
              <w:widowControl/>
              <w:suppressLineNumbers w:val="0"/>
              <w:jc w:val="left"/>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r>
              <w:rPr>
                <w:rFonts w:hint="default" w:ascii="仿宋" w:hAnsi="仿宋" w:eastAsia="仿宋" w:cs="仿宋"/>
                <w:i w:val="0"/>
                <w:iCs w:val="0"/>
                <w:color w:val="000000"/>
                <w:kern w:val="0"/>
                <w:sz w:val="24"/>
                <w:szCs w:val="24"/>
                <w:u w:val="none"/>
                <w:lang w:val="en-US" w:eastAsia="zh-CN" w:bidi="ar"/>
              </w:rPr>
              <w:t>视频输出支持6个千兆网口输出，1路10G-OPT光口，最大带载高达390万像素，最宽支持10240</w:t>
            </w:r>
            <w:r>
              <w:rPr>
                <w:rFonts w:hint="eastAsia" w:ascii="仿宋" w:hAnsi="仿宋" w:eastAsia="仿宋" w:cs="仿宋"/>
                <w:i w:val="0"/>
                <w:iCs w:val="0"/>
                <w:color w:val="000000"/>
                <w:kern w:val="0"/>
                <w:sz w:val="24"/>
                <w:szCs w:val="24"/>
                <w:u w:val="none"/>
                <w:lang w:val="en-US" w:eastAsia="zh-CN" w:bidi="ar"/>
              </w:rPr>
              <w:t>，</w:t>
            </w:r>
            <w:r>
              <w:rPr>
                <w:rFonts w:hint="default" w:ascii="仿宋" w:hAnsi="仿宋" w:eastAsia="仿宋" w:cs="仿宋"/>
                <w:i w:val="0"/>
                <w:iCs w:val="0"/>
                <w:color w:val="000000"/>
                <w:kern w:val="0"/>
                <w:sz w:val="24"/>
                <w:szCs w:val="24"/>
                <w:u w:val="none"/>
                <w:lang w:val="en-US" w:eastAsia="zh-CN" w:bidi="ar"/>
              </w:rPr>
              <w:t>最高8192。</w:t>
            </w:r>
          </w:p>
          <w:p w14:paraId="296DCF7F">
            <w:pPr>
              <w:keepNext w:val="0"/>
              <w:keepLines w:val="0"/>
              <w:widowControl/>
              <w:suppressLineNumbers w:val="0"/>
              <w:jc w:val="left"/>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r>
              <w:rPr>
                <w:rFonts w:hint="default" w:ascii="仿宋" w:hAnsi="仿宋" w:eastAsia="仿宋" w:cs="仿宋"/>
                <w:i w:val="0"/>
                <w:iCs w:val="0"/>
                <w:color w:val="000000"/>
                <w:kern w:val="0"/>
                <w:sz w:val="24"/>
                <w:szCs w:val="24"/>
                <w:u w:val="none"/>
                <w:lang w:val="en-US" w:eastAsia="zh-CN" w:bidi="ar"/>
              </w:rPr>
              <w:t>最大可支持6个2K图层或1个4K图层+2个2K图层，全部图层大小和位置可单独调节</w:t>
            </w:r>
            <w:r>
              <w:rPr>
                <w:rFonts w:hint="eastAsia" w:ascii="仿宋" w:hAnsi="仿宋" w:eastAsia="仿宋" w:cs="仿宋"/>
                <w:i w:val="0"/>
                <w:iCs w:val="0"/>
                <w:color w:val="000000"/>
                <w:kern w:val="0"/>
                <w:sz w:val="24"/>
                <w:szCs w:val="24"/>
                <w:u w:val="none"/>
                <w:lang w:val="en-US" w:eastAsia="zh-CN" w:bidi="ar"/>
              </w:rPr>
              <w:t>，7×24 小时稳定运行；支持定时待机画面自动切换、底图循环播放；兼容性强，搭配各品牌 LED 接收卡无花屏。</w:t>
            </w:r>
            <w:r>
              <w:rPr>
                <w:rFonts w:hint="default" w:ascii="仿宋" w:hAnsi="仿宋" w:eastAsia="仿宋" w:cs="仿宋"/>
                <w:i w:val="0"/>
                <w:iCs w:val="0"/>
                <w:color w:val="000000"/>
                <w:kern w:val="0"/>
                <w:sz w:val="24"/>
                <w:szCs w:val="24"/>
                <w:u w:val="none"/>
                <w:lang w:val="en-US" w:eastAsia="zh-CN" w:bidi="ar"/>
              </w:rPr>
              <w:t>4K接口输入2K信号，按2K图层计算图层资源；</w:t>
            </w:r>
          </w:p>
          <w:p w14:paraId="6B1852FC">
            <w:pPr>
              <w:keepNext w:val="0"/>
              <w:keepLines w:val="0"/>
              <w:widowControl/>
              <w:suppressLineNumbers w:val="0"/>
              <w:jc w:val="left"/>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r>
              <w:rPr>
                <w:rFonts w:hint="default" w:ascii="仿宋" w:hAnsi="仿宋" w:eastAsia="仿宋" w:cs="仿宋"/>
                <w:i w:val="0"/>
                <w:iCs w:val="0"/>
                <w:color w:val="000000"/>
                <w:kern w:val="0"/>
                <w:sz w:val="24"/>
                <w:szCs w:val="24"/>
                <w:u w:val="none"/>
                <w:lang w:val="en-US" w:eastAsia="zh-CN" w:bidi="ar"/>
              </w:rPr>
              <w:t>集成发送卡和视频处理器功能，连线更少，设备集成度更高，稳定性兼容性大大提升。</w:t>
            </w:r>
          </w:p>
          <w:p w14:paraId="13D1247F">
            <w:pPr>
              <w:keepNext w:val="0"/>
              <w:keepLines w:val="0"/>
              <w:widowControl/>
              <w:suppressLineNumbers w:val="0"/>
              <w:jc w:val="left"/>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r>
              <w:rPr>
                <w:rFonts w:hint="default" w:ascii="仿宋" w:hAnsi="仿宋" w:eastAsia="仿宋" w:cs="仿宋"/>
                <w:i w:val="0"/>
                <w:iCs w:val="0"/>
                <w:color w:val="000000"/>
                <w:kern w:val="0"/>
                <w:sz w:val="24"/>
                <w:szCs w:val="24"/>
                <w:u w:val="none"/>
                <w:lang w:val="en-US" w:eastAsia="zh-CN" w:bidi="ar"/>
              </w:rPr>
              <w:t>支持U盘即插即播功能，最大支持4K级（3840*2160@60fps）图片和视频的流畅播放，播放列表及切换效果支持自定义编排，最多支持20余种图片切换特效；</w:t>
            </w:r>
          </w:p>
          <w:p w14:paraId="275EE766">
            <w:pPr>
              <w:keepNext w:val="0"/>
              <w:keepLines w:val="0"/>
              <w:widowControl/>
              <w:suppressLineNumbers w:val="0"/>
              <w:jc w:val="left"/>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w:t>
            </w:r>
            <w:r>
              <w:rPr>
                <w:rFonts w:hint="default" w:ascii="仿宋" w:hAnsi="仿宋" w:eastAsia="仿宋" w:cs="仿宋"/>
                <w:i w:val="0"/>
                <w:iCs w:val="0"/>
                <w:color w:val="000000"/>
                <w:kern w:val="0"/>
                <w:sz w:val="24"/>
                <w:szCs w:val="24"/>
                <w:u w:val="none"/>
                <w:lang w:val="en-US" w:eastAsia="zh-CN" w:bidi="ar"/>
              </w:rPr>
              <w:t>支持微信小程序快捷控制，平板快捷控制；</w:t>
            </w:r>
          </w:p>
          <w:p w14:paraId="5AE7A53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7.配套图像处理系统支持三种画面适配模式：原始比例居中（完整显示无拉伸）、等比裁切全屏、全屏拉伸，会议文档、远程视频默认采用原始比例居中输出。</w:t>
            </w:r>
          </w:p>
        </w:tc>
        <w:tc>
          <w:tcPr>
            <w:tcW w:w="390" w:type="pct"/>
            <w:tcBorders>
              <w:top w:val="single" w:color="000000" w:sz="4" w:space="0"/>
              <w:left w:val="single" w:color="000000" w:sz="4" w:space="0"/>
              <w:bottom w:val="single" w:color="000000" w:sz="4" w:space="0"/>
              <w:right w:val="single" w:color="000000" w:sz="4" w:space="0"/>
            </w:tcBorders>
            <w:noWrap w:val="0"/>
            <w:vAlign w:val="center"/>
          </w:tcPr>
          <w:p w14:paraId="3B85E9C5">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olor w:val="000000"/>
                <w:sz w:val="24"/>
                <w:szCs w:val="24"/>
                <w:lang w:val="en-US" w:eastAsia="zh-CN"/>
              </w:rPr>
              <w:t>1</w:t>
            </w: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64EC7447">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olor w:val="000000"/>
                <w:sz w:val="24"/>
                <w:szCs w:val="24"/>
              </w:rPr>
              <w:t>台</w:t>
            </w:r>
          </w:p>
        </w:tc>
        <w:tc>
          <w:tcPr>
            <w:tcW w:w="442" w:type="pct"/>
            <w:tcBorders>
              <w:top w:val="single" w:color="000000" w:sz="4" w:space="0"/>
              <w:left w:val="single" w:color="000000" w:sz="4" w:space="0"/>
              <w:bottom w:val="single" w:color="000000" w:sz="4" w:space="0"/>
              <w:right w:val="single" w:color="000000" w:sz="4" w:space="0"/>
            </w:tcBorders>
            <w:noWrap w:val="0"/>
            <w:vAlign w:val="center"/>
          </w:tcPr>
          <w:p w14:paraId="2667B43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12" w:type="pct"/>
            <w:tcBorders>
              <w:top w:val="single" w:color="000000" w:sz="4" w:space="0"/>
              <w:left w:val="single" w:color="000000" w:sz="4" w:space="0"/>
              <w:bottom w:val="single" w:color="000000" w:sz="4" w:space="0"/>
              <w:right w:val="single" w:color="000000" w:sz="4" w:space="0"/>
            </w:tcBorders>
            <w:noWrap w:val="0"/>
            <w:vAlign w:val="center"/>
          </w:tcPr>
          <w:p w14:paraId="64A34C06">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2046180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卡莱特、诺瓦星云、唯奥视讯</w:t>
            </w:r>
          </w:p>
        </w:tc>
      </w:tr>
      <w:tr w14:paraId="619D196B">
        <w:tblPrEx>
          <w:tblCellMar>
            <w:top w:w="0" w:type="dxa"/>
            <w:left w:w="108" w:type="dxa"/>
            <w:bottom w:w="0" w:type="dxa"/>
            <w:right w:w="108" w:type="dxa"/>
          </w:tblCellMar>
        </w:tblPrEx>
        <w:trPr>
          <w:trHeight w:val="529" w:hRule="atLeast"/>
          <w:jc w:val="center"/>
        </w:trPr>
        <w:tc>
          <w:tcPr>
            <w:tcW w:w="167" w:type="pct"/>
            <w:tcBorders>
              <w:top w:val="single" w:color="000000" w:sz="4" w:space="0"/>
              <w:left w:val="single" w:color="000000" w:sz="4" w:space="0"/>
              <w:bottom w:val="single" w:color="000000" w:sz="4" w:space="0"/>
              <w:right w:val="single" w:color="000000" w:sz="4" w:space="0"/>
            </w:tcBorders>
            <w:noWrap/>
            <w:vAlign w:val="center"/>
          </w:tcPr>
          <w:p w14:paraId="17A92F1A">
            <w:pPr>
              <w:keepNext w:val="0"/>
              <w:keepLines w:val="0"/>
              <w:pageBreakBefore w:val="0"/>
              <w:widowControl/>
              <w:numPr>
                <w:ilvl w:val="0"/>
                <w:numId w:val="0"/>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r>
              <w:rPr>
                <w:rFonts w:hint="eastAsia" w:ascii="仿宋" w:hAnsi="仿宋" w:eastAsia="仿宋" w:cs="仿宋"/>
                <w:i w:val="0"/>
                <w:iCs w:val="0"/>
                <w:strike w:val="0"/>
                <w:dstrike w:val="0"/>
                <w:color w:val="000000"/>
                <w:kern w:val="0"/>
                <w:sz w:val="24"/>
                <w:szCs w:val="24"/>
                <w:lang w:val="en-US" w:eastAsia="zh-CN" w:bidi="ar"/>
              </w:rPr>
              <w:t>8</w:t>
            </w:r>
          </w:p>
        </w:tc>
        <w:tc>
          <w:tcPr>
            <w:tcW w:w="538" w:type="pct"/>
            <w:tcBorders>
              <w:top w:val="single" w:color="000000" w:sz="4" w:space="0"/>
              <w:left w:val="single" w:color="000000" w:sz="4" w:space="0"/>
              <w:bottom w:val="single" w:color="000000" w:sz="4" w:space="0"/>
              <w:right w:val="single" w:color="000000" w:sz="4" w:space="0"/>
            </w:tcBorders>
            <w:noWrap/>
            <w:vAlign w:val="center"/>
          </w:tcPr>
          <w:p w14:paraId="17EC9F10">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olor w:val="000000"/>
                <w:sz w:val="24"/>
                <w:szCs w:val="24"/>
              </w:rPr>
              <w:t>多媒体播控终端</w:t>
            </w:r>
          </w:p>
        </w:tc>
        <w:tc>
          <w:tcPr>
            <w:tcW w:w="2213" w:type="pct"/>
            <w:tcBorders>
              <w:top w:val="single" w:color="000000" w:sz="4" w:space="0"/>
              <w:left w:val="single" w:color="000000" w:sz="4" w:space="0"/>
              <w:bottom w:val="single" w:color="000000" w:sz="4" w:space="0"/>
              <w:right w:val="single" w:color="000000" w:sz="4" w:space="0"/>
            </w:tcBorders>
            <w:noWrap w:val="0"/>
            <w:vAlign w:val="center"/>
          </w:tcPr>
          <w:p w14:paraId="32F6D53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default" w:ascii="仿宋" w:hAnsi="仿宋" w:eastAsia="仿宋" w:cs="仿宋"/>
                <w:i w:val="0"/>
                <w:iCs w:val="0"/>
                <w:color w:val="000000"/>
                <w:kern w:val="0"/>
                <w:sz w:val="24"/>
                <w:szCs w:val="24"/>
                <w:u w:val="none"/>
                <w:lang w:val="en-US" w:eastAsia="zh-CN" w:bidi="ar"/>
              </w:rPr>
              <w:t>10核16线程/16GB内存/256G NVMe SSD/Quadro RTX A2000 12G显卡/500W电源/塔式机箱；具备有线和无线投屏功能。</w:t>
            </w:r>
          </w:p>
        </w:tc>
        <w:tc>
          <w:tcPr>
            <w:tcW w:w="390" w:type="pct"/>
            <w:tcBorders>
              <w:top w:val="single" w:color="000000" w:sz="4" w:space="0"/>
              <w:left w:val="single" w:color="000000" w:sz="4" w:space="0"/>
              <w:bottom w:val="single" w:color="000000" w:sz="4" w:space="0"/>
              <w:right w:val="single" w:color="000000" w:sz="4" w:space="0"/>
            </w:tcBorders>
            <w:noWrap w:val="0"/>
            <w:vAlign w:val="center"/>
          </w:tcPr>
          <w:p w14:paraId="50A7508B">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olor w:val="000000"/>
                <w:sz w:val="24"/>
                <w:szCs w:val="24"/>
                <w:lang w:val="en-US" w:eastAsia="zh-CN"/>
              </w:rPr>
              <w:t>1</w:t>
            </w: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28FF2DFA">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olor w:val="000000"/>
                <w:sz w:val="24"/>
                <w:szCs w:val="24"/>
              </w:rPr>
              <w:t>台</w:t>
            </w:r>
          </w:p>
        </w:tc>
        <w:tc>
          <w:tcPr>
            <w:tcW w:w="442" w:type="pct"/>
            <w:tcBorders>
              <w:top w:val="single" w:color="000000" w:sz="4" w:space="0"/>
              <w:left w:val="single" w:color="000000" w:sz="4" w:space="0"/>
              <w:bottom w:val="single" w:color="000000" w:sz="4" w:space="0"/>
              <w:right w:val="single" w:color="000000" w:sz="4" w:space="0"/>
            </w:tcBorders>
            <w:noWrap w:val="0"/>
            <w:vAlign w:val="center"/>
          </w:tcPr>
          <w:p w14:paraId="687C875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12" w:type="pct"/>
            <w:tcBorders>
              <w:top w:val="single" w:color="000000" w:sz="4" w:space="0"/>
              <w:left w:val="single" w:color="000000" w:sz="4" w:space="0"/>
              <w:bottom w:val="single" w:color="000000" w:sz="4" w:space="0"/>
              <w:right w:val="single" w:color="000000" w:sz="4" w:space="0"/>
            </w:tcBorders>
            <w:noWrap w:val="0"/>
            <w:vAlign w:val="center"/>
          </w:tcPr>
          <w:p w14:paraId="31A145CF">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5699AAB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联想、DELL、HP</w:t>
            </w:r>
          </w:p>
        </w:tc>
      </w:tr>
      <w:tr w14:paraId="224B3330">
        <w:tblPrEx>
          <w:tblCellMar>
            <w:top w:w="0" w:type="dxa"/>
            <w:left w:w="108" w:type="dxa"/>
            <w:bottom w:w="0" w:type="dxa"/>
            <w:right w:w="108" w:type="dxa"/>
          </w:tblCellMar>
        </w:tblPrEx>
        <w:trPr>
          <w:trHeight w:val="529" w:hRule="atLeast"/>
          <w:jc w:val="center"/>
        </w:trPr>
        <w:tc>
          <w:tcPr>
            <w:tcW w:w="167" w:type="pct"/>
            <w:tcBorders>
              <w:top w:val="single" w:color="000000" w:sz="4" w:space="0"/>
              <w:left w:val="single" w:color="000000" w:sz="4" w:space="0"/>
              <w:bottom w:val="single" w:color="000000" w:sz="4" w:space="0"/>
              <w:right w:val="single" w:color="000000" w:sz="4" w:space="0"/>
            </w:tcBorders>
            <w:noWrap/>
            <w:vAlign w:val="center"/>
          </w:tcPr>
          <w:p w14:paraId="1BC4F098">
            <w:pPr>
              <w:keepNext w:val="0"/>
              <w:keepLines w:val="0"/>
              <w:pageBreakBefore w:val="0"/>
              <w:widowControl/>
              <w:numPr>
                <w:ilvl w:val="0"/>
                <w:numId w:val="0"/>
              </w:numPr>
              <w:suppressLineNumbers w:val="0"/>
              <w:kinsoku/>
              <w:wordWrap/>
              <w:overflowPunct/>
              <w:topLinePunct w:val="0"/>
              <w:autoSpaceDE/>
              <w:autoSpaceDN/>
              <w:bidi w:val="0"/>
              <w:adjustRightInd/>
              <w:snapToGrid/>
              <w:ind w:left="0" w:leftChars="0" w:firstLine="0" w:firstLineChars="0"/>
              <w:jc w:val="center"/>
              <w:textAlignment w:val="center"/>
              <w:rPr>
                <w:rFonts w:hint="default" w:ascii="仿宋" w:hAnsi="仿宋" w:eastAsia="仿宋" w:cs="仿宋"/>
                <w:i w:val="0"/>
                <w:iCs w:val="0"/>
                <w:strike w:val="0"/>
                <w:dstrike w:val="0"/>
                <w:color w:val="000000"/>
                <w:kern w:val="0"/>
                <w:sz w:val="24"/>
                <w:szCs w:val="24"/>
                <w:lang w:val="en-US" w:eastAsia="zh-CN" w:bidi="ar"/>
              </w:rPr>
            </w:pPr>
            <w:r>
              <w:rPr>
                <w:rFonts w:hint="eastAsia" w:ascii="仿宋" w:hAnsi="仿宋" w:eastAsia="仿宋" w:cs="仿宋"/>
                <w:i w:val="0"/>
                <w:iCs w:val="0"/>
                <w:strike w:val="0"/>
                <w:dstrike w:val="0"/>
                <w:color w:val="000000"/>
                <w:kern w:val="0"/>
                <w:sz w:val="24"/>
                <w:szCs w:val="24"/>
                <w:lang w:val="en-US" w:eastAsia="zh-CN" w:bidi="ar"/>
              </w:rPr>
              <w:t>备注</w:t>
            </w:r>
          </w:p>
        </w:tc>
        <w:tc>
          <w:tcPr>
            <w:tcW w:w="4832" w:type="pct"/>
            <w:gridSpan w:val="7"/>
            <w:tcBorders>
              <w:top w:val="single" w:color="000000" w:sz="4" w:space="0"/>
              <w:left w:val="single" w:color="000000" w:sz="4" w:space="0"/>
              <w:bottom w:val="single" w:color="000000" w:sz="4" w:space="0"/>
              <w:right w:val="single" w:color="000000" w:sz="4" w:space="0"/>
            </w:tcBorders>
            <w:noWrap/>
            <w:vAlign w:val="center"/>
          </w:tcPr>
          <w:p w14:paraId="404A0D52">
            <w:pPr>
              <w:keepNext w:val="0"/>
              <w:keepLines w:val="0"/>
              <w:pageBreakBefore w:val="0"/>
              <w:kinsoku/>
              <w:wordWrap/>
              <w:overflowPunct/>
              <w:topLinePunct w:val="0"/>
              <w:autoSpaceDE/>
              <w:autoSpaceDN/>
              <w:bidi w:val="0"/>
              <w:adjustRightInd/>
              <w:snapToGrid/>
              <w:ind w:left="0"/>
              <w:jc w:val="left"/>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本项目采用固定总价包干模式，报价须涵盖设备、辅材、布线、运输、安装调试、保险及质保售后等完成本项目所需的一切费用。“P1.5LED”及“LED钢结构框架”数量为暂估量，最终结算面积上限为7平方米，若实际施工面积超过7平方米，超出部分视为供货方让利，采购人不予追加任何费用。供货方须自行踏勘现场并精确测量，将拆除、开孔、复原修复及墙体加固等全部工作量纳入报价，最终报价视为已包含全部现场风险，结算时不作调整且不得以现场情况不明为由追加费用；报价须包含LED显示屏整屏面积3%的备用模组，于验收时随设备无偿移交采购人留存用于后期维修更换，不再另行支付费用；所有电源线、信号线须优先暗敷严禁裸露明挂，因安装产生的墙面孔洞、开槽破损及墙体加固造成的破坏均由供货方负责修补复原；项目竣工验收除设备功能达标外，建筑装饰复原完好、无施工破损痕迹方可视为验收合格。</w:t>
            </w:r>
          </w:p>
        </w:tc>
      </w:tr>
    </w:tbl>
    <w:p w14:paraId="2F70C467">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rPr>
      </w:pPr>
    </w:p>
    <w:p w14:paraId="7FA506A1">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报价如下：（</w:t>
      </w:r>
      <w:r>
        <w:rPr>
          <w:rFonts w:hint="eastAsia" w:ascii="仿宋" w:hAnsi="仿宋" w:eastAsia="仿宋" w:cs="仿宋"/>
          <w:sz w:val="30"/>
          <w:szCs w:val="30"/>
          <w:lang w:eastAsia="zh-CN"/>
        </w:rPr>
        <w:t>总金额</w:t>
      </w:r>
      <w:r>
        <w:rPr>
          <w:rFonts w:hint="eastAsia" w:ascii="仿宋" w:hAnsi="仿宋" w:eastAsia="仿宋" w:cs="仿宋"/>
          <w:sz w:val="30"/>
          <w:szCs w:val="30"/>
        </w:rPr>
        <w:t>：</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 xml:space="preserve">元，税率为 </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 xml:space="preserve"> %）</w:t>
      </w:r>
    </w:p>
    <w:p w14:paraId="1AF896A4">
      <w:pPr>
        <w:pStyle w:val="20"/>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sz w:val="30"/>
          <w:szCs w:val="30"/>
          <w:lang w:val="en-US" w:eastAsia="zh-CN"/>
        </w:rPr>
      </w:pPr>
      <w:r>
        <w:rPr>
          <w:rFonts w:hint="eastAsia" w:ascii="仿宋" w:hAnsi="仿宋" w:eastAsia="仿宋" w:cs="仿宋"/>
          <w:sz w:val="30"/>
          <w:szCs w:val="30"/>
          <w:lang w:eastAsia="zh-CN"/>
        </w:rPr>
        <w:t>付款方式：</w:t>
      </w:r>
      <w:r>
        <w:rPr>
          <w:rFonts w:hint="eastAsia" w:ascii="仿宋" w:hAnsi="仿宋" w:eastAsia="仿宋" w:cs="仿宋"/>
          <w:sz w:val="30"/>
          <w:szCs w:val="30"/>
          <w:lang w:val="en-US" w:eastAsia="zh-CN"/>
        </w:rPr>
        <w:t>全部货物运送至采购人指定地点并安装调试完成，经由采购人验收合格后，供货方提供经双方确认的送货清单及等额、合法、有效的增值税专用发票，采购人自收到准确清单和发票且核对无误后，于次二月完成款项支付，若供货方未按时提供发票，或提供的发票不符合税务及采购人财务要求（包括但不限于信息错误、无法认证等），采购人有权顺延付款期限，直至收到合规发票为止。由此产生的付款延迟不视为采购人违约，采购人无需承担任何逾期付款利息或违约责任。供货方需提供三年质保服务（其中LED显示屏体灯珠质保3年、整机质保1年，电子桌牌整机质保3年，智能液晶电视整机质保3年，其他设备整机质保1年），其履约保证金（合同价的5%）到时（验收合格后）自动转为质保金，质保金于质保期满且无未决质量争议后无息退还</w:t>
      </w:r>
      <w:r>
        <w:rPr>
          <w:rFonts w:hint="eastAsia" w:ascii="仿宋" w:hAnsi="仿宋" w:eastAsia="仿宋" w:cs="仿宋"/>
          <w:color w:val="auto"/>
          <w:kern w:val="2"/>
          <w:sz w:val="30"/>
          <w:szCs w:val="30"/>
          <w:highlight w:val="none"/>
        </w:rPr>
        <w:t>。</w:t>
      </w:r>
    </w:p>
    <w:p w14:paraId="1DD44433">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_GB2312" w:eastAsia="仿宋_GB2312"/>
          <w:color w:val="auto"/>
          <w:kern w:val="2"/>
          <w:sz w:val="30"/>
          <w:szCs w:val="30"/>
          <w:highlight w:val="none"/>
          <w:lang w:eastAsia="zh-CN"/>
        </w:rPr>
        <w:t>【禁止擅自修改付款条件，未满足该条件则视为无效投标】</w:t>
      </w:r>
    </w:p>
    <w:p w14:paraId="02B1203E">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相关要求：</w:t>
      </w:r>
    </w:p>
    <w:p w14:paraId="2FF62912">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00" w:firstLineChars="200"/>
        <w:jc w:val="left"/>
        <w:textAlignment w:val="auto"/>
        <w:rPr>
          <w:rFonts w:hint="eastAsia"/>
          <w:highlight w:val="none"/>
          <w:lang w:eastAsia="zh-CN"/>
        </w:rPr>
      </w:pPr>
      <w:r>
        <w:rPr>
          <w:rFonts w:hint="eastAsia" w:ascii="仿宋" w:hAnsi="仿宋" w:eastAsia="仿宋" w:cs="仿宋"/>
          <w:color w:val="auto"/>
          <w:sz w:val="30"/>
          <w:szCs w:val="30"/>
          <w:highlight w:val="none"/>
          <w:lang w:val="en-US" w:eastAsia="zh-CN"/>
        </w:rPr>
        <w:t>1.</w:t>
      </w:r>
      <w:r>
        <w:rPr>
          <w:rFonts w:hint="eastAsia" w:ascii="仿宋" w:hAnsi="仿宋" w:eastAsia="仿宋" w:cs="仿宋"/>
          <w:sz w:val="30"/>
          <w:szCs w:val="30"/>
          <w:highlight w:val="none"/>
        </w:rPr>
        <w:t>本项</w:t>
      </w:r>
      <w:r>
        <w:rPr>
          <w:rFonts w:hint="eastAsia" w:ascii="仿宋" w:hAnsi="仿宋" w:eastAsia="仿宋" w:cs="仿宋"/>
          <w:sz w:val="30"/>
          <w:szCs w:val="30"/>
          <w:highlight w:val="none"/>
          <w:lang w:eastAsia="zh-CN"/>
        </w:rPr>
        <w:t>目采购总金额限价人民币15.4</w:t>
      </w:r>
      <w:r>
        <w:rPr>
          <w:rFonts w:hint="eastAsia" w:ascii="仿宋" w:hAnsi="仿宋" w:eastAsia="仿宋" w:cs="仿宋"/>
          <w:sz w:val="30"/>
          <w:szCs w:val="30"/>
          <w:highlight w:val="none"/>
          <w:lang w:val="en-US" w:eastAsia="zh-CN"/>
        </w:rPr>
        <w:t>万</w:t>
      </w:r>
      <w:r>
        <w:rPr>
          <w:rFonts w:hint="eastAsia" w:ascii="仿宋" w:hAnsi="仿宋" w:eastAsia="仿宋" w:cs="仿宋"/>
          <w:sz w:val="30"/>
          <w:szCs w:val="30"/>
          <w:highlight w:val="none"/>
        </w:rPr>
        <w:t>元</w:t>
      </w:r>
      <w:r>
        <w:rPr>
          <w:rFonts w:hint="eastAsia" w:ascii="仿宋" w:hAnsi="仿宋" w:eastAsia="仿宋" w:cs="仿宋"/>
          <w:sz w:val="30"/>
          <w:szCs w:val="30"/>
          <w:highlight w:val="none"/>
          <w:lang w:eastAsia="zh-CN"/>
        </w:rPr>
        <w:t>。</w:t>
      </w:r>
    </w:p>
    <w:p w14:paraId="41BC282E">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highlight w:val="none"/>
          <w:lang w:eastAsia="zh-CN"/>
        </w:rPr>
      </w:pPr>
      <w:r>
        <w:rPr>
          <w:rFonts w:hint="eastAsia" w:ascii="仿宋" w:hAnsi="仿宋" w:eastAsia="仿宋" w:cs="仿宋"/>
          <w:color w:val="auto"/>
          <w:sz w:val="30"/>
          <w:szCs w:val="30"/>
          <w:highlight w:val="none"/>
          <w:lang w:val="en-US" w:eastAsia="zh-CN"/>
        </w:rPr>
        <w:t>2.该采购项目履约保证金为合同价的5%。供货方于合同签订前将履约保证金打入采购人指定账户。项目验收合格后，履约保证金转为质保金。质保期满后，采购人退还质保金（无息）。</w:t>
      </w:r>
    </w:p>
    <w:p w14:paraId="7597BA8D">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highlight w:val="none"/>
          <w:lang w:val="en-US" w:eastAsia="zh-CN"/>
        </w:rPr>
        <w:t>3.</w:t>
      </w:r>
      <w:r>
        <w:rPr>
          <w:rFonts w:hint="eastAsia" w:ascii="仿宋" w:hAnsi="仿宋" w:eastAsia="仿宋" w:cs="仿宋"/>
          <w:color w:val="auto"/>
          <w:sz w:val="30"/>
          <w:szCs w:val="30"/>
          <w:highlight w:val="none"/>
          <w:lang w:val="en-US" w:eastAsia="zh-CN"/>
        </w:rPr>
        <w:t>预成交公示结束后，供货方在收到采购人拟订合同（所中标项</w:t>
      </w:r>
      <w:r>
        <w:rPr>
          <w:rFonts w:hint="eastAsia" w:ascii="仿宋" w:hAnsi="仿宋" w:eastAsia="仿宋" w:cs="仿宋"/>
          <w:color w:val="auto"/>
          <w:sz w:val="30"/>
          <w:szCs w:val="30"/>
          <w:lang w:val="en-US" w:eastAsia="zh-CN"/>
        </w:rPr>
        <w:t>目）电子版本后，确认无误并签署盖章，2天内邮寄给采购人。合同上的签订时间与采购人实际收到合同时间原则上不超过5天。否则视为供货方自动放弃，采购人有权解除合同。</w:t>
      </w:r>
    </w:p>
    <w:p w14:paraId="5EB59C34">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24"/>
          <w:szCs w:val="24"/>
        </w:rPr>
      </w:pPr>
      <w:r>
        <w:rPr>
          <w:rFonts w:hint="eastAsia" w:ascii="仿宋" w:hAnsi="仿宋" w:eastAsia="仿宋" w:cs="仿宋"/>
          <w:sz w:val="30"/>
          <w:szCs w:val="30"/>
          <w:lang w:val="en-US" w:eastAsia="zh-CN"/>
        </w:rPr>
        <w:t>4.以上总价应为含税全包价，包括运费、税费等一切费用，发票必须为增值税专用发票。</w:t>
      </w:r>
      <w:r>
        <w:rPr>
          <w:rFonts w:hint="eastAsia" w:ascii="仿宋" w:hAnsi="仿宋" w:eastAsia="仿宋" w:cs="仿宋"/>
          <w:sz w:val="30"/>
          <w:szCs w:val="30"/>
        </w:rPr>
        <w:tab/>
      </w:r>
      <w:r>
        <w:rPr>
          <w:rFonts w:hint="eastAsia" w:ascii="仿宋" w:hAnsi="仿宋" w:eastAsia="仿宋" w:cs="仿宋"/>
          <w:sz w:val="30"/>
          <w:szCs w:val="30"/>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p>
    <w:p w14:paraId="30A224C0">
      <w:pPr>
        <w:snapToGrid w:val="0"/>
        <w:ind w:firstLine="480" w:firstLineChars="200"/>
        <w:jc w:val="right"/>
        <w:rPr>
          <w:rFonts w:hint="eastAsia" w:ascii="仿宋" w:hAnsi="仿宋" w:eastAsia="仿宋" w:cs="仿宋"/>
          <w:sz w:val="24"/>
          <w:szCs w:val="24"/>
        </w:rPr>
      </w:pPr>
    </w:p>
    <w:p w14:paraId="149D5B0F">
      <w:pPr>
        <w:snapToGrid w:val="0"/>
        <w:ind w:firstLine="480" w:firstLineChars="200"/>
        <w:jc w:val="right"/>
        <w:rPr>
          <w:rFonts w:hint="eastAsia" w:ascii="仿宋" w:hAnsi="仿宋" w:eastAsia="仿宋" w:cs="仿宋"/>
          <w:sz w:val="24"/>
          <w:szCs w:val="24"/>
        </w:rPr>
      </w:pPr>
      <w:r>
        <w:rPr>
          <w:rFonts w:hint="eastAsia" w:ascii="仿宋" w:hAnsi="仿宋" w:eastAsia="仿宋" w:cs="仿宋"/>
          <w:sz w:val="24"/>
          <w:szCs w:val="24"/>
        </w:rPr>
        <w:t>报价单位名称（公章）：</w:t>
      </w:r>
    </w:p>
    <w:p w14:paraId="06C9FDBF">
      <w:pPr>
        <w:snapToGrid w:val="0"/>
        <w:ind w:firstLine="480" w:firstLineChars="200"/>
        <w:jc w:val="right"/>
        <w:rPr>
          <w:rFonts w:hint="eastAsia" w:ascii="仿宋" w:hAnsi="仿宋" w:eastAsia="仿宋" w:cs="仿宋"/>
          <w:sz w:val="24"/>
          <w:szCs w:val="24"/>
        </w:rPr>
        <w:sectPr>
          <w:pgSz w:w="11906" w:h="16838"/>
          <w:pgMar w:top="1701" w:right="1417" w:bottom="1134" w:left="1417" w:header="851" w:footer="992" w:gutter="0"/>
          <w:cols w:space="0" w:num="1"/>
          <w:rtlGutter w:val="0"/>
          <w:docGrid w:linePitch="312" w:charSpace="0"/>
        </w:sectPr>
      </w:pP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 xml:space="preserve">           </w:t>
      </w:r>
      <w:r>
        <w:rPr>
          <w:rFonts w:hint="default" w:ascii="仿宋" w:hAnsi="仿宋" w:eastAsia="仿宋" w:cs="仿宋"/>
          <w:sz w:val="24"/>
          <w:szCs w:val="24"/>
          <w:lang w:val="en-US"/>
        </w:rPr>
        <w:t>202</w:t>
      </w:r>
      <w:r>
        <w:rPr>
          <w:rFonts w:hint="eastAsia" w:ascii="仿宋" w:hAnsi="仿宋" w:eastAsia="仿宋" w:cs="仿宋"/>
          <w:sz w:val="24"/>
          <w:szCs w:val="24"/>
          <w:lang w:val="en-US" w:eastAsia="zh-CN"/>
        </w:rPr>
        <w:t>6</w:t>
      </w:r>
      <w:r>
        <w:rPr>
          <w:rFonts w:hint="default" w:ascii="仿宋" w:hAnsi="仿宋" w:eastAsia="仿宋" w:cs="仿宋"/>
          <w:sz w:val="24"/>
          <w:szCs w:val="24"/>
          <w:lang w:val="en-US"/>
        </w:rPr>
        <w:t>年</w:t>
      </w:r>
      <w:r>
        <w:rPr>
          <w:rFonts w:hint="eastAsia" w:ascii="仿宋" w:hAnsi="仿宋" w:eastAsia="仿宋" w:cs="仿宋"/>
          <w:sz w:val="24"/>
          <w:szCs w:val="24"/>
        </w:rPr>
        <w:t xml:space="preserve"> 月 日</w:t>
      </w:r>
    </w:p>
    <w:p w14:paraId="3E1333BF">
      <w:pPr>
        <w:jc w:val="left"/>
        <w:outlineLvl w:val="0"/>
        <w:rPr>
          <w:rStyle w:val="21"/>
          <w:rFonts w:hint="eastAsia" w:ascii="仿宋" w:hAnsi="仿宋" w:eastAsia="仿宋" w:cs="仿宋"/>
          <w:sz w:val="30"/>
        </w:rPr>
      </w:pPr>
      <w:bookmarkStart w:id="19" w:name="_Toc14352"/>
      <w:bookmarkStart w:id="20" w:name="_Toc108839328"/>
      <w:bookmarkStart w:id="21" w:name="_Toc103165678"/>
      <w:r>
        <w:rPr>
          <w:rStyle w:val="21"/>
          <w:rFonts w:hint="eastAsia" w:ascii="仿宋" w:hAnsi="仿宋" w:eastAsia="仿宋" w:cs="仿宋"/>
          <w:sz w:val="30"/>
        </w:rPr>
        <w:t>附件</w:t>
      </w:r>
      <w:r>
        <w:rPr>
          <w:rStyle w:val="21"/>
          <w:rFonts w:hint="eastAsia" w:ascii="仿宋" w:hAnsi="仿宋" w:eastAsia="仿宋" w:cs="仿宋"/>
          <w:sz w:val="30"/>
          <w:lang w:val="en-US"/>
        </w:rPr>
        <w:t>三</w:t>
      </w:r>
      <w:r>
        <w:rPr>
          <w:rStyle w:val="21"/>
          <w:rFonts w:hint="eastAsia" w:ascii="仿宋" w:hAnsi="仿宋" w:eastAsia="仿宋" w:cs="仿宋"/>
          <w:sz w:val="30"/>
        </w:rPr>
        <w:t>：</w:t>
      </w:r>
      <w:bookmarkEnd w:id="19"/>
    </w:p>
    <w:p w14:paraId="6CE07EB2">
      <w:pPr>
        <w:spacing w:line="360" w:lineRule="auto"/>
        <w:jc w:val="center"/>
        <w:rPr>
          <w:rFonts w:hint="eastAsia" w:ascii="仿宋" w:hAnsi="仿宋" w:eastAsia="仿宋" w:cs="仿宋"/>
          <w:b/>
          <w:color w:val="auto"/>
          <w:sz w:val="44"/>
        </w:rPr>
      </w:pPr>
      <w:r>
        <w:rPr>
          <w:rFonts w:hint="eastAsia" w:ascii="仿宋" w:hAnsi="仿宋" w:eastAsia="仿宋" w:cs="仿宋"/>
          <w:b/>
          <w:color w:val="auto"/>
          <w:sz w:val="44"/>
          <w:lang w:val="en-US" w:eastAsia="zh-CN"/>
        </w:rPr>
        <w:t>二 次 报 价</w:t>
      </w:r>
      <w:r>
        <w:rPr>
          <w:rFonts w:hint="eastAsia" w:ascii="仿宋" w:hAnsi="仿宋" w:eastAsia="仿宋" w:cs="仿宋"/>
          <w:b/>
          <w:color w:val="auto"/>
          <w:sz w:val="44"/>
        </w:rPr>
        <w:t xml:space="preserve"> 一 览 表</w:t>
      </w:r>
    </w:p>
    <w:p w14:paraId="7E16C454">
      <w:pPr>
        <w:pStyle w:val="22"/>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b w:val="0"/>
          <w:color w:val="auto"/>
          <w:sz w:val="30"/>
          <w:szCs w:val="30"/>
        </w:rPr>
      </w:pPr>
      <w:r>
        <w:rPr>
          <w:rFonts w:hint="eastAsia" w:ascii="仿宋" w:hAnsi="仿宋" w:eastAsia="仿宋" w:cs="仿宋"/>
          <w:b w:val="0"/>
          <w:color w:val="auto"/>
          <w:sz w:val="30"/>
          <w:szCs w:val="30"/>
          <w:lang w:eastAsia="zh-CN"/>
        </w:rPr>
        <w:t>绍兴市再生能源发展有限公司</w:t>
      </w:r>
      <w:r>
        <w:rPr>
          <w:rFonts w:hint="eastAsia" w:ascii="仿宋" w:hAnsi="仿宋" w:eastAsia="仿宋" w:cs="仿宋"/>
          <w:b w:val="0"/>
          <w:color w:val="auto"/>
          <w:sz w:val="30"/>
          <w:szCs w:val="30"/>
        </w:rPr>
        <w:t>：</w:t>
      </w:r>
    </w:p>
    <w:p w14:paraId="06333E9C">
      <w:pPr>
        <w:keepNext w:val="0"/>
        <w:keepLines w:val="0"/>
        <w:pageBreakBefore w:val="0"/>
        <w:widowControl w:val="0"/>
        <w:kinsoku/>
        <w:wordWrap/>
        <w:overflowPunct/>
        <w:topLinePunct w:val="0"/>
        <w:autoSpaceDE/>
        <w:autoSpaceDN/>
        <w:bidi w:val="0"/>
        <w:adjustRightInd/>
        <w:snapToGrid w:val="0"/>
        <w:spacing w:line="360" w:lineRule="auto"/>
        <w:ind w:firstLine="560" w:firstLineChars="200"/>
        <w:jc w:val="left"/>
        <w:textAlignment w:val="auto"/>
        <w:rPr>
          <w:rFonts w:hint="eastAsia" w:ascii="仿宋" w:hAnsi="仿宋" w:eastAsia="仿宋" w:cs="仿宋"/>
          <w:color w:val="auto"/>
          <w:sz w:val="30"/>
          <w:szCs w:val="30"/>
        </w:rPr>
      </w:pPr>
      <w:r>
        <w:rPr>
          <w:rFonts w:hint="eastAsia" w:ascii="仿宋_GB2312" w:eastAsia="仿宋_GB2312"/>
          <w:color w:val="auto"/>
          <w:sz w:val="28"/>
          <w:szCs w:val="28"/>
        </w:rPr>
        <w:t>我公司</w:t>
      </w:r>
      <w:r>
        <w:rPr>
          <w:rFonts w:hint="eastAsia" w:ascii="仿宋_GB2312" w:eastAsia="仿宋_GB2312"/>
          <w:color w:val="auto"/>
          <w:sz w:val="28"/>
          <w:szCs w:val="28"/>
          <w:u w:val="single"/>
        </w:rPr>
        <w:t xml:space="preserve">        （报价单位名称）         </w:t>
      </w:r>
      <w:r>
        <w:rPr>
          <w:rFonts w:hint="eastAsia" w:ascii="仿宋_GB2312" w:eastAsia="仿宋_GB2312"/>
          <w:color w:val="auto"/>
          <w:sz w:val="28"/>
          <w:szCs w:val="28"/>
        </w:rPr>
        <w:t>根据贵单位询价文件要求，</w:t>
      </w:r>
      <w:r>
        <w:rPr>
          <w:rFonts w:hint="eastAsia" w:ascii="仿宋_GB2312" w:eastAsia="仿宋_GB2312"/>
          <w:color w:val="auto"/>
          <w:sz w:val="28"/>
          <w:szCs w:val="28"/>
          <w:lang w:eastAsia="zh-CN"/>
        </w:rPr>
        <w:t>委派</w:t>
      </w:r>
      <w:r>
        <w:rPr>
          <w:rFonts w:hint="eastAsia" w:ascii="仿宋_GB2312" w:eastAsia="仿宋_GB2312"/>
          <w:color w:val="auto"/>
          <w:sz w:val="28"/>
          <w:szCs w:val="28"/>
          <w:u w:val="single"/>
          <w:lang w:val="en-US" w:eastAsia="zh-CN"/>
        </w:rPr>
        <w:t xml:space="preserve"> （联系人）   </w:t>
      </w:r>
      <w:r>
        <w:rPr>
          <w:rFonts w:hint="eastAsia" w:ascii="仿宋_GB2312" w:eastAsia="仿宋_GB2312"/>
          <w:color w:val="auto"/>
          <w:sz w:val="28"/>
          <w:szCs w:val="28"/>
          <w:u w:val="none"/>
          <w:lang w:val="en-US" w:eastAsia="zh-CN"/>
        </w:rPr>
        <w:t>，联系方式</w:t>
      </w:r>
      <w:r>
        <w:rPr>
          <w:rFonts w:hint="eastAsia" w:ascii="仿宋_GB2312" w:eastAsia="仿宋_GB2312"/>
          <w:color w:val="auto"/>
          <w:sz w:val="28"/>
          <w:szCs w:val="28"/>
          <w:u w:val="single"/>
          <w:lang w:val="en-US" w:eastAsia="zh-CN"/>
        </w:rPr>
        <w:t xml:space="preserve">                 </w:t>
      </w:r>
      <w:r>
        <w:rPr>
          <w:rFonts w:hint="eastAsia" w:ascii="仿宋" w:hAnsi="仿宋" w:eastAsia="仿宋" w:cs="仿宋"/>
          <w:color w:val="auto"/>
          <w:sz w:val="30"/>
          <w:szCs w:val="30"/>
        </w:rPr>
        <w:t>，参加</w:t>
      </w:r>
      <w:r>
        <w:rPr>
          <w:rFonts w:hint="eastAsia" w:ascii="仿宋" w:hAnsi="仿宋" w:eastAsia="仿宋" w:cs="仿宋"/>
          <w:color w:val="auto"/>
          <w:sz w:val="30"/>
          <w:szCs w:val="30"/>
          <w:u w:val="single"/>
        </w:rPr>
        <w:t xml:space="preserve">  </w:t>
      </w:r>
      <w:r>
        <w:rPr>
          <w:rFonts w:hint="eastAsia" w:ascii="仿宋" w:hAnsi="仿宋" w:eastAsia="仿宋" w:cs="仿宋"/>
          <w:color w:val="auto"/>
          <w:sz w:val="30"/>
          <w:szCs w:val="30"/>
          <w:u w:val="single"/>
          <w:lang w:val="en-US" w:eastAsia="zh-CN"/>
        </w:rPr>
        <w:t xml:space="preserve">绍兴市再生能源发展有限公司 会议室影音设备整体改造 </w:t>
      </w:r>
      <w:r>
        <w:rPr>
          <w:rFonts w:hint="eastAsia" w:ascii="仿宋" w:hAnsi="仿宋" w:eastAsia="仿宋" w:cs="仿宋"/>
          <w:color w:val="auto"/>
          <w:sz w:val="30"/>
          <w:szCs w:val="30"/>
          <w:u w:val="none"/>
          <w:lang w:val="en-US" w:eastAsia="zh-CN"/>
        </w:rPr>
        <w:t>项目。</w:t>
      </w:r>
    </w:p>
    <w:tbl>
      <w:tblPr>
        <w:tblStyle w:val="13"/>
        <w:tblW w:w="5382" w:type="pct"/>
        <w:jc w:val="center"/>
        <w:tblLayout w:type="fixed"/>
        <w:tblCellMar>
          <w:top w:w="0" w:type="dxa"/>
          <w:left w:w="108" w:type="dxa"/>
          <w:bottom w:w="0" w:type="dxa"/>
          <w:right w:w="108" w:type="dxa"/>
        </w:tblCellMar>
      </w:tblPr>
      <w:tblGrid>
        <w:gridCol w:w="334"/>
        <w:gridCol w:w="1076"/>
        <w:gridCol w:w="4426"/>
        <w:gridCol w:w="780"/>
        <w:gridCol w:w="525"/>
        <w:gridCol w:w="885"/>
        <w:gridCol w:w="825"/>
        <w:gridCol w:w="1147"/>
      </w:tblGrid>
      <w:tr w14:paraId="402E1610">
        <w:trPr>
          <w:trHeight w:val="467" w:hRule="atLeast"/>
          <w:jc w:val="center"/>
        </w:trPr>
        <w:tc>
          <w:tcPr>
            <w:tcW w:w="167" w:type="pct"/>
            <w:tcBorders>
              <w:top w:val="single" w:color="000000" w:sz="4" w:space="0"/>
              <w:left w:val="single" w:color="000000" w:sz="4" w:space="0"/>
              <w:bottom w:val="single" w:color="000000" w:sz="4" w:space="0"/>
              <w:right w:val="single" w:color="000000" w:sz="4" w:space="0"/>
            </w:tcBorders>
            <w:noWrap/>
            <w:vAlign w:val="center"/>
          </w:tcPr>
          <w:p w14:paraId="51FE8B9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序号</w:t>
            </w:r>
          </w:p>
        </w:tc>
        <w:tc>
          <w:tcPr>
            <w:tcW w:w="538" w:type="pct"/>
            <w:tcBorders>
              <w:top w:val="single" w:color="000000" w:sz="4" w:space="0"/>
              <w:left w:val="single" w:color="000000" w:sz="4" w:space="0"/>
              <w:bottom w:val="single" w:color="000000" w:sz="4" w:space="0"/>
              <w:right w:val="single" w:color="000000" w:sz="4" w:space="0"/>
            </w:tcBorders>
            <w:noWrap/>
            <w:vAlign w:val="center"/>
          </w:tcPr>
          <w:p w14:paraId="3F54BD2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设备名称</w:t>
            </w:r>
          </w:p>
        </w:tc>
        <w:tc>
          <w:tcPr>
            <w:tcW w:w="2213" w:type="pct"/>
            <w:tcBorders>
              <w:top w:val="single" w:color="000000" w:sz="4" w:space="0"/>
              <w:left w:val="single" w:color="000000" w:sz="4" w:space="0"/>
              <w:bottom w:val="single" w:color="000000" w:sz="4" w:space="0"/>
              <w:right w:val="single" w:color="000000" w:sz="4" w:space="0"/>
            </w:tcBorders>
            <w:noWrap/>
            <w:vAlign w:val="center"/>
          </w:tcPr>
          <w:p w14:paraId="4B35AC1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详细技术参数</w:t>
            </w:r>
          </w:p>
        </w:tc>
        <w:tc>
          <w:tcPr>
            <w:tcW w:w="390" w:type="pct"/>
            <w:tcBorders>
              <w:top w:val="single" w:color="000000" w:sz="4" w:space="0"/>
              <w:left w:val="single" w:color="000000" w:sz="4" w:space="0"/>
              <w:bottom w:val="single" w:color="000000" w:sz="4" w:space="0"/>
              <w:right w:val="single" w:color="000000" w:sz="4" w:space="0"/>
            </w:tcBorders>
            <w:noWrap/>
            <w:vAlign w:val="center"/>
          </w:tcPr>
          <w:p w14:paraId="757A394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预估数量</w:t>
            </w:r>
          </w:p>
        </w:tc>
        <w:tc>
          <w:tcPr>
            <w:tcW w:w="262" w:type="pct"/>
            <w:tcBorders>
              <w:top w:val="single" w:color="000000" w:sz="4" w:space="0"/>
              <w:left w:val="single" w:color="000000" w:sz="4" w:space="0"/>
              <w:bottom w:val="single" w:color="000000" w:sz="4" w:space="0"/>
              <w:right w:val="single" w:color="000000" w:sz="4" w:space="0"/>
            </w:tcBorders>
            <w:noWrap/>
            <w:vAlign w:val="center"/>
          </w:tcPr>
          <w:p w14:paraId="317C1BC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单位</w:t>
            </w:r>
          </w:p>
        </w:tc>
        <w:tc>
          <w:tcPr>
            <w:tcW w:w="442" w:type="pct"/>
            <w:tcBorders>
              <w:top w:val="single" w:color="000000" w:sz="4" w:space="0"/>
              <w:left w:val="single" w:color="000000" w:sz="4" w:space="0"/>
              <w:bottom w:val="single" w:color="000000" w:sz="4" w:space="0"/>
              <w:right w:val="single" w:color="000000" w:sz="4" w:space="0"/>
            </w:tcBorders>
            <w:noWrap/>
            <w:vAlign w:val="center"/>
          </w:tcPr>
          <w:p w14:paraId="16EA6AA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单价（元）</w:t>
            </w:r>
          </w:p>
        </w:tc>
        <w:tc>
          <w:tcPr>
            <w:tcW w:w="412" w:type="pct"/>
            <w:tcBorders>
              <w:top w:val="single" w:color="000000" w:sz="4" w:space="0"/>
              <w:left w:val="single" w:color="000000" w:sz="4" w:space="0"/>
              <w:bottom w:val="single" w:color="000000" w:sz="4" w:space="0"/>
              <w:right w:val="single" w:color="000000" w:sz="4" w:space="0"/>
            </w:tcBorders>
            <w:noWrap/>
            <w:vAlign w:val="center"/>
          </w:tcPr>
          <w:p w14:paraId="6122896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金额（元）</w:t>
            </w:r>
          </w:p>
        </w:tc>
        <w:tc>
          <w:tcPr>
            <w:tcW w:w="573" w:type="pct"/>
            <w:tcBorders>
              <w:top w:val="single" w:color="000000" w:sz="4" w:space="0"/>
              <w:left w:val="single" w:color="000000" w:sz="4" w:space="0"/>
              <w:bottom w:val="single" w:color="000000" w:sz="4" w:space="0"/>
              <w:right w:val="single" w:color="000000" w:sz="4" w:space="0"/>
            </w:tcBorders>
            <w:noWrap/>
            <w:vAlign w:val="center"/>
          </w:tcPr>
          <w:p w14:paraId="0288F68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品牌</w:t>
            </w:r>
          </w:p>
        </w:tc>
      </w:tr>
      <w:tr w14:paraId="55411315">
        <w:tblPrEx>
          <w:tblCellMar>
            <w:top w:w="0" w:type="dxa"/>
            <w:left w:w="108" w:type="dxa"/>
            <w:bottom w:w="0" w:type="dxa"/>
            <w:right w:w="108" w:type="dxa"/>
          </w:tblCellMar>
        </w:tblPrEx>
        <w:trPr>
          <w:trHeight w:val="529" w:hRule="atLeast"/>
          <w:jc w:val="center"/>
        </w:trPr>
        <w:tc>
          <w:tcPr>
            <w:tcW w:w="5000" w:type="pct"/>
            <w:gridSpan w:val="8"/>
            <w:tcBorders>
              <w:top w:val="single" w:color="000000" w:sz="4" w:space="0"/>
              <w:left w:val="single" w:color="000000" w:sz="4" w:space="0"/>
              <w:bottom w:val="single" w:color="000000" w:sz="4" w:space="0"/>
              <w:right w:val="single" w:color="000000" w:sz="4" w:space="0"/>
            </w:tcBorders>
            <w:noWrap/>
            <w:vAlign w:val="center"/>
          </w:tcPr>
          <w:p w14:paraId="7E53F4AD">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sz w:val="24"/>
                <w:szCs w:val="24"/>
                <w:highlight w:val="none"/>
                <w:u w:val="none"/>
                <w:lang w:val="en-US" w:eastAsia="zh-CN"/>
              </w:rPr>
              <w:t>电子桌牌</w:t>
            </w:r>
          </w:p>
        </w:tc>
      </w:tr>
      <w:tr w14:paraId="3A27612B">
        <w:tblPrEx>
          <w:tblCellMar>
            <w:top w:w="0" w:type="dxa"/>
            <w:left w:w="108" w:type="dxa"/>
            <w:bottom w:w="0" w:type="dxa"/>
            <w:right w:w="108" w:type="dxa"/>
          </w:tblCellMar>
        </w:tblPrEx>
        <w:trPr>
          <w:trHeight w:val="529" w:hRule="atLeast"/>
          <w:jc w:val="center"/>
        </w:trPr>
        <w:tc>
          <w:tcPr>
            <w:tcW w:w="167" w:type="pct"/>
            <w:tcBorders>
              <w:top w:val="single" w:color="000000" w:sz="4" w:space="0"/>
              <w:left w:val="single" w:color="000000" w:sz="4" w:space="0"/>
              <w:bottom w:val="single" w:color="000000" w:sz="4" w:space="0"/>
              <w:right w:val="single" w:color="000000" w:sz="4" w:space="0"/>
            </w:tcBorders>
            <w:noWrap/>
            <w:vAlign w:val="center"/>
          </w:tcPr>
          <w:p w14:paraId="65DBCD7B">
            <w:pPr>
              <w:keepNext w:val="0"/>
              <w:keepLines w:val="0"/>
              <w:pageBreakBefore w:val="0"/>
              <w:widowControl/>
              <w:numPr>
                <w:ilvl w:val="0"/>
                <w:numId w:val="0"/>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r>
              <w:rPr>
                <w:rFonts w:hint="default" w:ascii="仿宋" w:hAnsi="仿宋" w:eastAsia="仿宋" w:cs="仿宋"/>
                <w:i w:val="0"/>
                <w:iCs w:val="0"/>
                <w:strike w:val="0"/>
                <w:dstrike w:val="0"/>
                <w:color w:val="000000"/>
                <w:kern w:val="0"/>
                <w:sz w:val="24"/>
                <w:szCs w:val="24"/>
                <w:lang w:val="en-US" w:eastAsia="zh-CN" w:bidi="ar"/>
              </w:rPr>
              <w:t>1</w:t>
            </w:r>
          </w:p>
        </w:tc>
        <w:tc>
          <w:tcPr>
            <w:tcW w:w="538" w:type="pct"/>
            <w:tcBorders>
              <w:top w:val="single" w:color="000000" w:sz="4" w:space="0"/>
              <w:left w:val="single" w:color="000000" w:sz="4" w:space="0"/>
              <w:bottom w:val="single" w:color="000000" w:sz="4" w:space="0"/>
              <w:right w:val="single" w:color="000000" w:sz="4" w:space="0"/>
            </w:tcBorders>
            <w:noWrap/>
            <w:vAlign w:val="center"/>
          </w:tcPr>
          <w:p w14:paraId="63C1DC2D">
            <w:pPr>
              <w:keepNext w:val="0"/>
              <w:keepLines w:val="0"/>
              <w:pageBreakBefore w:val="0"/>
              <w:widowControl/>
              <w:numPr>
                <w:ilvl w:val="0"/>
                <w:numId w:val="0"/>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r>
              <w:rPr>
                <w:rFonts w:hint="eastAsia" w:ascii="仿宋" w:hAnsi="仿宋" w:eastAsia="仿宋" w:cs="仿宋"/>
                <w:i w:val="0"/>
                <w:iCs w:val="0"/>
                <w:strike w:val="0"/>
                <w:dstrike w:val="0"/>
                <w:color w:val="000000"/>
                <w:kern w:val="0"/>
                <w:sz w:val="24"/>
                <w:szCs w:val="24"/>
                <w:u w:val="none"/>
                <w:lang w:val="en-US" w:eastAsia="zh-CN" w:bidi="ar"/>
              </w:rPr>
              <w:t>电子桌牌</w:t>
            </w:r>
          </w:p>
        </w:tc>
        <w:tc>
          <w:tcPr>
            <w:tcW w:w="2213" w:type="pct"/>
            <w:tcBorders>
              <w:top w:val="single" w:color="000000" w:sz="4" w:space="0"/>
              <w:left w:val="single" w:color="000000" w:sz="4" w:space="0"/>
              <w:bottom w:val="single" w:color="000000" w:sz="4" w:space="0"/>
              <w:right w:val="single" w:color="000000" w:sz="4" w:space="0"/>
            </w:tcBorders>
            <w:noWrap w:val="0"/>
            <w:vAlign w:val="center"/>
          </w:tcPr>
          <w:p w14:paraId="70C36D5D">
            <w:pPr>
              <w:keepNext w:val="0"/>
              <w:keepLines w:val="0"/>
              <w:widowControl/>
              <w:suppressLineNumbers w:val="0"/>
              <w:jc w:val="left"/>
              <w:textAlignment w:val="center"/>
              <w:rPr>
                <w:rFonts w:hint="eastAsia"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尺寸：7.4英寸双面墨水屏电子桌牌</w:t>
            </w:r>
          </w:p>
          <w:p w14:paraId="1869D636">
            <w:pPr>
              <w:keepNext w:val="0"/>
              <w:keepLines w:val="0"/>
              <w:widowControl/>
              <w:suppressLineNumbers w:val="0"/>
              <w:jc w:val="left"/>
              <w:textAlignment w:val="center"/>
              <w:rPr>
                <w:rFonts w:hint="eastAsia"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功能：无线后台批量编辑姓名职务，免反复打印，支持手机扫码即改、批量秒发，支持蓝牙/NFC远程改字，双面异显，多模块自由切换。</w:t>
            </w:r>
          </w:p>
          <w:p w14:paraId="464AC5F5">
            <w:pPr>
              <w:keepNext w:val="0"/>
              <w:keepLines w:val="0"/>
              <w:widowControl/>
              <w:suppressLineNumbers w:val="0"/>
              <w:jc w:val="left"/>
              <w:textAlignment w:val="center"/>
              <w:rPr>
                <w:rFonts w:hint="eastAsia"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配套：配套管理软件、集中充电收纳盒。</w:t>
            </w:r>
          </w:p>
          <w:p w14:paraId="79C16C94">
            <w:pPr>
              <w:keepNext w:val="0"/>
              <w:keepLines w:val="0"/>
              <w:widowControl/>
              <w:suppressLineNumbers w:val="0"/>
              <w:jc w:val="left"/>
              <w:textAlignment w:val="center"/>
              <w:rPr>
                <w:rFonts w:hint="eastAsia"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质保：电子桌牌整机≥3年上门质保。</w:t>
            </w:r>
          </w:p>
        </w:tc>
        <w:tc>
          <w:tcPr>
            <w:tcW w:w="390" w:type="pct"/>
            <w:tcBorders>
              <w:top w:val="single" w:color="000000" w:sz="4" w:space="0"/>
              <w:left w:val="single" w:color="000000" w:sz="4" w:space="0"/>
              <w:bottom w:val="single" w:color="000000" w:sz="4" w:space="0"/>
              <w:right w:val="single" w:color="000000" w:sz="4" w:space="0"/>
            </w:tcBorders>
            <w:noWrap w:val="0"/>
            <w:vAlign w:val="center"/>
          </w:tcPr>
          <w:p w14:paraId="11B74B0B">
            <w:pPr>
              <w:keepNext w:val="0"/>
              <w:keepLines w:val="0"/>
              <w:widowControl/>
              <w:suppressLineNumbers w:val="0"/>
              <w:jc w:val="center"/>
              <w:textAlignment w:val="center"/>
              <w:rPr>
                <w:rFonts w:hint="default"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20</w:t>
            </w: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4A4985D1">
            <w:pPr>
              <w:keepNext w:val="0"/>
              <w:keepLines w:val="0"/>
              <w:widowControl/>
              <w:suppressLineNumbers w:val="0"/>
              <w:jc w:val="center"/>
              <w:textAlignment w:val="center"/>
              <w:rPr>
                <w:rFonts w:hint="default"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个</w:t>
            </w:r>
          </w:p>
        </w:tc>
        <w:tc>
          <w:tcPr>
            <w:tcW w:w="442" w:type="pct"/>
            <w:tcBorders>
              <w:top w:val="single" w:color="000000" w:sz="4" w:space="0"/>
              <w:left w:val="single" w:color="000000" w:sz="4" w:space="0"/>
              <w:bottom w:val="single" w:color="000000" w:sz="4" w:space="0"/>
              <w:right w:val="single" w:color="000000" w:sz="4" w:space="0"/>
            </w:tcBorders>
            <w:noWrap w:val="0"/>
            <w:vAlign w:val="center"/>
          </w:tcPr>
          <w:p w14:paraId="0CDA69F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12" w:type="pct"/>
            <w:tcBorders>
              <w:top w:val="single" w:color="000000" w:sz="4" w:space="0"/>
              <w:left w:val="single" w:color="000000" w:sz="4" w:space="0"/>
              <w:bottom w:val="single" w:color="000000" w:sz="4" w:space="0"/>
              <w:right w:val="single" w:color="000000" w:sz="4" w:space="0"/>
            </w:tcBorders>
            <w:noWrap w:val="0"/>
            <w:vAlign w:val="center"/>
          </w:tcPr>
          <w:p w14:paraId="6F8EFC0D">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38BF04BB">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京东方（BOE）、MAXHUB、皓丽</w:t>
            </w:r>
          </w:p>
        </w:tc>
      </w:tr>
      <w:tr w14:paraId="0B7BAA98">
        <w:tblPrEx>
          <w:tblCellMar>
            <w:top w:w="0" w:type="dxa"/>
            <w:left w:w="108" w:type="dxa"/>
            <w:bottom w:w="0" w:type="dxa"/>
            <w:right w:w="108" w:type="dxa"/>
          </w:tblCellMar>
        </w:tblPrEx>
        <w:trPr>
          <w:trHeight w:val="529" w:hRule="atLeast"/>
          <w:jc w:val="center"/>
        </w:trPr>
        <w:tc>
          <w:tcPr>
            <w:tcW w:w="5000" w:type="pct"/>
            <w:gridSpan w:val="8"/>
            <w:tcBorders>
              <w:top w:val="single" w:color="000000" w:sz="4" w:space="0"/>
              <w:left w:val="single" w:color="000000" w:sz="4" w:space="0"/>
              <w:bottom w:val="single" w:color="000000" w:sz="4" w:space="0"/>
              <w:right w:val="single" w:color="000000" w:sz="4" w:space="0"/>
            </w:tcBorders>
            <w:noWrap/>
            <w:vAlign w:val="center"/>
          </w:tcPr>
          <w:p w14:paraId="1B64E645">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u w:val="none"/>
                <w:lang w:val="en-US" w:eastAsia="zh-CN" w:bidi="ar"/>
              </w:rPr>
              <w:t>三楼会议室智慧大屏</w:t>
            </w:r>
          </w:p>
        </w:tc>
      </w:tr>
      <w:tr w14:paraId="3F47E667">
        <w:tblPrEx>
          <w:tblCellMar>
            <w:top w:w="0" w:type="dxa"/>
            <w:left w:w="108" w:type="dxa"/>
            <w:bottom w:w="0" w:type="dxa"/>
            <w:right w:w="108" w:type="dxa"/>
          </w:tblCellMar>
        </w:tblPrEx>
        <w:trPr>
          <w:trHeight w:val="529" w:hRule="atLeast"/>
          <w:jc w:val="center"/>
        </w:trPr>
        <w:tc>
          <w:tcPr>
            <w:tcW w:w="167" w:type="pct"/>
            <w:tcBorders>
              <w:top w:val="single" w:color="000000" w:sz="4" w:space="0"/>
              <w:left w:val="single" w:color="000000" w:sz="4" w:space="0"/>
              <w:bottom w:val="single" w:color="000000" w:sz="4" w:space="0"/>
              <w:right w:val="single" w:color="000000" w:sz="4" w:space="0"/>
            </w:tcBorders>
            <w:noWrap/>
            <w:vAlign w:val="center"/>
          </w:tcPr>
          <w:p w14:paraId="48ED4584">
            <w:pPr>
              <w:keepNext w:val="0"/>
              <w:keepLines w:val="0"/>
              <w:pageBreakBefore w:val="0"/>
              <w:widowControl/>
              <w:numPr>
                <w:ilvl w:val="0"/>
                <w:numId w:val="0"/>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r>
              <w:rPr>
                <w:rFonts w:hint="eastAsia" w:ascii="仿宋" w:hAnsi="仿宋" w:eastAsia="仿宋" w:cs="仿宋"/>
                <w:i w:val="0"/>
                <w:iCs w:val="0"/>
                <w:strike w:val="0"/>
                <w:dstrike w:val="0"/>
                <w:color w:val="000000"/>
                <w:kern w:val="0"/>
                <w:sz w:val="24"/>
                <w:szCs w:val="24"/>
                <w:lang w:val="en-US" w:eastAsia="zh-CN" w:bidi="ar"/>
              </w:rPr>
              <w:t>2</w:t>
            </w:r>
          </w:p>
        </w:tc>
        <w:tc>
          <w:tcPr>
            <w:tcW w:w="538" w:type="pct"/>
            <w:tcBorders>
              <w:top w:val="single" w:color="000000" w:sz="4" w:space="0"/>
              <w:left w:val="single" w:color="000000" w:sz="4" w:space="0"/>
              <w:bottom w:val="single" w:color="000000" w:sz="4" w:space="0"/>
              <w:right w:val="single" w:color="000000" w:sz="4" w:space="0"/>
            </w:tcBorders>
            <w:noWrap/>
            <w:vAlign w:val="center"/>
          </w:tcPr>
          <w:p w14:paraId="49AD0117">
            <w:pPr>
              <w:keepNext w:val="0"/>
              <w:keepLines w:val="0"/>
              <w:pageBreakBefore w:val="0"/>
              <w:widowControl/>
              <w:numPr>
                <w:ilvl w:val="0"/>
                <w:numId w:val="0"/>
              </w:numPr>
              <w:suppressLineNumbers w:val="0"/>
              <w:kinsoku/>
              <w:wordWrap/>
              <w:overflowPunct/>
              <w:topLinePunct w:val="0"/>
              <w:autoSpaceDE/>
              <w:autoSpaceDN/>
              <w:bidi w:val="0"/>
              <w:adjustRightInd/>
              <w:snapToGrid/>
              <w:ind w:left="0" w:leftChars="0" w:firstLine="0"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r>
              <w:rPr>
                <w:rFonts w:hint="eastAsia" w:ascii="仿宋" w:hAnsi="仿宋" w:eastAsia="仿宋" w:cs="仿宋"/>
                <w:i w:val="0"/>
                <w:iCs w:val="0"/>
                <w:strike w:val="0"/>
                <w:dstrike w:val="0"/>
                <w:color w:val="000000"/>
                <w:kern w:val="0"/>
                <w:sz w:val="24"/>
                <w:szCs w:val="24"/>
                <w:u w:val="none"/>
                <w:lang w:val="en-US" w:eastAsia="zh-CN" w:bidi="ar"/>
              </w:rPr>
              <w:t>三楼会议室智慧大屏</w:t>
            </w:r>
          </w:p>
        </w:tc>
        <w:tc>
          <w:tcPr>
            <w:tcW w:w="2213" w:type="pct"/>
            <w:tcBorders>
              <w:top w:val="single" w:color="000000" w:sz="4" w:space="0"/>
              <w:left w:val="single" w:color="000000" w:sz="4" w:space="0"/>
              <w:bottom w:val="single" w:color="000000" w:sz="4" w:space="0"/>
              <w:right w:val="single" w:color="000000" w:sz="4" w:space="0"/>
            </w:tcBorders>
            <w:noWrap w:val="0"/>
            <w:vAlign w:val="center"/>
          </w:tcPr>
          <w:p w14:paraId="1D89A73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1.产品规格：100英寸商用智能液晶电视，非拼接屏、非激光电视、非触摸式会议平板。</w:t>
            </w:r>
          </w:p>
          <w:p w14:paraId="2189B9A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2.显示规格：屏幕尺寸100英寸，16:9，物理分辨率3840×2160（4K）；采用AG防眩光商用面板，支持会议室长时间开机运行，具备防残影能力。</w:t>
            </w:r>
          </w:p>
          <w:p w14:paraId="5D1222F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3.硬件系统：搭载Android或HarmonyOS智能系统；运行内存≥4GB，机身存储≥128GB；支持设备后台管理。</w:t>
            </w:r>
          </w:p>
          <w:p w14:paraId="0F55C35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4.接口配置</w:t>
            </w:r>
          </w:p>
          <w:p w14:paraId="3A5A554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有线网络：配置RJ45有线网口，支持有线联网；</w:t>
            </w:r>
          </w:p>
          <w:p w14:paraId="44BF288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HDMI接口：HDMI2.0及以上接口不少于2路；</w:t>
            </w:r>
          </w:p>
          <w:p w14:paraId="7BB6591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Type‑C接口：配置1路Type‑C接口，支持视频投屏、文件读取；</w:t>
            </w:r>
          </w:p>
          <w:p w14:paraId="3E88168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USB接口：配置USB3.0、USB2.0接口，支持U盘、移动硬盘本地媒体播放；</w:t>
            </w:r>
          </w:p>
          <w:p w14:paraId="0DD2451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音频输出：配置同轴音频输出接口，可外接功放音响设备。</w:t>
            </w:r>
          </w:p>
          <w:p w14:paraId="7A34846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5.功能要求：支持无线投屏、多画面分屏显示；支持本地音视频文件播放，开机无强制广告。</w:t>
            </w:r>
          </w:p>
          <w:p w14:paraId="4A49C1B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6.安装配套：支持标准壁挂安装，提供壁挂支架及全套安装配件，包含设备上门安装调试。</w:t>
            </w:r>
          </w:p>
          <w:p w14:paraId="0500316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7.质保：提供整机不少于3年商用质保，提供本地上门售后服务。</w:t>
            </w:r>
          </w:p>
        </w:tc>
        <w:tc>
          <w:tcPr>
            <w:tcW w:w="390" w:type="pct"/>
            <w:tcBorders>
              <w:top w:val="single" w:color="000000" w:sz="4" w:space="0"/>
              <w:left w:val="single" w:color="000000" w:sz="4" w:space="0"/>
              <w:bottom w:val="single" w:color="000000" w:sz="4" w:space="0"/>
              <w:right w:val="single" w:color="000000" w:sz="4" w:space="0"/>
            </w:tcBorders>
            <w:noWrap w:val="0"/>
            <w:vAlign w:val="center"/>
          </w:tcPr>
          <w:p w14:paraId="58047582">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5891FEFE">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442" w:type="pct"/>
            <w:tcBorders>
              <w:top w:val="single" w:color="000000" w:sz="4" w:space="0"/>
              <w:left w:val="single" w:color="000000" w:sz="4" w:space="0"/>
              <w:bottom w:val="single" w:color="000000" w:sz="4" w:space="0"/>
              <w:right w:val="single" w:color="000000" w:sz="4" w:space="0"/>
            </w:tcBorders>
            <w:noWrap w:val="0"/>
            <w:vAlign w:val="center"/>
          </w:tcPr>
          <w:p w14:paraId="2F7936E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12" w:type="pct"/>
            <w:tcBorders>
              <w:top w:val="single" w:color="000000" w:sz="4" w:space="0"/>
              <w:left w:val="single" w:color="000000" w:sz="4" w:space="0"/>
              <w:bottom w:val="single" w:color="000000" w:sz="4" w:space="0"/>
              <w:right w:val="single" w:color="000000" w:sz="4" w:space="0"/>
            </w:tcBorders>
            <w:noWrap w:val="0"/>
            <w:vAlign w:val="center"/>
          </w:tcPr>
          <w:p w14:paraId="2759FA85">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193DB24E">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海</w:t>
            </w:r>
            <w:r>
              <w:rPr>
                <w:rFonts w:hint="eastAsia" w:ascii="仿宋" w:hAnsi="仿宋" w:eastAsia="仿宋" w:cs="仿宋"/>
                <w:i w:val="0"/>
                <w:iCs w:val="0"/>
                <w:color w:val="000000"/>
                <w:kern w:val="0"/>
                <w:sz w:val="24"/>
                <w:szCs w:val="24"/>
                <w:u w:val="none"/>
                <w:lang w:val="en-US" w:eastAsia="zh-CN" w:bidi="ar"/>
              </w:rPr>
              <w:t>信、TCL、创维（商用系列）</w:t>
            </w:r>
          </w:p>
        </w:tc>
      </w:tr>
      <w:tr w14:paraId="0D93466D">
        <w:tblPrEx>
          <w:tblCellMar>
            <w:top w:w="0" w:type="dxa"/>
            <w:left w:w="108" w:type="dxa"/>
            <w:bottom w:w="0" w:type="dxa"/>
            <w:right w:w="108" w:type="dxa"/>
          </w:tblCellMar>
        </w:tblPrEx>
        <w:trPr>
          <w:trHeight w:val="529" w:hRule="atLeast"/>
          <w:jc w:val="center"/>
        </w:trPr>
        <w:tc>
          <w:tcPr>
            <w:tcW w:w="5000" w:type="pct"/>
            <w:gridSpan w:val="8"/>
            <w:tcBorders>
              <w:top w:val="single" w:color="000000" w:sz="4" w:space="0"/>
              <w:left w:val="single" w:color="000000" w:sz="4" w:space="0"/>
              <w:bottom w:val="single" w:color="000000" w:sz="4" w:space="0"/>
              <w:right w:val="single" w:color="000000" w:sz="4" w:space="0"/>
            </w:tcBorders>
            <w:noWrap/>
            <w:vAlign w:val="center"/>
          </w:tcPr>
          <w:p w14:paraId="4E477813">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u w:val="none"/>
                <w:lang w:val="en-US" w:eastAsia="zh-CN" w:bidi="ar"/>
              </w:rPr>
              <w:t>二楼会议室LED大屏</w:t>
            </w:r>
          </w:p>
        </w:tc>
      </w:tr>
      <w:tr w14:paraId="1E899299">
        <w:tblPrEx>
          <w:tblCellMar>
            <w:top w:w="0" w:type="dxa"/>
            <w:left w:w="108" w:type="dxa"/>
            <w:bottom w:w="0" w:type="dxa"/>
            <w:right w:w="108" w:type="dxa"/>
          </w:tblCellMar>
        </w:tblPrEx>
        <w:trPr>
          <w:trHeight w:val="529" w:hRule="atLeast"/>
          <w:jc w:val="center"/>
        </w:trPr>
        <w:tc>
          <w:tcPr>
            <w:tcW w:w="167" w:type="pct"/>
            <w:tcBorders>
              <w:top w:val="single" w:color="000000" w:sz="4" w:space="0"/>
              <w:left w:val="single" w:color="000000" w:sz="4" w:space="0"/>
              <w:bottom w:val="single" w:color="000000" w:sz="4" w:space="0"/>
              <w:right w:val="single" w:color="000000" w:sz="4" w:space="0"/>
            </w:tcBorders>
            <w:noWrap/>
            <w:vAlign w:val="center"/>
          </w:tcPr>
          <w:p w14:paraId="4A4118DF">
            <w:pPr>
              <w:keepNext w:val="0"/>
              <w:keepLines w:val="0"/>
              <w:pageBreakBefore w:val="0"/>
              <w:widowControl/>
              <w:numPr>
                <w:ilvl w:val="0"/>
                <w:numId w:val="0"/>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r>
              <w:rPr>
                <w:rFonts w:hint="eastAsia" w:ascii="仿宋" w:hAnsi="仿宋" w:eastAsia="仿宋" w:cs="仿宋"/>
                <w:i w:val="0"/>
                <w:iCs w:val="0"/>
                <w:strike w:val="0"/>
                <w:dstrike w:val="0"/>
                <w:color w:val="000000"/>
                <w:kern w:val="0"/>
                <w:sz w:val="24"/>
                <w:szCs w:val="24"/>
                <w:lang w:val="en-US" w:eastAsia="zh-CN" w:bidi="ar"/>
              </w:rPr>
              <w:t>3</w:t>
            </w:r>
          </w:p>
        </w:tc>
        <w:tc>
          <w:tcPr>
            <w:tcW w:w="538" w:type="pct"/>
            <w:tcBorders>
              <w:top w:val="single" w:color="000000" w:sz="4" w:space="0"/>
              <w:left w:val="single" w:color="000000" w:sz="4" w:space="0"/>
              <w:bottom w:val="single" w:color="000000" w:sz="4" w:space="0"/>
              <w:right w:val="single" w:color="000000" w:sz="4" w:space="0"/>
            </w:tcBorders>
            <w:noWrap/>
            <w:vAlign w:val="center"/>
          </w:tcPr>
          <w:p w14:paraId="3229B899">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olor w:val="000000"/>
                <w:sz w:val="24"/>
                <w:szCs w:val="24"/>
              </w:rPr>
              <w:t>P1.5LED</w:t>
            </w:r>
          </w:p>
        </w:tc>
        <w:tc>
          <w:tcPr>
            <w:tcW w:w="2213" w:type="pct"/>
            <w:tcBorders>
              <w:top w:val="single" w:color="000000" w:sz="4" w:space="0"/>
              <w:left w:val="single" w:color="000000" w:sz="4" w:space="0"/>
              <w:bottom w:val="single" w:color="000000" w:sz="4" w:space="0"/>
              <w:right w:val="single" w:color="000000" w:sz="4" w:space="0"/>
            </w:tcBorders>
            <w:noWrap w:val="0"/>
            <w:vAlign w:val="center"/>
          </w:tcPr>
          <w:p w14:paraId="1C17051F">
            <w:pPr>
              <w:keepNext w:val="0"/>
              <w:keepLines w:val="0"/>
              <w:widowControl/>
              <w:suppressLineNumbers w:val="0"/>
              <w:jc w:val="left"/>
              <w:textAlignment w:val="center"/>
              <w:rPr>
                <w:rFonts w:hint="default" w:ascii="仿宋" w:hAnsi="仿宋" w:eastAsia="仿宋" w:cs="仿宋"/>
                <w:i w:val="0"/>
                <w:iCs w:val="0"/>
                <w:color w:val="000000"/>
                <w:kern w:val="0"/>
                <w:sz w:val="24"/>
                <w:szCs w:val="24"/>
                <w:u w:val="none"/>
                <w:lang w:val="en-US" w:eastAsia="zh-CN" w:bidi="ar"/>
              </w:rPr>
            </w:pPr>
            <w:r>
              <w:rPr>
                <w:rFonts w:hint="default" w:ascii="仿宋" w:hAnsi="仿宋" w:eastAsia="仿宋" w:cs="仿宋"/>
                <w:i w:val="0"/>
                <w:iCs w:val="0"/>
                <w:color w:val="000000"/>
                <w:kern w:val="0"/>
                <w:sz w:val="24"/>
                <w:szCs w:val="24"/>
                <w:u w:val="none"/>
                <w:lang w:val="en-US" w:eastAsia="zh-CN" w:bidi="ar"/>
              </w:rPr>
              <w:t>1.像素：点间距≤1.538mm，密度≥422,500点/㎡。</w:t>
            </w:r>
            <w:r>
              <w:rPr>
                <w:rFonts w:hint="default" w:ascii="仿宋" w:hAnsi="仿宋" w:eastAsia="仿宋" w:cs="仿宋"/>
                <w:i w:val="0"/>
                <w:iCs w:val="0"/>
                <w:color w:val="000000"/>
                <w:kern w:val="0"/>
                <w:sz w:val="24"/>
                <w:szCs w:val="24"/>
                <w:u w:val="none"/>
                <w:lang w:val="en-US" w:eastAsia="zh-CN" w:bidi="ar"/>
              </w:rPr>
              <w:br w:type="textWrapping"/>
            </w:r>
            <w:r>
              <w:rPr>
                <w:rFonts w:hint="default" w:ascii="仿宋" w:hAnsi="仿宋" w:eastAsia="仿宋" w:cs="仿宋"/>
                <w:i w:val="0"/>
                <w:iCs w:val="0"/>
                <w:color w:val="000000"/>
                <w:kern w:val="0"/>
                <w:sz w:val="24"/>
                <w:szCs w:val="24"/>
                <w:u w:val="none"/>
                <w:lang w:val="en-US" w:eastAsia="zh-CN" w:bidi="ar"/>
              </w:rPr>
              <w:t>2.亮度/功耗：峰值亮度≥600cd/㎡，峰值功耗≤420W/㎡，平均功耗≤140W/㎡。</w:t>
            </w:r>
            <w:r>
              <w:rPr>
                <w:rFonts w:hint="default"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3.水平视角≥1</w:t>
            </w:r>
            <w:r>
              <w:rPr>
                <w:rFonts w:hint="default" w:ascii="仿宋" w:hAnsi="仿宋" w:eastAsia="仿宋" w:cs="仿宋"/>
                <w:i w:val="0"/>
                <w:iCs w:val="0"/>
                <w:color w:val="000000"/>
                <w:kern w:val="0"/>
                <w:sz w:val="24"/>
                <w:szCs w:val="24"/>
                <w:u w:val="none"/>
                <w:lang w:val="en-US" w:eastAsia="zh-CN" w:bidi="ar"/>
              </w:rPr>
              <w:t>70</w:t>
            </w:r>
            <w:r>
              <w:rPr>
                <w:rFonts w:hint="eastAsia" w:ascii="仿宋" w:hAnsi="仿宋" w:eastAsia="仿宋" w:cs="仿宋"/>
                <w:i w:val="0"/>
                <w:iCs w:val="0"/>
                <w:color w:val="000000"/>
                <w:kern w:val="0"/>
                <w:sz w:val="24"/>
                <w:szCs w:val="24"/>
                <w:u w:val="none"/>
                <w:lang w:val="en-US" w:eastAsia="zh-CN" w:bidi="ar"/>
              </w:rPr>
              <w:t>°，垂直视角≥1</w:t>
            </w:r>
            <w:r>
              <w:rPr>
                <w:rFonts w:hint="default" w:ascii="仿宋" w:hAnsi="仿宋" w:eastAsia="仿宋" w:cs="仿宋"/>
                <w:i w:val="0"/>
                <w:iCs w:val="0"/>
                <w:color w:val="000000"/>
                <w:kern w:val="0"/>
                <w:sz w:val="24"/>
                <w:szCs w:val="24"/>
                <w:u w:val="none"/>
                <w:lang w:val="en-US" w:eastAsia="zh-CN" w:bidi="ar"/>
              </w:rPr>
              <w:t>70</w:t>
            </w:r>
            <w:r>
              <w:rPr>
                <w:rFonts w:hint="eastAsia" w:ascii="仿宋" w:hAnsi="仿宋" w:eastAsia="仿宋" w:cs="仿宋"/>
                <w:i w:val="0"/>
                <w:iCs w:val="0"/>
                <w:color w:val="000000"/>
                <w:kern w:val="0"/>
                <w:sz w:val="24"/>
                <w:szCs w:val="24"/>
                <w:u w:val="none"/>
                <w:lang w:val="en-US" w:eastAsia="zh-CN" w:bidi="ar"/>
              </w:rPr>
              <w:t>°；基色主波长误差要求为C级：ΔλD≤5nm，亮度误差值在5</w:t>
            </w:r>
            <w:r>
              <w:rPr>
                <w:rFonts w:hint="default" w:ascii="仿宋" w:hAnsi="仿宋" w:eastAsia="仿宋" w:cs="仿宋"/>
                <w:i w:val="0"/>
                <w:iCs w:val="0"/>
                <w:color w:val="000000"/>
                <w:kern w:val="0"/>
                <w:sz w:val="24"/>
                <w:szCs w:val="24"/>
                <w:u w:val="none"/>
                <w:lang w:val="en-US" w:eastAsia="zh-CN" w:bidi="ar"/>
              </w:rPr>
              <w:t>%以内</w:t>
            </w:r>
            <w:r>
              <w:rPr>
                <w:rFonts w:hint="eastAsia" w:ascii="仿宋" w:hAnsi="仿宋" w:eastAsia="仿宋" w:cs="仿宋"/>
                <w:i w:val="0"/>
                <w:iCs w:val="0"/>
                <w:color w:val="000000"/>
                <w:kern w:val="0"/>
                <w:sz w:val="24"/>
                <w:szCs w:val="24"/>
                <w:u w:val="none"/>
                <w:lang w:val="en-US" w:eastAsia="zh-CN" w:bidi="ar"/>
              </w:rPr>
              <w:t>；</w:t>
            </w:r>
          </w:p>
          <w:p w14:paraId="4AEF225A">
            <w:pPr>
              <w:keepNext w:val="0"/>
              <w:keepLines w:val="0"/>
              <w:widowControl/>
              <w:suppressLineNumbers w:val="0"/>
              <w:jc w:val="left"/>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4.亮度不低于600（cd/㎡），模组间间隙＜0</w:t>
            </w:r>
            <w:r>
              <w:rPr>
                <w:rFonts w:hint="default" w:ascii="仿宋" w:hAnsi="仿宋" w:eastAsia="仿宋" w:cs="仿宋"/>
                <w:i w:val="0"/>
                <w:iCs w:val="0"/>
                <w:color w:val="000000"/>
                <w:kern w:val="0"/>
                <w:sz w:val="24"/>
                <w:szCs w:val="24"/>
                <w:u w:val="none"/>
                <w:lang w:val="en-US" w:eastAsia="zh-CN" w:bidi="ar"/>
              </w:rPr>
              <w:t>.1mm，模组间相对错位值＜</w:t>
            </w:r>
            <w:r>
              <w:rPr>
                <w:rFonts w:hint="eastAsia" w:ascii="仿宋" w:hAnsi="仿宋" w:eastAsia="仿宋" w:cs="仿宋"/>
                <w:i w:val="0"/>
                <w:iCs w:val="0"/>
                <w:color w:val="000000"/>
                <w:kern w:val="0"/>
                <w:sz w:val="24"/>
                <w:szCs w:val="24"/>
                <w:u w:val="none"/>
                <w:lang w:val="en-US" w:eastAsia="zh-CN" w:bidi="ar"/>
              </w:rPr>
              <w:t>1</w:t>
            </w:r>
            <w:r>
              <w:rPr>
                <w:rFonts w:hint="default" w:ascii="仿宋" w:hAnsi="仿宋" w:eastAsia="仿宋" w:cs="仿宋"/>
                <w:i w:val="0"/>
                <w:iCs w:val="0"/>
                <w:color w:val="000000"/>
                <w:kern w:val="0"/>
                <w:sz w:val="24"/>
                <w:szCs w:val="24"/>
                <w:u w:val="none"/>
                <w:lang w:val="en-US" w:eastAsia="zh-CN" w:bidi="ar"/>
              </w:rPr>
              <w:t>%；亮度均匀性＞99%；色温支持2500K-9500K；发光中心距偏差＜</w:t>
            </w:r>
            <w:r>
              <w:rPr>
                <w:rFonts w:hint="eastAsia" w:ascii="仿宋" w:hAnsi="仿宋" w:eastAsia="仿宋" w:cs="仿宋"/>
                <w:i w:val="0"/>
                <w:iCs w:val="0"/>
                <w:color w:val="000000"/>
                <w:kern w:val="0"/>
                <w:sz w:val="24"/>
                <w:szCs w:val="24"/>
                <w:u w:val="none"/>
                <w:lang w:val="en-US" w:eastAsia="zh-CN" w:bidi="ar"/>
              </w:rPr>
              <w:t>1</w:t>
            </w:r>
            <w:r>
              <w:rPr>
                <w:rFonts w:hint="default" w:ascii="仿宋" w:hAnsi="仿宋" w:eastAsia="仿宋" w:cs="仿宋"/>
                <w:i w:val="0"/>
                <w:iCs w:val="0"/>
                <w:color w:val="000000"/>
                <w:kern w:val="0"/>
                <w:sz w:val="24"/>
                <w:szCs w:val="24"/>
                <w:u w:val="none"/>
                <w:lang w:val="en-US" w:eastAsia="zh-CN" w:bidi="ar"/>
              </w:rPr>
              <w:t>%；</w:t>
            </w:r>
          </w:p>
          <w:p w14:paraId="207D6C4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6.刷新率：支持通过配套软件调节刷新率的设置选项，支持刷新率≥3840Hz；</w:t>
            </w:r>
          </w:p>
          <w:p w14:paraId="2F08D54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7.含接收卡、电源、信号线、电源线等配件</w:t>
            </w:r>
          </w:p>
        </w:tc>
        <w:tc>
          <w:tcPr>
            <w:tcW w:w="390" w:type="pct"/>
            <w:tcBorders>
              <w:top w:val="single" w:color="000000" w:sz="4" w:space="0"/>
              <w:left w:val="single" w:color="000000" w:sz="4" w:space="0"/>
              <w:bottom w:val="single" w:color="000000" w:sz="4" w:space="0"/>
              <w:right w:val="single" w:color="000000" w:sz="4" w:space="0"/>
            </w:tcBorders>
            <w:noWrap w:val="0"/>
            <w:vAlign w:val="center"/>
          </w:tcPr>
          <w:p w14:paraId="649FFD5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w:t>
            </w: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11A96BD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平方米</w:t>
            </w:r>
          </w:p>
        </w:tc>
        <w:tc>
          <w:tcPr>
            <w:tcW w:w="442" w:type="pct"/>
            <w:tcBorders>
              <w:top w:val="single" w:color="000000" w:sz="4" w:space="0"/>
              <w:left w:val="single" w:color="000000" w:sz="4" w:space="0"/>
              <w:bottom w:val="single" w:color="000000" w:sz="4" w:space="0"/>
              <w:right w:val="single" w:color="000000" w:sz="4" w:space="0"/>
            </w:tcBorders>
            <w:noWrap w:val="0"/>
            <w:vAlign w:val="center"/>
          </w:tcPr>
          <w:p w14:paraId="71D845E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c>
          <w:tcPr>
            <w:tcW w:w="412" w:type="pct"/>
            <w:tcBorders>
              <w:top w:val="single" w:color="000000" w:sz="4" w:space="0"/>
              <w:left w:val="single" w:color="000000" w:sz="4" w:space="0"/>
              <w:bottom w:val="single" w:color="000000" w:sz="4" w:space="0"/>
              <w:right w:val="single" w:color="000000" w:sz="4" w:space="0"/>
            </w:tcBorders>
            <w:noWrap w:val="0"/>
            <w:vAlign w:val="center"/>
          </w:tcPr>
          <w:p w14:paraId="0C97CD2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27809E4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利亚德、洲明、艾比森</w:t>
            </w:r>
          </w:p>
        </w:tc>
      </w:tr>
      <w:tr w14:paraId="12F02C3E">
        <w:tblPrEx>
          <w:tblCellMar>
            <w:top w:w="0" w:type="dxa"/>
            <w:left w:w="108" w:type="dxa"/>
            <w:bottom w:w="0" w:type="dxa"/>
            <w:right w:w="108" w:type="dxa"/>
          </w:tblCellMar>
        </w:tblPrEx>
        <w:trPr>
          <w:trHeight w:val="529" w:hRule="atLeast"/>
          <w:jc w:val="center"/>
        </w:trPr>
        <w:tc>
          <w:tcPr>
            <w:tcW w:w="167" w:type="pct"/>
            <w:tcBorders>
              <w:top w:val="single" w:color="000000" w:sz="4" w:space="0"/>
              <w:left w:val="single" w:color="000000" w:sz="4" w:space="0"/>
              <w:bottom w:val="single" w:color="000000" w:sz="4" w:space="0"/>
              <w:right w:val="single" w:color="000000" w:sz="4" w:space="0"/>
            </w:tcBorders>
            <w:noWrap/>
            <w:vAlign w:val="center"/>
          </w:tcPr>
          <w:p w14:paraId="1E3BB385">
            <w:pPr>
              <w:keepNext w:val="0"/>
              <w:keepLines w:val="0"/>
              <w:pageBreakBefore w:val="0"/>
              <w:widowControl/>
              <w:numPr>
                <w:ilvl w:val="0"/>
                <w:numId w:val="0"/>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r>
              <w:rPr>
                <w:rFonts w:hint="eastAsia" w:ascii="仿宋" w:hAnsi="仿宋" w:eastAsia="仿宋" w:cs="仿宋"/>
                <w:i w:val="0"/>
                <w:iCs w:val="0"/>
                <w:strike w:val="0"/>
                <w:dstrike w:val="0"/>
                <w:color w:val="000000"/>
                <w:kern w:val="0"/>
                <w:sz w:val="24"/>
                <w:szCs w:val="24"/>
                <w:lang w:val="en-US" w:eastAsia="zh-CN" w:bidi="ar"/>
              </w:rPr>
              <w:t>4</w:t>
            </w:r>
          </w:p>
        </w:tc>
        <w:tc>
          <w:tcPr>
            <w:tcW w:w="538" w:type="pct"/>
            <w:tcBorders>
              <w:top w:val="single" w:color="000000" w:sz="4" w:space="0"/>
              <w:left w:val="single" w:color="000000" w:sz="4" w:space="0"/>
              <w:bottom w:val="single" w:color="000000" w:sz="4" w:space="0"/>
              <w:right w:val="single" w:color="000000" w:sz="4" w:space="0"/>
            </w:tcBorders>
            <w:noWrap/>
            <w:vAlign w:val="center"/>
          </w:tcPr>
          <w:p w14:paraId="014B908B">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olor w:val="000000"/>
                <w:sz w:val="24"/>
                <w:szCs w:val="24"/>
              </w:rPr>
              <w:t>LED钢结构框架</w:t>
            </w:r>
          </w:p>
        </w:tc>
        <w:tc>
          <w:tcPr>
            <w:tcW w:w="2213" w:type="pct"/>
            <w:tcBorders>
              <w:top w:val="single" w:color="000000" w:sz="4" w:space="0"/>
              <w:left w:val="single" w:color="000000" w:sz="4" w:space="0"/>
              <w:bottom w:val="single" w:color="000000" w:sz="4" w:space="0"/>
              <w:right w:val="single" w:color="000000" w:sz="4" w:space="0"/>
            </w:tcBorders>
            <w:noWrap w:val="0"/>
            <w:vAlign w:val="center"/>
          </w:tcPr>
          <w:p w14:paraId="46DBB28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LED结构钢架，根据现场实际情况定制，符合国标要求</w:t>
            </w:r>
          </w:p>
        </w:tc>
        <w:tc>
          <w:tcPr>
            <w:tcW w:w="390" w:type="pct"/>
            <w:tcBorders>
              <w:top w:val="single" w:color="000000" w:sz="4" w:space="0"/>
              <w:left w:val="single" w:color="000000" w:sz="4" w:space="0"/>
              <w:bottom w:val="single" w:color="000000" w:sz="4" w:space="0"/>
              <w:right w:val="single" w:color="000000" w:sz="4" w:space="0"/>
            </w:tcBorders>
            <w:noWrap w:val="0"/>
            <w:vAlign w:val="center"/>
          </w:tcPr>
          <w:p w14:paraId="7EB9334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w:t>
            </w: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7DD2B11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平方米</w:t>
            </w:r>
          </w:p>
        </w:tc>
        <w:tc>
          <w:tcPr>
            <w:tcW w:w="442" w:type="pct"/>
            <w:tcBorders>
              <w:top w:val="single" w:color="000000" w:sz="4" w:space="0"/>
              <w:left w:val="single" w:color="000000" w:sz="4" w:space="0"/>
              <w:bottom w:val="single" w:color="000000" w:sz="4" w:space="0"/>
              <w:right w:val="single" w:color="000000" w:sz="4" w:space="0"/>
            </w:tcBorders>
            <w:noWrap w:val="0"/>
            <w:vAlign w:val="center"/>
          </w:tcPr>
          <w:p w14:paraId="15D27C3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c>
          <w:tcPr>
            <w:tcW w:w="412" w:type="pct"/>
            <w:tcBorders>
              <w:top w:val="single" w:color="000000" w:sz="4" w:space="0"/>
              <w:left w:val="single" w:color="000000" w:sz="4" w:space="0"/>
              <w:bottom w:val="single" w:color="000000" w:sz="4" w:space="0"/>
              <w:right w:val="single" w:color="000000" w:sz="4" w:space="0"/>
            </w:tcBorders>
            <w:noWrap w:val="0"/>
            <w:vAlign w:val="center"/>
          </w:tcPr>
          <w:p w14:paraId="20DADD8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77211AD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定制</w:t>
            </w:r>
          </w:p>
        </w:tc>
      </w:tr>
      <w:tr w14:paraId="7E3AAA4E">
        <w:tblPrEx>
          <w:tblCellMar>
            <w:top w:w="0" w:type="dxa"/>
            <w:left w:w="108" w:type="dxa"/>
            <w:bottom w:w="0" w:type="dxa"/>
            <w:right w:w="108" w:type="dxa"/>
          </w:tblCellMar>
        </w:tblPrEx>
        <w:trPr>
          <w:trHeight w:val="529" w:hRule="atLeast"/>
          <w:jc w:val="center"/>
        </w:trPr>
        <w:tc>
          <w:tcPr>
            <w:tcW w:w="167" w:type="pct"/>
            <w:tcBorders>
              <w:top w:val="single" w:color="000000" w:sz="4" w:space="0"/>
              <w:left w:val="single" w:color="000000" w:sz="4" w:space="0"/>
              <w:bottom w:val="single" w:color="000000" w:sz="4" w:space="0"/>
              <w:right w:val="single" w:color="000000" w:sz="4" w:space="0"/>
            </w:tcBorders>
            <w:noWrap/>
            <w:vAlign w:val="center"/>
          </w:tcPr>
          <w:p w14:paraId="0DA516E4">
            <w:pPr>
              <w:keepNext w:val="0"/>
              <w:keepLines w:val="0"/>
              <w:pageBreakBefore w:val="0"/>
              <w:widowControl/>
              <w:numPr>
                <w:ilvl w:val="0"/>
                <w:numId w:val="0"/>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r>
              <w:rPr>
                <w:rFonts w:hint="eastAsia" w:ascii="仿宋" w:hAnsi="仿宋" w:eastAsia="仿宋" w:cs="仿宋"/>
                <w:i w:val="0"/>
                <w:iCs w:val="0"/>
                <w:strike w:val="0"/>
                <w:dstrike w:val="0"/>
                <w:color w:val="000000"/>
                <w:kern w:val="0"/>
                <w:sz w:val="24"/>
                <w:szCs w:val="24"/>
                <w:lang w:val="en-US" w:eastAsia="zh-CN" w:bidi="ar"/>
              </w:rPr>
              <w:t>5</w:t>
            </w:r>
          </w:p>
        </w:tc>
        <w:tc>
          <w:tcPr>
            <w:tcW w:w="538" w:type="pct"/>
            <w:tcBorders>
              <w:top w:val="single" w:color="000000" w:sz="4" w:space="0"/>
              <w:left w:val="single" w:color="000000" w:sz="4" w:space="0"/>
              <w:bottom w:val="single" w:color="000000" w:sz="4" w:space="0"/>
              <w:right w:val="single" w:color="000000" w:sz="4" w:space="0"/>
            </w:tcBorders>
            <w:noWrap/>
            <w:vAlign w:val="center"/>
          </w:tcPr>
          <w:p w14:paraId="5DECFCA9">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olor w:val="000000"/>
                <w:sz w:val="24"/>
                <w:szCs w:val="24"/>
              </w:rPr>
              <w:t>LED配电箱</w:t>
            </w:r>
          </w:p>
        </w:tc>
        <w:tc>
          <w:tcPr>
            <w:tcW w:w="2213" w:type="pct"/>
            <w:tcBorders>
              <w:top w:val="single" w:color="000000" w:sz="4" w:space="0"/>
              <w:left w:val="single" w:color="000000" w:sz="4" w:space="0"/>
              <w:bottom w:val="single" w:color="000000" w:sz="4" w:space="0"/>
              <w:right w:val="single" w:color="000000" w:sz="4" w:space="0"/>
            </w:tcBorders>
            <w:noWrap w:val="0"/>
            <w:vAlign w:val="center"/>
          </w:tcPr>
          <w:p w14:paraId="326E2A1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20kW PLC智能配电箱</w:t>
            </w:r>
          </w:p>
        </w:tc>
        <w:tc>
          <w:tcPr>
            <w:tcW w:w="390" w:type="pct"/>
            <w:tcBorders>
              <w:top w:val="single" w:color="000000" w:sz="4" w:space="0"/>
              <w:left w:val="single" w:color="000000" w:sz="4" w:space="0"/>
              <w:bottom w:val="single" w:color="000000" w:sz="4" w:space="0"/>
              <w:right w:val="single" w:color="000000" w:sz="4" w:space="0"/>
            </w:tcBorders>
            <w:noWrap w:val="0"/>
            <w:vAlign w:val="center"/>
          </w:tcPr>
          <w:p w14:paraId="1AF9665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649DA21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442" w:type="pct"/>
            <w:tcBorders>
              <w:top w:val="single" w:color="000000" w:sz="4" w:space="0"/>
              <w:left w:val="single" w:color="000000" w:sz="4" w:space="0"/>
              <w:bottom w:val="single" w:color="000000" w:sz="4" w:space="0"/>
              <w:right w:val="single" w:color="000000" w:sz="4" w:space="0"/>
            </w:tcBorders>
            <w:noWrap w:val="0"/>
            <w:vAlign w:val="center"/>
          </w:tcPr>
          <w:p w14:paraId="2DA5C49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c>
          <w:tcPr>
            <w:tcW w:w="412" w:type="pct"/>
            <w:tcBorders>
              <w:top w:val="single" w:color="000000" w:sz="4" w:space="0"/>
              <w:left w:val="single" w:color="000000" w:sz="4" w:space="0"/>
              <w:bottom w:val="single" w:color="000000" w:sz="4" w:space="0"/>
              <w:right w:val="single" w:color="000000" w:sz="4" w:space="0"/>
            </w:tcBorders>
            <w:noWrap w:val="0"/>
            <w:vAlign w:val="center"/>
          </w:tcPr>
          <w:p w14:paraId="68D83FD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5DFEC27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定制</w:t>
            </w:r>
          </w:p>
        </w:tc>
      </w:tr>
      <w:tr w14:paraId="59DA47AC">
        <w:tblPrEx>
          <w:tblCellMar>
            <w:top w:w="0" w:type="dxa"/>
            <w:left w:w="108" w:type="dxa"/>
            <w:bottom w:w="0" w:type="dxa"/>
            <w:right w:w="108" w:type="dxa"/>
          </w:tblCellMar>
        </w:tblPrEx>
        <w:trPr>
          <w:trHeight w:val="529" w:hRule="atLeast"/>
          <w:jc w:val="center"/>
        </w:trPr>
        <w:tc>
          <w:tcPr>
            <w:tcW w:w="167" w:type="pct"/>
            <w:tcBorders>
              <w:top w:val="single" w:color="000000" w:sz="4" w:space="0"/>
              <w:left w:val="single" w:color="000000" w:sz="4" w:space="0"/>
              <w:bottom w:val="single" w:color="000000" w:sz="4" w:space="0"/>
              <w:right w:val="single" w:color="000000" w:sz="4" w:space="0"/>
            </w:tcBorders>
            <w:noWrap/>
            <w:vAlign w:val="center"/>
          </w:tcPr>
          <w:p w14:paraId="27B9BCAC">
            <w:pPr>
              <w:keepNext w:val="0"/>
              <w:keepLines w:val="0"/>
              <w:pageBreakBefore w:val="0"/>
              <w:widowControl/>
              <w:numPr>
                <w:ilvl w:val="0"/>
                <w:numId w:val="0"/>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r>
              <w:rPr>
                <w:rFonts w:hint="eastAsia" w:ascii="仿宋" w:hAnsi="仿宋" w:eastAsia="仿宋" w:cs="仿宋"/>
                <w:i w:val="0"/>
                <w:iCs w:val="0"/>
                <w:strike w:val="0"/>
                <w:dstrike w:val="0"/>
                <w:color w:val="000000"/>
                <w:kern w:val="0"/>
                <w:sz w:val="24"/>
                <w:szCs w:val="24"/>
                <w:lang w:val="en-US" w:eastAsia="zh-CN" w:bidi="ar"/>
              </w:rPr>
              <w:t>6</w:t>
            </w:r>
          </w:p>
        </w:tc>
        <w:tc>
          <w:tcPr>
            <w:tcW w:w="538" w:type="pct"/>
            <w:tcBorders>
              <w:top w:val="single" w:color="000000" w:sz="4" w:space="0"/>
              <w:left w:val="single" w:color="000000" w:sz="4" w:space="0"/>
              <w:bottom w:val="single" w:color="000000" w:sz="4" w:space="0"/>
              <w:right w:val="single" w:color="000000" w:sz="4" w:space="0"/>
            </w:tcBorders>
            <w:noWrap/>
            <w:vAlign w:val="center"/>
          </w:tcPr>
          <w:p w14:paraId="362F7BCD">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olor w:val="000000"/>
                <w:sz w:val="24"/>
                <w:szCs w:val="24"/>
              </w:rPr>
              <w:t>数字影院解码器</w:t>
            </w:r>
          </w:p>
        </w:tc>
        <w:tc>
          <w:tcPr>
            <w:tcW w:w="2213" w:type="pct"/>
            <w:tcBorders>
              <w:top w:val="single" w:color="000000" w:sz="4" w:space="0"/>
              <w:left w:val="single" w:color="000000" w:sz="4" w:space="0"/>
              <w:bottom w:val="single" w:color="000000" w:sz="4" w:space="0"/>
              <w:right w:val="single" w:color="000000" w:sz="4" w:space="0"/>
            </w:tcBorders>
            <w:noWrap w:val="0"/>
            <w:vAlign w:val="center"/>
          </w:tcPr>
          <w:p w14:paraId="34AE003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一、音频解码与处理</w:t>
            </w:r>
          </w:p>
          <w:p w14:paraId="2BA86C5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1.支持高清音频解码：Dolby TrueHD、Dolby Digital Plus、DTS‑Master Audio、DTS‑HI‑RES；向下兼容Dolby Digital（EX）、DTS、DTS‑ES、DTS96/24等7.1声道音频解码。</w:t>
            </w:r>
          </w:p>
          <w:p w14:paraId="15D5B35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2.音频输出≥10路，其中不少于6路XLR平衡输出，4路RCA非平衡输出。</w:t>
            </w:r>
          </w:p>
          <w:p w14:paraId="0A1A9C4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3.具备DSP数字音频处理，输入通道参量均衡≥15段，输出通道参量均衡≥12段；每通道支持高通、低通、延时、压限处理；内置自动声反馈抑制、噪声门功能，解决会议室话筒啸叫问题。</w:t>
            </w:r>
          </w:p>
          <w:p w14:paraId="0B584D2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4.配备光纤、同轴数字音频输入；≥2组立体声线路输入、2组TRS输入，具备立体声录音输出接口。</w:t>
            </w:r>
          </w:p>
          <w:p w14:paraId="44BCA5E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5.可设置开机音量、最大音量限制。</w:t>
            </w:r>
          </w:p>
          <w:p w14:paraId="67BCCEB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6.设备配备彩色LCD显示屏，支持全中文操作菜单；支持RS232中控控制。</w:t>
            </w:r>
          </w:p>
          <w:p w14:paraId="4034101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二、视频处理部分</w:t>
            </w:r>
          </w:p>
          <w:p w14:paraId="2EFD837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1.HDMI输入≥3路，HDMI输出≥1路，支持HDMI切换；支持HDR10、Dolby Vision、HLG广色域输出，适配P1.5 LED显示屏。</w:t>
            </w:r>
          </w:p>
          <w:p w14:paraId="5724BF1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2.支持HDMI‑ARC音频回传、CEC控制；支持3D视频，兼容480P‑1080P60分辨率。</w:t>
            </w:r>
          </w:p>
        </w:tc>
        <w:tc>
          <w:tcPr>
            <w:tcW w:w="390" w:type="pct"/>
            <w:tcBorders>
              <w:top w:val="single" w:color="000000" w:sz="4" w:space="0"/>
              <w:left w:val="single" w:color="000000" w:sz="4" w:space="0"/>
              <w:bottom w:val="single" w:color="000000" w:sz="4" w:space="0"/>
              <w:right w:val="single" w:color="000000" w:sz="4" w:space="0"/>
            </w:tcBorders>
            <w:noWrap w:val="0"/>
            <w:vAlign w:val="center"/>
          </w:tcPr>
          <w:p w14:paraId="1E13821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5646FD0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442" w:type="pct"/>
            <w:tcBorders>
              <w:top w:val="single" w:color="000000" w:sz="4" w:space="0"/>
              <w:left w:val="single" w:color="000000" w:sz="4" w:space="0"/>
              <w:bottom w:val="single" w:color="000000" w:sz="4" w:space="0"/>
              <w:right w:val="single" w:color="000000" w:sz="4" w:space="0"/>
            </w:tcBorders>
            <w:noWrap w:val="0"/>
            <w:vAlign w:val="center"/>
          </w:tcPr>
          <w:p w14:paraId="0DB63FA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c>
          <w:tcPr>
            <w:tcW w:w="412" w:type="pct"/>
            <w:tcBorders>
              <w:top w:val="single" w:color="000000" w:sz="4" w:space="0"/>
              <w:left w:val="single" w:color="000000" w:sz="4" w:space="0"/>
              <w:bottom w:val="single" w:color="000000" w:sz="4" w:space="0"/>
              <w:right w:val="single" w:color="000000" w:sz="4" w:space="0"/>
            </w:tcBorders>
            <w:noWrap w:val="0"/>
            <w:vAlign w:val="center"/>
          </w:tcPr>
          <w:p w14:paraId="51F6ADA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7BC4BD0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天龙 天逸 、惠威 </w:t>
            </w:r>
          </w:p>
        </w:tc>
      </w:tr>
      <w:tr w14:paraId="1554FA0C">
        <w:tblPrEx>
          <w:tblCellMar>
            <w:top w:w="0" w:type="dxa"/>
            <w:left w:w="108" w:type="dxa"/>
            <w:bottom w:w="0" w:type="dxa"/>
            <w:right w:w="108" w:type="dxa"/>
          </w:tblCellMar>
        </w:tblPrEx>
        <w:trPr>
          <w:trHeight w:val="529" w:hRule="atLeast"/>
          <w:jc w:val="center"/>
        </w:trPr>
        <w:tc>
          <w:tcPr>
            <w:tcW w:w="167" w:type="pct"/>
            <w:tcBorders>
              <w:top w:val="single" w:color="000000" w:sz="4" w:space="0"/>
              <w:left w:val="single" w:color="000000" w:sz="4" w:space="0"/>
              <w:bottom w:val="single" w:color="000000" w:sz="4" w:space="0"/>
              <w:right w:val="single" w:color="000000" w:sz="4" w:space="0"/>
            </w:tcBorders>
            <w:noWrap/>
            <w:vAlign w:val="center"/>
          </w:tcPr>
          <w:p w14:paraId="1E7BE40B">
            <w:pPr>
              <w:keepNext w:val="0"/>
              <w:keepLines w:val="0"/>
              <w:pageBreakBefore w:val="0"/>
              <w:widowControl/>
              <w:numPr>
                <w:ilvl w:val="0"/>
                <w:numId w:val="0"/>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r>
              <w:rPr>
                <w:rFonts w:hint="eastAsia" w:ascii="仿宋" w:hAnsi="仿宋" w:eastAsia="仿宋" w:cs="仿宋"/>
                <w:i w:val="0"/>
                <w:iCs w:val="0"/>
                <w:strike w:val="0"/>
                <w:dstrike w:val="0"/>
                <w:color w:val="000000"/>
                <w:kern w:val="0"/>
                <w:sz w:val="24"/>
                <w:szCs w:val="24"/>
                <w:lang w:val="en-US" w:eastAsia="zh-CN" w:bidi="ar"/>
              </w:rPr>
              <w:t>7</w:t>
            </w:r>
          </w:p>
        </w:tc>
        <w:tc>
          <w:tcPr>
            <w:tcW w:w="538" w:type="pct"/>
            <w:tcBorders>
              <w:top w:val="single" w:color="000000" w:sz="4" w:space="0"/>
              <w:left w:val="single" w:color="000000" w:sz="4" w:space="0"/>
              <w:bottom w:val="single" w:color="000000" w:sz="4" w:space="0"/>
              <w:right w:val="single" w:color="000000" w:sz="4" w:space="0"/>
            </w:tcBorders>
            <w:noWrap/>
            <w:vAlign w:val="center"/>
          </w:tcPr>
          <w:p w14:paraId="66138C5C">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olor w:val="000000"/>
                <w:sz w:val="24"/>
                <w:szCs w:val="24"/>
              </w:rPr>
              <w:t>LED视频处理器</w:t>
            </w:r>
          </w:p>
        </w:tc>
        <w:tc>
          <w:tcPr>
            <w:tcW w:w="2213" w:type="pct"/>
            <w:tcBorders>
              <w:top w:val="single" w:color="000000" w:sz="4" w:space="0"/>
              <w:left w:val="single" w:color="000000" w:sz="4" w:space="0"/>
              <w:bottom w:val="single" w:color="000000" w:sz="4" w:space="0"/>
              <w:right w:val="single" w:color="000000" w:sz="4" w:space="0"/>
            </w:tcBorders>
            <w:noWrap w:val="0"/>
            <w:vAlign w:val="center"/>
          </w:tcPr>
          <w:p w14:paraId="063A8F32">
            <w:pPr>
              <w:keepNext w:val="0"/>
              <w:keepLines w:val="0"/>
              <w:widowControl/>
              <w:suppressLineNumbers w:val="0"/>
              <w:jc w:val="left"/>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r>
              <w:rPr>
                <w:rFonts w:hint="default" w:ascii="仿宋" w:hAnsi="仿宋" w:eastAsia="仿宋" w:cs="仿宋"/>
                <w:i w:val="0"/>
                <w:iCs w:val="0"/>
                <w:color w:val="000000"/>
                <w:kern w:val="0"/>
                <w:sz w:val="24"/>
                <w:szCs w:val="24"/>
                <w:u w:val="none"/>
                <w:lang w:val="en-US" w:eastAsia="zh-CN" w:bidi="ar"/>
              </w:rPr>
              <w:t>输入接口包括1路HDMI2.0+LOOP,2路HDMI1.3，1路USB3.0，支持选配1路3G-SDI（IN+LOOP），最大支持4096*2160@60</w:t>
            </w:r>
            <w:r>
              <w:rPr>
                <w:rFonts w:hint="eastAsia" w:ascii="仿宋" w:hAnsi="仿宋" w:eastAsia="仿宋" w:cs="仿宋"/>
                <w:i w:val="0"/>
                <w:iCs w:val="0"/>
                <w:color w:val="000000"/>
                <w:kern w:val="0"/>
                <w:sz w:val="24"/>
                <w:szCs w:val="24"/>
                <w:u w:val="none"/>
                <w:lang w:val="en-US" w:eastAsia="zh-CN" w:bidi="ar"/>
              </w:rPr>
              <w:t>Hz</w:t>
            </w:r>
            <w:r>
              <w:rPr>
                <w:rFonts w:hint="default" w:ascii="仿宋" w:hAnsi="仿宋" w:eastAsia="仿宋" w:cs="仿宋"/>
                <w:i w:val="0"/>
                <w:iCs w:val="0"/>
                <w:color w:val="000000"/>
                <w:kern w:val="0"/>
                <w:sz w:val="24"/>
                <w:szCs w:val="24"/>
                <w:u w:val="none"/>
                <w:lang w:val="en-US" w:eastAsia="zh-CN" w:bidi="ar"/>
              </w:rPr>
              <w:t>信号输入；</w:t>
            </w:r>
          </w:p>
          <w:p w14:paraId="1733E671">
            <w:pPr>
              <w:keepNext w:val="0"/>
              <w:keepLines w:val="0"/>
              <w:widowControl/>
              <w:suppressLineNumbers w:val="0"/>
              <w:jc w:val="left"/>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r>
              <w:rPr>
                <w:rFonts w:hint="default" w:ascii="仿宋" w:hAnsi="仿宋" w:eastAsia="仿宋" w:cs="仿宋"/>
                <w:i w:val="0"/>
                <w:iCs w:val="0"/>
                <w:color w:val="000000"/>
                <w:kern w:val="0"/>
                <w:sz w:val="24"/>
                <w:szCs w:val="24"/>
                <w:u w:val="none"/>
                <w:lang w:val="en-US" w:eastAsia="zh-CN" w:bidi="ar"/>
              </w:rPr>
              <w:t>视频输出支持6个千兆网口输出，1路10G-OPT光口，最大带载高达390万像素，最宽支持10240</w:t>
            </w:r>
            <w:r>
              <w:rPr>
                <w:rFonts w:hint="eastAsia" w:ascii="仿宋" w:hAnsi="仿宋" w:eastAsia="仿宋" w:cs="仿宋"/>
                <w:i w:val="0"/>
                <w:iCs w:val="0"/>
                <w:color w:val="000000"/>
                <w:kern w:val="0"/>
                <w:sz w:val="24"/>
                <w:szCs w:val="24"/>
                <w:u w:val="none"/>
                <w:lang w:val="en-US" w:eastAsia="zh-CN" w:bidi="ar"/>
              </w:rPr>
              <w:t>，</w:t>
            </w:r>
            <w:r>
              <w:rPr>
                <w:rFonts w:hint="default" w:ascii="仿宋" w:hAnsi="仿宋" w:eastAsia="仿宋" w:cs="仿宋"/>
                <w:i w:val="0"/>
                <w:iCs w:val="0"/>
                <w:color w:val="000000"/>
                <w:kern w:val="0"/>
                <w:sz w:val="24"/>
                <w:szCs w:val="24"/>
                <w:u w:val="none"/>
                <w:lang w:val="en-US" w:eastAsia="zh-CN" w:bidi="ar"/>
              </w:rPr>
              <w:t>最高8192。</w:t>
            </w:r>
          </w:p>
          <w:p w14:paraId="27BDFEDB">
            <w:pPr>
              <w:keepNext w:val="0"/>
              <w:keepLines w:val="0"/>
              <w:widowControl/>
              <w:suppressLineNumbers w:val="0"/>
              <w:jc w:val="left"/>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r>
              <w:rPr>
                <w:rFonts w:hint="default" w:ascii="仿宋" w:hAnsi="仿宋" w:eastAsia="仿宋" w:cs="仿宋"/>
                <w:i w:val="0"/>
                <w:iCs w:val="0"/>
                <w:color w:val="000000"/>
                <w:kern w:val="0"/>
                <w:sz w:val="24"/>
                <w:szCs w:val="24"/>
                <w:u w:val="none"/>
                <w:lang w:val="en-US" w:eastAsia="zh-CN" w:bidi="ar"/>
              </w:rPr>
              <w:t>最大可支持6个2K图层或1个4K图层+2个2K图层，全部图层大小和位置可单独调节</w:t>
            </w:r>
            <w:r>
              <w:rPr>
                <w:rFonts w:hint="eastAsia" w:ascii="仿宋" w:hAnsi="仿宋" w:eastAsia="仿宋" w:cs="仿宋"/>
                <w:i w:val="0"/>
                <w:iCs w:val="0"/>
                <w:color w:val="000000"/>
                <w:kern w:val="0"/>
                <w:sz w:val="24"/>
                <w:szCs w:val="24"/>
                <w:u w:val="none"/>
                <w:lang w:val="en-US" w:eastAsia="zh-CN" w:bidi="ar"/>
              </w:rPr>
              <w:t>，7×24 小时稳定运行；支持定时待机画面自动切换、底图循环播放；兼容性强，搭配各品牌 LED 接收卡无花屏。</w:t>
            </w:r>
            <w:r>
              <w:rPr>
                <w:rFonts w:hint="default" w:ascii="仿宋" w:hAnsi="仿宋" w:eastAsia="仿宋" w:cs="仿宋"/>
                <w:i w:val="0"/>
                <w:iCs w:val="0"/>
                <w:color w:val="000000"/>
                <w:kern w:val="0"/>
                <w:sz w:val="24"/>
                <w:szCs w:val="24"/>
                <w:u w:val="none"/>
                <w:lang w:val="en-US" w:eastAsia="zh-CN" w:bidi="ar"/>
              </w:rPr>
              <w:t>4K接口输入2K信号，按2K图层计算图层资源；</w:t>
            </w:r>
          </w:p>
          <w:p w14:paraId="1817AA39">
            <w:pPr>
              <w:keepNext w:val="0"/>
              <w:keepLines w:val="0"/>
              <w:widowControl/>
              <w:suppressLineNumbers w:val="0"/>
              <w:jc w:val="left"/>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r>
              <w:rPr>
                <w:rFonts w:hint="default" w:ascii="仿宋" w:hAnsi="仿宋" w:eastAsia="仿宋" w:cs="仿宋"/>
                <w:i w:val="0"/>
                <w:iCs w:val="0"/>
                <w:color w:val="000000"/>
                <w:kern w:val="0"/>
                <w:sz w:val="24"/>
                <w:szCs w:val="24"/>
                <w:u w:val="none"/>
                <w:lang w:val="en-US" w:eastAsia="zh-CN" w:bidi="ar"/>
              </w:rPr>
              <w:t>集成发送卡和视频处理器功能，连线更少，设备集成度更高，稳定性兼容性大大提升。</w:t>
            </w:r>
          </w:p>
          <w:p w14:paraId="50B5C89C">
            <w:pPr>
              <w:keepNext w:val="0"/>
              <w:keepLines w:val="0"/>
              <w:widowControl/>
              <w:suppressLineNumbers w:val="0"/>
              <w:jc w:val="left"/>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r>
              <w:rPr>
                <w:rFonts w:hint="default" w:ascii="仿宋" w:hAnsi="仿宋" w:eastAsia="仿宋" w:cs="仿宋"/>
                <w:i w:val="0"/>
                <w:iCs w:val="0"/>
                <w:color w:val="000000"/>
                <w:kern w:val="0"/>
                <w:sz w:val="24"/>
                <w:szCs w:val="24"/>
                <w:u w:val="none"/>
                <w:lang w:val="en-US" w:eastAsia="zh-CN" w:bidi="ar"/>
              </w:rPr>
              <w:t>支持U盘即插即播功能，最大支持4K级（3840*2160@60fps）图片和视频的流畅播放，播放列表及切换效果支持自定义编排，最多支持20余种图片切换特效；</w:t>
            </w:r>
          </w:p>
          <w:p w14:paraId="14C7963D">
            <w:pPr>
              <w:keepNext w:val="0"/>
              <w:keepLines w:val="0"/>
              <w:widowControl/>
              <w:suppressLineNumbers w:val="0"/>
              <w:jc w:val="left"/>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w:t>
            </w:r>
            <w:r>
              <w:rPr>
                <w:rFonts w:hint="default" w:ascii="仿宋" w:hAnsi="仿宋" w:eastAsia="仿宋" w:cs="仿宋"/>
                <w:i w:val="0"/>
                <w:iCs w:val="0"/>
                <w:color w:val="000000"/>
                <w:kern w:val="0"/>
                <w:sz w:val="24"/>
                <w:szCs w:val="24"/>
                <w:u w:val="none"/>
                <w:lang w:val="en-US" w:eastAsia="zh-CN" w:bidi="ar"/>
              </w:rPr>
              <w:t>支持微信小程序快捷控制，平板快捷控制；</w:t>
            </w:r>
          </w:p>
          <w:p w14:paraId="711DA74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7.配套图像处理系统支持三种画面适配模式：原始比例居中（完整显示无拉伸）、等比裁切全屏、全屏拉伸，会议文档、远程视频默认采用原始比例居中输出。</w:t>
            </w:r>
          </w:p>
        </w:tc>
        <w:tc>
          <w:tcPr>
            <w:tcW w:w="390" w:type="pct"/>
            <w:tcBorders>
              <w:top w:val="single" w:color="000000" w:sz="4" w:space="0"/>
              <w:left w:val="single" w:color="000000" w:sz="4" w:space="0"/>
              <w:bottom w:val="single" w:color="000000" w:sz="4" w:space="0"/>
              <w:right w:val="single" w:color="000000" w:sz="4" w:space="0"/>
            </w:tcBorders>
            <w:noWrap w:val="0"/>
            <w:vAlign w:val="center"/>
          </w:tcPr>
          <w:p w14:paraId="16C95CBF">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olor w:val="000000"/>
                <w:sz w:val="24"/>
                <w:szCs w:val="24"/>
                <w:lang w:val="en-US" w:eastAsia="zh-CN"/>
              </w:rPr>
              <w:t>1</w:t>
            </w: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26E31833">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olor w:val="000000"/>
                <w:sz w:val="24"/>
                <w:szCs w:val="24"/>
              </w:rPr>
              <w:t>台</w:t>
            </w:r>
          </w:p>
        </w:tc>
        <w:tc>
          <w:tcPr>
            <w:tcW w:w="442" w:type="pct"/>
            <w:tcBorders>
              <w:top w:val="single" w:color="000000" w:sz="4" w:space="0"/>
              <w:left w:val="single" w:color="000000" w:sz="4" w:space="0"/>
              <w:bottom w:val="single" w:color="000000" w:sz="4" w:space="0"/>
              <w:right w:val="single" w:color="000000" w:sz="4" w:space="0"/>
            </w:tcBorders>
            <w:noWrap w:val="0"/>
            <w:vAlign w:val="center"/>
          </w:tcPr>
          <w:p w14:paraId="598DFF8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12" w:type="pct"/>
            <w:tcBorders>
              <w:top w:val="single" w:color="000000" w:sz="4" w:space="0"/>
              <w:left w:val="single" w:color="000000" w:sz="4" w:space="0"/>
              <w:bottom w:val="single" w:color="000000" w:sz="4" w:space="0"/>
              <w:right w:val="single" w:color="000000" w:sz="4" w:space="0"/>
            </w:tcBorders>
            <w:noWrap w:val="0"/>
            <w:vAlign w:val="center"/>
          </w:tcPr>
          <w:p w14:paraId="0F1B890E">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0FE75EE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卡莱特、诺瓦星云、唯奥视讯</w:t>
            </w:r>
          </w:p>
        </w:tc>
      </w:tr>
      <w:tr w14:paraId="1122B1A2">
        <w:tblPrEx>
          <w:tblCellMar>
            <w:top w:w="0" w:type="dxa"/>
            <w:left w:w="108" w:type="dxa"/>
            <w:bottom w:w="0" w:type="dxa"/>
            <w:right w:w="108" w:type="dxa"/>
          </w:tblCellMar>
        </w:tblPrEx>
        <w:trPr>
          <w:trHeight w:val="529" w:hRule="atLeast"/>
          <w:jc w:val="center"/>
        </w:trPr>
        <w:tc>
          <w:tcPr>
            <w:tcW w:w="167" w:type="pct"/>
            <w:tcBorders>
              <w:top w:val="single" w:color="000000" w:sz="4" w:space="0"/>
              <w:left w:val="single" w:color="000000" w:sz="4" w:space="0"/>
              <w:bottom w:val="single" w:color="000000" w:sz="4" w:space="0"/>
              <w:right w:val="single" w:color="000000" w:sz="4" w:space="0"/>
            </w:tcBorders>
            <w:noWrap/>
            <w:vAlign w:val="center"/>
          </w:tcPr>
          <w:p w14:paraId="75CE8330">
            <w:pPr>
              <w:keepNext w:val="0"/>
              <w:keepLines w:val="0"/>
              <w:pageBreakBefore w:val="0"/>
              <w:widowControl/>
              <w:numPr>
                <w:ilvl w:val="0"/>
                <w:numId w:val="0"/>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r>
              <w:rPr>
                <w:rFonts w:hint="eastAsia" w:ascii="仿宋" w:hAnsi="仿宋" w:eastAsia="仿宋" w:cs="仿宋"/>
                <w:i w:val="0"/>
                <w:iCs w:val="0"/>
                <w:strike w:val="0"/>
                <w:dstrike w:val="0"/>
                <w:color w:val="000000"/>
                <w:kern w:val="0"/>
                <w:sz w:val="24"/>
                <w:szCs w:val="24"/>
                <w:lang w:val="en-US" w:eastAsia="zh-CN" w:bidi="ar"/>
              </w:rPr>
              <w:t>8</w:t>
            </w:r>
          </w:p>
        </w:tc>
        <w:tc>
          <w:tcPr>
            <w:tcW w:w="538" w:type="pct"/>
            <w:tcBorders>
              <w:top w:val="single" w:color="000000" w:sz="4" w:space="0"/>
              <w:left w:val="single" w:color="000000" w:sz="4" w:space="0"/>
              <w:bottom w:val="single" w:color="000000" w:sz="4" w:space="0"/>
              <w:right w:val="single" w:color="000000" w:sz="4" w:space="0"/>
            </w:tcBorders>
            <w:noWrap/>
            <w:vAlign w:val="center"/>
          </w:tcPr>
          <w:p w14:paraId="12710A72">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olor w:val="000000"/>
                <w:sz w:val="24"/>
                <w:szCs w:val="24"/>
              </w:rPr>
              <w:t>多媒体播控终端</w:t>
            </w:r>
          </w:p>
        </w:tc>
        <w:tc>
          <w:tcPr>
            <w:tcW w:w="2213" w:type="pct"/>
            <w:tcBorders>
              <w:top w:val="single" w:color="000000" w:sz="4" w:space="0"/>
              <w:left w:val="single" w:color="000000" w:sz="4" w:space="0"/>
              <w:bottom w:val="single" w:color="000000" w:sz="4" w:space="0"/>
              <w:right w:val="single" w:color="000000" w:sz="4" w:space="0"/>
            </w:tcBorders>
            <w:noWrap w:val="0"/>
            <w:vAlign w:val="center"/>
          </w:tcPr>
          <w:p w14:paraId="32181F2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default" w:ascii="仿宋" w:hAnsi="仿宋" w:eastAsia="仿宋" w:cs="仿宋"/>
                <w:i w:val="0"/>
                <w:iCs w:val="0"/>
                <w:color w:val="000000"/>
                <w:kern w:val="0"/>
                <w:sz w:val="24"/>
                <w:szCs w:val="24"/>
                <w:u w:val="none"/>
                <w:lang w:val="en-US" w:eastAsia="zh-CN" w:bidi="ar"/>
              </w:rPr>
              <w:t>10核16线程/16GB内存/256G NVMe SSD/Quadro RTX A2000 12G显卡/500W电源/塔式机箱；具备有线和无线投屏功能。</w:t>
            </w:r>
          </w:p>
        </w:tc>
        <w:tc>
          <w:tcPr>
            <w:tcW w:w="390" w:type="pct"/>
            <w:tcBorders>
              <w:top w:val="single" w:color="000000" w:sz="4" w:space="0"/>
              <w:left w:val="single" w:color="000000" w:sz="4" w:space="0"/>
              <w:bottom w:val="single" w:color="000000" w:sz="4" w:space="0"/>
              <w:right w:val="single" w:color="000000" w:sz="4" w:space="0"/>
            </w:tcBorders>
            <w:noWrap w:val="0"/>
            <w:vAlign w:val="center"/>
          </w:tcPr>
          <w:p w14:paraId="3423FC2D">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olor w:val="000000"/>
                <w:sz w:val="24"/>
                <w:szCs w:val="24"/>
                <w:lang w:val="en-US" w:eastAsia="zh-CN"/>
              </w:rPr>
              <w:t>1</w:t>
            </w:r>
          </w:p>
        </w:tc>
        <w:tc>
          <w:tcPr>
            <w:tcW w:w="262" w:type="pct"/>
            <w:tcBorders>
              <w:top w:val="single" w:color="000000" w:sz="4" w:space="0"/>
              <w:left w:val="single" w:color="000000" w:sz="4" w:space="0"/>
              <w:bottom w:val="single" w:color="000000" w:sz="4" w:space="0"/>
              <w:right w:val="single" w:color="000000" w:sz="4" w:space="0"/>
            </w:tcBorders>
            <w:noWrap w:val="0"/>
            <w:vAlign w:val="center"/>
          </w:tcPr>
          <w:p w14:paraId="6D975FFA">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olor w:val="000000"/>
                <w:sz w:val="24"/>
                <w:szCs w:val="24"/>
              </w:rPr>
              <w:t>台</w:t>
            </w:r>
          </w:p>
        </w:tc>
        <w:tc>
          <w:tcPr>
            <w:tcW w:w="442" w:type="pct"/>
            <w:tcBorders>
              <w:top w:val="single" w:color="000000" w:sz="4" w:space="0"/>
              <w:left w:val="single" w:color="000000" w:sz="4" w:space="0"/>
              <w:bottom w:val="single" w:color="000000" w:sz="4" w:space="0"/>
              <w:right w:val="single" w:color="000000" w:sz="4" w:space="0"/>
            </w:tcBorders>
            <w:noWrap w:val="0"/>
            <w:vAlign w:val="center"/>
          </w:tcPr>
          <w:p w14:paraId="353EEA1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12" w:type="pct"/>
            <w:tcBorders>
              <w:top w:val="single" w:color="000000" w:sz="4" w:space="0"/>
              <w:left w:val="single" w:color="000000" w:sz="4" w:space="0"/>
              <w:bottom w:val="single" w:color="000000" w:sz="4" w:space="0"/>
              <w:right w:val="single" w:color="000000" w:sz="4" w:space="0"/>
            </w:tcBorders>
            <w:noWrap w:val="0"/>
            <w:vAlign w:val="center"/>
          </w:tcPr>
          <w:p w14:paraId="191159B7">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4572F90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联想、DELL、HP</w:t>
            </w:r>
          </w:p>
        </w:tc>
      </w:tr>
      <w:tr w14:paraId="34C1671E">
        <w:tblPrEx>
          <w:tblCellMar>
            <w:top w:w="0" w:type="dxa"/>
            <w:left w:w="108" w:type="dxa"/>
            <w:bottom w:w="0" w:type="dxa"/>
            <w:right w:w="108" w:type="dxa"/>
          </w:tblCellMar>
        </w:tblPrEx>
        <w:trPr>
          <w:trHeight w:val="529" w:hRule="atLeast"/>
          <w:jc w:val="center"/>
        </w:trPr>
        <w:tc>
          <w:tcPr>
            <w:tcW w:w="167" w:type="pct"/>
            <w:tcBorders>
              <w:top w:val="single" w:color="000000" w:sz="4" w:space="0"/>
              <w:left w:val="single" w:color="000000" w:sz="4" w:space="0"/>
              <w:bottom w:val="single" w:color="000000" w:sz="4" w:space="0"/>
              <w:right w:val="single" w:color="000000" w:sz="4" w:space="0"/>
            </w:tcBorders>
            <w:noWrap/>
            <w:vAlign w:val="center"/>
          </w:tcPr>
          <w:p w14:paraId="2CF9A1DC">
            <w:pPr>
              <w:keepNext w:val="0"/>
              <w:keepLines w:val="0"/>
              <w:pageBreakBefore w:val="0"/>
              <w:widowControl/>
              <w:numPr>
                <w:ilvl w:val="0"/>
                <w:numId w:val="0"/>
              </w:numPr>
              <w:suppressLineNumbers w:val="0"/>
              <w:kinsoku/>
              <w:wordWrap/>
              <w:overflowPunct/>
              <w:topLinePunct w:val="0"/>
              <w:autoSpaceDE/>
              <w:autoSpaceDN/>
              <w:bidi w:val="0"/>
              <w:adjustRightInd/>
              <w:snapToGrid/>
              <w:ind w:left="0" w:leftChars="0" w:firstLine="0" w:firstLineChars="0"/>
              <w:jc w:val="center"/>
              <w:textAlignment w:val="center"/>
              <w:rPr>
                <w:rFonts w:hint="default" w:ascii="仿宋" w:hAnsi="仿宋" w:eastAsia="仿宋" w:cs="仿宋"/>
                <w:i w:val="0"/>
                <w:iCs w:val="0"/>
                <w:strike w:val="0"/>
                <w:dstrike w:val="0"/>
                <w:color w:val="000000"/>
                <w:kern w:val="0"/>
                <w:sz w:val="24"/>
                <w:szCs w:val="24"/>
                <w:lang w:val="en-US" w:eastAsia="zh-CN" w:bidi="ar"/>
              </w:rPr>
            </w:pPr>
            <w:r>
              <w:rPr>
                <w:rFonts w:hint="eastAsia" w:ascii="仿宋" w:hAnsi="仿宋" w:eastAsia="仿宋" w:cs="仿宋"/>
                <w:i w:val="0"/>
                <w:iCs w:val="0"/>
                <w:strike w:val="0"/>
                <w:dstrike w:val="0"/>
                <w:color w:val="000000"/>
                <w:kern w:val="0"/>
                <w:sz w:val="24"/>
                <w:szCs w:val="24"/>
                <w:lang w:val="en-US" w:eastAsia="zh-CN" w:bidi="ar"/>
              </w:rPr>
              <w:t>备注</w:t>
            </w:r>
          </w:p>
        </w:tc>
        <w:tc>
          <w:tcPr>
            <w:tcW w:w="4832" w:type="pct"/>
            <w:gridSpan w:val="7"/>
            <w:tcBorders>
              <w:top w:val="single" w:color="000000" w:sz="4" w:space="0"/>
              <w:left w:val="single" w:color="000000" w:sz="4" w:space="0"/>
              <w:bottom w:val="single" w:color="000000" w:sz="4" w:space="0"/>
              <w:right w:val="single" w:color="000000" w:sz="4" w:space="0"/>
            </w:tcBorders>
            <w:noWrap/>
            <w:vAlign w:val="center"/>
          </w:tcPr>
          <w:p w14:paraId="76C5375E">
            <w:pPr>
              <w:keepNext w:val="0"/>
              <w:keepLines w:val="0"/>
              <w:pageBreakBefore w:val="0"/>
              <w:kinsoku/>
              <w:wordWrap/>
              <w:overflowPunct/>
              <w:topLinePunct w:val="0"/>
              <w:autoSpaceDE/>
              <w:autoSpaceDN/>
              <w:bidi w:val="0"/>
              <w:adjustRightInd/>
              <w:snapToGrid/>
              <w:ind w:left="0"/>
              <w:jc w:val="left"/>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本项目采用固定总价包干模式，报价须涵盖设备、辅材、布线、运输、安装调试、保险及质保售后等完成本项目所需的一切费用。“P1.5LED”及“LED钢结构框架”数量为暂估量，最终结算面积上限为7平方米，若实际施工面积超过7平方米，超出部分视为供货方让利，采购人不予追加任何费用。供货方须自行踏勘现场并精确测量，将拆除、开孔、复原修复及墙体加固等全部工作量纳入报价，最终报价视为已包含全部现场风险，结算时不作调整且不得以现场情况不明为由追加费用；报价须包含LED显示屏整屏面积3%的备用模组，于验收时随设备无偿移交采购人留存用于后期维修更换，不再另行支付费用；所有电源线、信号线须优先暗敷严禁裸露明挂，因安装产生的墙面孔洞、开槽破损及墙体加固造成的破坏均由供货方负责修补复原；项目竣工验收除设备功能达标外，建筑装饰复原完好、无施工破损痕迹方可视为验收合格。</w:t>
            </w:r>
          </w:p>
        </w:tc>
      </w:tr>
    </w:tbl>
    <w:p w14:paraId="1D664063">
      <w:pPr>
        <w:pStyle w:val="9"/>
        <w:rPr>
          <w:rFonts w:hint="eastAsia" w:ascii="仿宋" w:hAnsi="仿宋" w:eastAsia="仿宋" w:cs="仿宋"/>
          <w:color w:val="auto"/>
        </w:rPr>
      </w:pPr>
    </w:p>
    <w:p w14:paraId="74940A58">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报价如下：（</w:t>
      </w:r>
      <w:r>
        <w:rPr>
          <w:rFonts w:hint="eastAsia" w:ascii="仿宋" w:hAnsi="仿宋" w:eastAsia="仿宋" w:cs="仿宋"/>
          <w:color w:val="auto"/>
          <w:sz w:val="30"/>
          <w:szCs w:val="30"/>
          <w:lang w:eastAsia="zh-CN"/>
        </w:rPr>
        <w:t>总金额</w:t>
      </w:r>
      <w:r>
        <w:rPr>
          <w:rFonts w:hint="eastAsia" w:ascii="仿宋" w:hAnsi="仿宋" w:eastAsia="仿宋" w:cs="仿宋"/>
          <w:color w:val="auto"/>
          <w:sz w:val="30"/>
          <w:szCs w:val="30"/>
        </w:rPr>
        <w:t>：</w:t>
      </w:r>
      <w:r>
        <w:rPr>
          <w:rFonts w:hint="eastAsia" w:ascii="仿宋" w:hAnsi="仿宋" w:eastAsia="仿宋" w:cs="仿宋"/>
          <w:color w:val="auto"/>
          <w:sz w:val="30"/>
          <w:szCs w:val="30"/>
          <w:lang w:val="en-US" w:eastAsia="zh-CN"/>
        </w:rPr>
        <w:t xml:space="preserve">         </w:t>
      </w:r>
      <w:r>
        <w:rPr>
          <w:rFonts w:hint="eastAsia" w:ascii="仿宋" w:hAnsi="仿宋" w:eastAsia="仿宋" w:cs="仿宋"/>
          <w:color w:val="auto"/>
          <w:sz w:val="30"/>
          <w:szCs w:val="30"/>
        </w:rPr>
        <w:t xml:space="preserve">元，税率为    </w:t>
      </w:r>
      <w:r>
        <w:rPr>
          <w:rFonts w:hint="eastAsia" w:ascii="仿宋" w:hAnsi="仿宋" w:eastAsia="仿宋" w:cs="仿宋"/>
          <w:color w:val="auto"/>
          <w:sz w:val="30"/>
          <w:szCs w:val="30"/>
          <w:lang w:val="en-US" w:eastAsia="zh-CN"/>
        </w:rPr>
        <w:t xml:space="preserve"> </w:t>
      </w:r>
      <w:r>
        <w:rPr>
          <w:rFonts w:hint="eastAsia" w:ascii="仿宋" w:hAnsi="仿宋" w:eastAsia="仿宋" w:cs="仿宋"/>
          <w:color w:val="auto"/>
          <w:sz w:val="30"/>
          <w:szCs w:val="30"/>
        </w:rPr>
        <w:t xml:space="preserve"> %）</w:t>
      </w:r>
    </w:p>
    <w:p w14:paraId="2F5F728A">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相关要求：</w:t>
      </w:r>
    </w:p>
    <w:p w14:paraId="05375FEF">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kern w:val="2"/>
          <w:sz w:val="30"/>
          <w:szCs w:val="30"/>
          <w:highlight w:val="none"/>
        </w:rPr>
      </w:pPr>
      <w:r>
        <w:rPr>
          <w:rFonts w:hint="eastAsia" w:ascii="仿宋" w:hAnsi="仿宋" w:eastAsia="仿宋" w:cs="仿宋"/>
          <w:color w:val="auto"/>
          <w:sz w:val="30"/>
          <w:szCs w:val="30"/>
          <w:lang w:eastAsia="zh-CN"/>
        </w:rPr>
        <w:t>付款方式：</w:t>
      </w:r>
      <w:r>
        <w:rPr>
          <w:rFonts w:hint="eastAsia" w:ascii="仿宋" w:hAnsi="仿宋" w:eastAsia="仿宋" w:cs="仿宋"/>
          <w:color w:val="auto"/>
          <w:sz w:val="30"/>
          <w:szCs w:val="30"/>
          <w:lang w:val="en-US" w:eastAsia="zh-CN"/>
        </w:rPr>
        <w:t>全部货物运送至采购人指定地点并安装调试完成，经由采购人验收合格后，供货方提供经双方确认的送货清单及等额、合法、有效的增值税专用发票，采购人自收到准确清单和发票且核对无误后，于次二月完成款项支付，若供货方未按时提供发票，或提供的发票不符合税务及采购人财务要求（包括但不限于信息错误、无法认证等），采购人有权顺延付款期限，直至收到合规发票为止。由此产生的付款延迟不视为采购人违约，采购人无需承担任何逾期付款利息或违约责任。供货方需提供三年质保服务（其中LED显示屏体灯珠质保3年、整机质保1年，电子桌牌整机质保3年，智能液晶电视整机质保3年，其他设备整机质保1年），其履约保证金（合同价的5%）到时（验收合格后）自动转为质保金，质保金于质保期满且无未决质量争议后无息退还</w:t>
      </w:r>
      <w:r>
        <w:rPr>
          <w:rFonts w:hint="eastAsia" w:ascii="仿宋" w:hAnsi="仿宋" w:eastAsia="仿宋" w:cs="仿宋"/>
          <w:color w:val="auto"/>
          <w:kern w:val="2"/>
          <w:sz w:val="30"/>
          <w:szCs w:val="30"/>
          <w:highlight w:val="none"/>
          <w:lang w:eastAsia="zh-CN"/>
        </w:rPr>
        <w:t>。</w:t>
      </w:r>
    </w:p>
    <w:p w14:paraId="7D027474">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60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30"/>
          <w:szCs w:val="30"/>
          <w:lang w:val="en-US" w:eastAsia="zh-CN"/>
        </w:rPr>
        <w:t>以上总价应为含税全包价，包括运费、税费等一切费用，发票必须为增值税专用发票。</w:t>
      </w:r>
    </w:p>
    <w:p w14:paraId="719192A6">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60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30"/>
          <w:szCs w:val="30"/>
          <w:lang w:val="en-US" w:eastAsia="zh-CN"/>
        </w:rPr>
        <w:t>本次报价为最终投标报价依据。</w:t>
      </w:r>
    </w:p>
    <w:p w14:paraId="706D4B9D">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60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30"/>
          <w:szCs w:val="30"/>
          <w:lang w:val="en-US" w:eastAsia="zh-CN"/>
        </w:rPr>
        <w:fldChar w:fldCharType="begin"/>
      </w:r>
      <w:r>
        <w:rPr>
          <w:rFonts w:hint="eastAsia" w:ascii="仿宋" w:hAnsi="仿宋" w:eastAsia="仿宋" w:cs="仿宋"/>
          <w:color w:val="auto"/>
          <w:sz w:val="30"/>
          <w:szCs w:val="30"/>
          <w:lang w:val="en-US" w:eastAsia="zh-CN"/>
        </w:rPr>
        <w:instrText xml:space="preserve"> HYPERLINK "mailto:请于2024年5月17日前将询价表盖章后的电子版发至dzw@sxszsny.com" </w:instrText>
      </w:r>
      <w:r>
        <w:rPr>
          <w:rFonts w:hint="eastAsia" w:ascii="仿宋" w:hAnsi="仿宋" w:eastAsia="仿宋" w:cs="仿宋"/>
          <w:color w:val="auto"/>
          <w:sz w:val="30"/>
          <w:szCs w:val="30"/>
          <w:lang w:val="en-US" w:eastAsia="zh-CN"/>
        </w:rPr>
        <w:fldChar w:fldCharType="separate"/>
      </w:r>
      <w:r>
        <w:rPr>
          <w:rFonts w:hint="eastAsia" w:ascii="仿宋" w:hAnsi="仿宋" w:eastAsia="仿宋" w:cs="仿宋"/>
          <w:color w:val="auto"/>
          <w:sz w:val="30"/>
          <w:szCs w:val="30"/>
          <w:lang w:val="en-US" w:eastAsia="zh-CN"/>
        </w:rPr>
        <w:t>请自接到采购人二次报价通知后30分钟内将二次报价一览表盖章后的电子版发送至邮箱dzw@sxszsny.com</w:t>
      </w:r>
      <w:r>
        <w:rPr>
          <w:rFonts w:hint="eastAsia" w:ascii="仿宋" w:hAnsi="仿宋" w:eastAsia="仿宋" w:cs="仿宋"/>
          <w:color w:val="auto"/>
          <w:sz w:val="30"/>
          <w:szCs w:val="30"/>
          <w:lang w:val="en-US" w:eastAsia="zh-CN"/>
        </w:rPr>
        <w:fldChar w:fldCharType="end"/>
      </w:r>
      <w:r>
        <w:rPr>
          <w:rFonts w:hint="eastAsia" w:ascii="仿宋" w:hAnsi="仿宋" w:eastAsia="仿宋" w:cs="仿宋"/>
          <w:color w:val="auto"/>
          <w:sz w:val="30"/>
          <w:szCs w:val="30"/>
          <w:lang w:val="en-US" w:eastAsia="zh-CN"/>
        </w:rPr>
        <w:t>。</w:t>
      </w:r>
      <w:r>
        <w:rPr>
          <w:rFonts w:hint="eastAsia" w:ascii="仿宋" w:hAnsi="仿宋" w:eastAsia="仿宋" w:cs="仿宋"/>
          <w:color w:val="auto"/>
          <w:sz w:val="30"/>
          <w:szCs w:val="30"/>
        </w:rPr>
        <w:tab/>
      </w:r>
      <w:r>
        <w:rPr>
          <w:rFonts w:hint="eastAsia" w:ascii="仿宋" w:hAnsi="仿宋" w:eastAsia="仿宋" w:cs="仿宋"/>
          <w:color w:val="auto"/>
          <w:sz w:val="30"/>
          <w:szCs w:val="30"/>
        </w:rPr>
        <w:tab/>
      </w:r>
    </w:p>
    <w:p w14:paraId="78F5B3D5">
      <w:pPr>
        <w:snapToGrid w:val="0"/>
        <w:ind w:firstLine="480" w:firstLineChars="200"/>
        <w:jc w:val="right"/>
        <w:rPr>
          <w:rFonts w:hint="eastAsia" w:ascii="仿宋" w:hAnsi="仿宋" w:eastAsia="仿宋" w:cs="仿宋"/>
          <w:color w:val="auto"/>
          <w:sz w:val="24"/>
          <w:szCs w:val="24"/>
        </w:rPr>
      </w:pPr>
    </w:p>
    <w:p w14:paraId="1D6DE1CE">
      <w:pPr>
        <w:snapToGrid w:val="0"/>
        <w:ind w:firstLine="480" w:firstLineChars="200"/>
        <w:jc w:val="right"/>
        <w:rPr>
          <w:rFonts w:hint="eastAsia" w:ascii="仿宋" w:hAnsi="仿宋" w:eastAsia="仿宋" w:cs="仿宋"/>
          <w:color w:val="auto"/>
          <w:sz w:val="24"/>
          <w:szCs w:val="24"/>
        </w:rPr>
      </w:pPr>
    </w:p>
    <w:p w14:paraId="7AB185B8">
      <w:pPr>
        <w:snapToGrid w:val="0"/>
        <w:ind w:firstLine="480" w:firstLineChars="200"/>
        <w:jc w:val="right"/>
        <w:rPr>
          <w:rFonts w:hint="eastAsia" w:ascii="仿宋" w:hAnsi="仿宋" w:eastAsia="仿宋" w:cs="仿宋"/>
          <w:color w:val="auto"/>
          <w:sz w:val="24"/>
          <w:szCs w:val="24"/>
        </w:rPr>
      </w:pPr>
      <w:r>
        <w:rPr>
          <w:rFonts w:hint="eastAsia" w:ascii="仿宋" w:hAnsi="仿宋" w:eastAsia="仿宋" w:cs="仿宋"/>
          <w:color w:val="auto"/>
          <w:sz w:val="24"/>
          <w:szCs w:val="24"/>
        </w:rPr>
        <w:t>报价单位名称（公章）：</w:t>
      </w:r>
    </w:p>
    <w:p w14:paraId="3728F3D4">
      <w:pPr>
        <w:wordWrap w:val="0"/>
        <w:snapToGrid w:val="0"/>
        <w:ind w:firstLine="480" w:firstLineChars="200"/>
        <w:jc w:val="right"/>
        <w:rPr>
          <w:rFonts w:hint="eastAsia" w:ascii="仿宋" w:hAnsi="仿宋" w:eastAsia="仿宋" w:cs="仿宋"/>
          <w:color w:val="auto"/>
          <w:sz w:val="24"/>
          <w:szCs w:val="24"/>
          <w:lang w:val="en-US" w:eastAsia="zh-CN"/>
        </w:rPr>
        <w:sectPr>
          <w:pgSz w:w="11906" w:h="16838"/>
          <w:pgMar w:top="1701" w:right="1417" w:bottom="1701" w:left="1417" w:header="851" w:footer="992" w:gutter="0"/>
          <w:cols w:space="0" w:num="1"/>
          <w:rtlGutter w:val="0"/>
          <w:docGrid w:linePitch="312" w:charSpace="0"/>
        </w:sectPr>
      </w:pP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 xml:space="preserve">           </w:t>
      </w:r>
      <w:r>
        <w:rPr>
          <w:rFonts w:hint="default" w:ascii="仿宋" w:hAnsi="仿宋" w:eastAsia="仿宋" w:cs="仿宋"/>
          <w:color w:val="auto"/>
          <w:sz w:val="24"/>
          <w:szCs w:val="24"/>
          <w:lang w:val="en-US"/>
        </w:rPr>
        <w:t>202</w:t>
      </w:r>
      <w:r>
        <w:rPr>
          <w:rFonts w:hint="eastAsia" w:ascii="仿宋" w:hAnsi="仿宋" w:eastAsia="仿宋" w:cs="仿宋"/>
          <w:color w:val="auto"/>
          <w:sz w:val="24"/>
          <w:szCs w:val="24"/>
          <w:lang w:val="en-US" w:eastAsia="zh-CN"/>
        </w:rPr>
        <w:t>6</w:t>
      </w:r>
      <w:r>
        <w:rPr>
          <w:rFonts w:hint="default" w:ascii="仿宋" w:hAnsi="仿宋" w:eastAsia="仿宋" w:cs="仿宋"/>
          <w:color w:val="auto"/>
          <w:sz w:val="24"/>
          <w:szCs w:val="24"/>
          <w:lang w:val="en-US"/>
        </w:rPr>
        <w:t>年</w:t>
      </w:r>
      <w:r>
        <w:rPr>
          <w:rFonts w:hint="eastAsia" w:ascii="仿宋" w:hAnsi="仿宋" w:eastAsia="仿宋" w:cs="仿宋"/>
          <w:color w:val="auto"/>
          <w:sz w:val="24"/>
          <w:szCs w:val="24"/>
        </w:rPr>
        <w:t xml:space="preserve"> 月</w:t>
      </w:r>
      <w:r>
        <w:rPr>
          <w:rFonts w:hint="eastAsia" w:ascii="仿宋" w:hAnsi="仿宋" w:eastAsia="仿宋" w:cs="仿宋"/>
          <w:color w:val="auto"/>
          <w:sz w:val="24"/>
          <w:szCs w:val="24"/>
          <w:lang w:val="en-US" w:eastAsia="zh-CN"/>
        </w:rPr>
        <w:t xml:space="preserve"> 日</w:t>
      </w:r>
    </w:p>
    <w:bookmarkEnd w:id="20"/>
    <w:bookmarkEnd w:id="21"/>
    <w:p w14:paraId="6004A5C2">
      <w:pPr>
        <w:jc w:val="left"/>
        <w:outlineLvl w:val="0"/>
        <w:rPr>
          <w:rStyle w:val="21"/>
          <w:rFonts w:hint="eastAsia" w:ascii="仿宋" w:hAnsi="仿宋" w:eastAsia="仿宋" w:cs="仿宋"/>
          <w:sz w:val="30"/>
        </w:rPr>
      </w:pPr>
      <w:bookmarkStart w:id="22" w:name="_Toc28603"/>
      <w:r>
        <w:rPr>
          <w:rStyle w:val="21"/>
          <w:rFonts w:hint="eastAsia" w:ascii="仿宋" w:hAnsi="仿宋" w:eastAsia="仿宋" w:cs="仿宋"/>
          <w:sz w:val="30"/>
        </w:rPr>
        <w:t>附件</w:t>
      </w:r>
      <w:r>
        <w:rPr>
          <w:rStyle w:val="21"/>
          <w:rFonts w:hint="eastAsia" w:ascii="仿宋" w:hAnsi="仿宋" w:eastAsia="仿宋" w:cs="仿宋"/>
          <w:sz w:val="30"/>
          <w:lang w:val="en-US"/>
        </w:rPr>
        <w:t>四</w:t>
      </w:r>
      <w:r>
        <w:rPr>
          <w:rStyle w:val="21"/>
          <w:rFonts w:hint="eastAsia" w:ascii="仿宋" w:hAnsi="仿宋" w:eastAsia="仿宋" w:cs="仿宋"/>
          <w:sz w:val="30"/>
        </w:rPr>
        <w:t>：</w:t>
      </w:r>
      <w:bookmarkEnd w:id="22"/>
    </w:p>
    <w:p w14:paraId="6DD8282D">
      <w:pPr>
        <w:snapToGrid w:val="0"/>
        <w:ind w:firstLine="1926" w:firstLineChars="600"/>
        <w:jc w:val="left"/>
        <w:rPr>
          <w:rFonts w:hint="eastAsia" w:ascii="仿宋" w:hAnsi="仿宋" w:eastAsia="仿宋" w:cs="仿宋"/>
          <w:b/>
          <w:spacing w:val="40"/>
          <w:sz w:val="24"/>
          <w:szCs w:val="24"/>
        </w:rPr>
      </w:pPr>
    </w:p>
    <w:p w14:paraId="7BE90225">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b/>
          <w:spacing w:val="40"/>
          <w:sz w:val="28"/>
          <w:szCs w:val="28"/>
        </w:rPr>
      </w:pPr>
      <w:r>
        <w:rPr>
          <w:rFonts w:hint="eastAsia" w:ascii="仿宋" w:hAnsi="仿宋" w:eastAsia="仿宋" w:cs="仿宋"/>
          <w:b/>
          <w:spacing w:val="40"/>
          <w:sz w:val="28"/>
          <w:szCs w:val="28"/>
        </w:rPr>
        <w:t>服务质量保证承诺函</w:t>
      </w:r>
    </w:p>
    <w:p w14:paraId="18123992">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rPr>
      </w:pPr>
      <w:r>
        <w:rPr>
          <w:rFonts w:hint="eastAsia" w:ascii="仿宋" w:hAnsi="仿宋" w:eastAsia="仿宋" w:cs="仿宋"/>
          <w:sz w:val="28"/>
          <w:szCs w:val="28"/>
          <w:lang w:eastAsia="zh-CN"/>
        </w:rPr>
        <w:t>绍兴市再生能源发展有限公司</w:t>
      </w:r>
      <w:r>
        <w:rPr>
          <w:rFonts w:hint="eastAsia" w:ascii="仿宋" w:hAnsi="仿宋" w:eastAsia="仿宋" w:cs="仿宋"/>
          <w:sz w:val="28"/>
          <w:szCs w:val="28"/>
        </w:rPr>
        <w:t>：</w:t>
      </w:r>
    </w:p>
    <w:p w14:paraId="1971B0CA">
      <w:pPr>
        <w:keepNext w:val="0"/>
        <w:keepLines w:val="0"/>
        <w:pageBreakBefore w:val="0"/>
        <w:widowControl w:val="0"/>
        <w:kinsoku/>
        <w:wordWrap/>
        <w:overflowPunct/>
        <w:topLinePunct w:val="0"/>
        <w:autoSpaceDE/>
        <w:autoSpaceDN/>
        <w:bidi w:val="0"/>
        <w:adjustRightInd/>
        <w:snapToGrid w:val="0"/>
        <w:spacing w:line="360" w:lineRule="auto"/>
        <w:ind w:firstLine="840" w:firstLineChars="300"/>
        <w:textAlignment w:val="auto"/>
        <w:rPr>
          <w:rFonts w:hint="eastAsia" w:ascii="仿宋" w:hAnsi="仿宋" w:eastAsia="仿宋" w:cs="仿宋"/>
          <w:sz w:val="28"/>
          <w:szCs w:val="28"/>
        </w:rPr>
      </w:pPr>
      <w:r>
        <w:rPr>
          <w:rFonts w:hint="eastAsia" w:ascii="仿宋" w:hAnsi="仿宋" w:eastAsia="仿宋" w:cs="仿宋"/>
          <w:sz w:val="28"/>
          <w:szCs w:val="28"/>
        </w:rPr>
        <w:t>我公司</w:t>
      </w:r>
      <w:r>
        <w:rPr>
          <w:rFonts w:hint="eastAsia" w:ascii="仿宋" w:hAnsi="仿宋" w:eastAsia="仿宋" w:cs="仿宋"/>
          <w:sz w:val="28"/>
          <w:szCs w:val="28"/>
          <w:u w:val="single"/>
        </w:rPr>
        <w:t xml:space="preserve">    （报价单位名称）    </w:t>
      </w:r>
      <w:r>
        <w:rPr>
          <w:rFonts w:hint="eastAsia" w:ascii="仿宋" w:hAnsi="仿宋" w:eastAsia="仿宋" w:cs="仿宋"/>
          <w:sz w:val="28"/>
          <w:szCs w:val="28"/>
        </w:rPr>
        <w:t>自愿参加</w:t>
      </w:r>
      <w:r>
        <w:rPr>
          <w:rFonts w:hint="eastAsia" w:ascii="仿宋" w:hAnsi="仿宋" w:eastAsia="仿宋" w:cs="仿宋"/>
          <w:sz w:val="28"/>
          <w:szCs w:val="28"/>
          <w:lang w:eastAsia="zh-CN"/>
        </w:rPr>
        <w:t>绍兴市再生能源发展有限公司</w:t>
      </w:r>
      <w:r>
        <w:rPr>
          <w:rFonts w:hint="eastAsia" w:ascii="仿宋" w:hAnsi="仿宋" w:eastAsia="仿宋" w:cs="仿宋"/>
          <w:sz w:val="28"/>
          <w:szCs w:val="28"/>
          <w:u w:val="single"/>
          <w:lang w:val="en-US" w:eastAsia="zh-CN"/>
        </w:rPr>
        <w:t>会议室影音设备整体改造项目</w:t>
      </w:r>
      <w:r>
        <w:rPr>
          <w:rFonts w:hint="eastAsia" w:ascii="仿宋" w:hAnsi="仿宋" w:eastAsia="仿宋" w:cs="仿宋"/>
          <w:sz w:val="28"/>
          <w:szCs w:val="28"/>
        </w:rPr>
        <w:t>询价采购，并作如下承诺：</w:t>
      </w:r>
    </w:p>
    <w:p w14:paraId="15654916">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560" w:leftChars="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我公司所供产品均为原厂生产或正规销售渠道进货。</w:t>
      </w:r>
    </w:p>
    <w:p w14:paraId="495C0D10">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560" w:leftChars="0"/>
        <w:textAlignment w:val="auto"/>
        <w:rPr>
          <w:rFonts w:hint="eastAsia" w:ascii="仿宋" w:hAnsi="仿宋" w:eastAsia="仿宋" w:cs="仿宋"/>
          <w:sz w:val="28"/>
          <w:szCs w:val="28"/>
        </w:rPr>
      </w:pPr>
      <w:r>
        <w:rPr>
          <w:rFonts w:hint="eastAsia" w:ascii="仿宋" w:hAnsi="仿宋" w:eastAsia="仿宋" w:cs="仿宋"/>
          <w:sz w:val="28"/>
          <w:szCs w:val="28"/>
        </w:rPr>
        <w:t>2.我公司所供产品如果存在以次充好、陈货杂货、虚假生产日期、逾期供货等情况，愿意承担一切法律责任。</w:t>
      </w:r>
    </w:p>
    <w:p w14:paraId="6DBA28D0">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3.我公司所供产品如果存在任何外包装或内物破损、产品过期等情况，承诺24小时内提供替换产品。</w:t>
      </w:r>
    </w:p>
    <w:p w14:paraId="7B084CC6">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我公司保证提供采购人要求的全部产品，若提供的产品和采购人要求的不一致，我公司保证于3日内提供生产厂家证明及市场调查证明，说明所提供货物优于采购人要求。若采购人不同意，则我公司愿意承担相关违约责任。</w:t>
      </w:r>
    </w:p>
    <w:p w14:paraId="3A206B24">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5.我公司对提供的产品进行质量保证，若因我公司产品质量问题，造成贵公司损失的，我公司承担相应责任。</w:t>
      </w:r>
    </w:p>
    <w:p w14:paraId="2674FC0B">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rPr>
      </w:pPr>
    </w:p>
    <w:p w14:paraId="73C44302">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rPr>
      </w:pPr>
    </w:p>
    <w:p w14:paraId="145A857D">
      <w:pPr>
        <w:keepNext w:val="0"/>
        <w:keepLines w:val="0"/>
        <w:pageBreakBefore w:val="0"/>
        <w:widowControl w:val="0"/>
        <w:kinsoku/>
        <w:wordWrap/>
        <w:overflowPunct/>
        <w:topLinePunct w:val="0"/>
        <w:autoSpaceDE/>
        <w:autoSpaceDN/>
        <w:bidi w:val="0"/>
        <w:adjustRightInd/>
        <w:snapToGrid w:val="0"/>
        <w:spacing w:line="360" w:lineRule="auto"/>
        <w:ind w:firstLine="5040" w:firstLineChars="1800"/>
        <w:textAlignment w:val="auto"/>
        <w:rPr>
          <w:rFonts w:hint="eastAsia" w:ascii="仿宋" w:hAnsi="仿宋" w:eastAsia="仿宋" w:cs="仿宋"/>
          <w:sz w:val="28"/>
          <w:szCs w:val="28"/>
        </w:rPr>
      </w:pPr>
    </w:p>
    <w:p w14:paraId="3F739F22">
      <w:pPr>
        <w:keepNext w:val="0"/>
        <w:keepLines w:val="0"/>
        <w:pageBreakBefore w:val="0"/>
        <w:widowControl w:val="0"/>
        <w:kinsoku/>
        <w:wordWrap/>
        <w:overflowPunct/>
        <w:topLinePunct w:val="0"/>
        <w:autoSpaceDE/>
        <w:autoSpaceDN/>
        <w:bidi w:val="0"/>
        <w:adjustRightInd/>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z w:val="28"/>
          <w:szCs w:val="28"/>
        </w:rPr>
        <w:t>报价单位名称（公章）：</w:t>
      </w:r>
    </w:p>
    <w:p w14:paraId="1DF6E239">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rPr>
      </w:pP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lang w:eastAsia="zh-CN"/>
        </w:rPr>
        <w:t>二〇二六</w:t>
      </w:r>
      <w:r>
        <w:rPr>
          <w:rFonts w:hint="eastAsia" w:ascii="仿宋" w:hAnsi="仿宋" w:eastAsia="仿宋" w:cs="仿宋"/>
          <w:sz w:val="28"/>
          <w:szCs w:val="28"/>
        </w:rPr>
        <w:t>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w:t>
      </w:r>
    </w:p>
    <w:p w14:paraId="7D904304">
      <w:pPr>
        <w:keepNext w:val="0"/>
        <w:keepLines w:val="0"/>
        <w:pageBreakBefore w:val="0"/>
        <w:widowControl w:val="0"/>
        <w:kinsoku/>
        <w:wordWrap/>
        <w:overflowPunct/>
        <w:topLinePunct w:val="0"/>
        <w:autoSpaceDE/>
        <w:autoSpaceDN/>
        <w:bidi w:val="0"/>
        <w:adjustRightInd/>
        <w:spacing w:line="360" w:lineRule="auto"/>
        <w:textAlignment w:val="auto"/>
        <w:rPr>
          <w:rFonts w:hint="eastAsia" w:ascii="仿宋" w:hAnsi="仿宋" w:eastAsia="仿宋" w:cs="仿宋"/>
          <w:sz w:val="28"/>
          <w:szCs w:val="28"/>
        </w:rPr>
      </w:pPr>
    </w:p>
    <w:p w14:paraId="56C0FBE4">
      <w:pPr>
        <w:pStyle w:val="11"/>
        <w:ind w:left="0" w:leftChars="0" w:firstLine="0" w:firstLineChars="0"/>
        <w:rPr>
          <w:rFonts w:hint="eastAsia"/>
        </w:rPr>
      </w:pPr>
    </w:p>
    <w:sectPr>
      <w:pgSz w:w="11906" w:h="16838"/>
      <w:pgMar w:top="1701" w:right="1418" w:bottom="1134" w:left="1418"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3DDD0A">
    <w:pPr>
      <w:pStyle w:val="7"/>
      <w:framePr w:wrap="around" w:vAnchor="text" w:hAnchor="margin" w:xAlign="center" w:y="1"/>
      <w:rPr>
        <w:rStyle w:val="16"/>
      </w:rPr>
    </w:pPr>
    <w:r>
      <w:fldChar w:fldCharType="begin"/>
    </w:r>
    <w:r>
      <w:rPr>
        <w:rStyle w:val="16"/>
      </w:rPr>
      <w:instrText xml:space="preserve">PAGE  </w:instrText>
    </w:r>
    <w:r>
      <w:fldChar w:fldCharType="separate"/>
    </w:r>
    <w:r>
      <w:rPr>
        <w:rStyle w:val="16"/>
      </w:rPr>
      <w:t>10</w:t>
    </w:r>
    <w:r>
      <w:fldChar w:fldCharType="end"/>
    </w:r>
  </w:p>
  <w:p w14:paraId="2963489C">
    <w:pPr>
      <w:pStyle w:val="7"/>
      <w:jc w:val="right"/>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CADD0A"/>
    <w:multiLevelType w:val="singleLevel"/>
    <w:tmpl w:val="8ACADD0A"/>
    <w:lvl w:ilvl="0" w:tentative="0">
      <w:start w:val="1"/>
      <w:numFmt w:val="decimal"/>
      <w:suff w:val="nothing"/>
      <w:lvlText w:val="%1、"/>
      <w:lvlJc w:val="left"/>
    </w:lvl>
  </w:abstractNum>
  <w:abstractNum w:abstractNumId="1">
    <w:nsid w:val="BB39A8A5"/>
    <w:multiLevelType w:val="singleLevel"/>
    <w:tmpl w:val="BB39A8A5"/>
    <w:lvl w:ilvl="0" w:tentative="0">
      <w:start w:val="4"/>
      <w:numFmt w:val="chineseCounting"/>
      <w:suff w:val="space"/>
      <w:lvlText w:val="第%1部分"/>
      <w:lvlJc w:val="left"/>
      <w:pPr>
        <w:ind w:left="840"/>
      </w:pPr>
      <w:rPr>
        <w:rFonts w:hint="eastAsia"/>
      </w:rPr>
    </w:lvl>
  </w:abstractNum>
  <w:abstractNum w:abstractNumId="2">
    <w:nsid w:val="00000020"/>
    <w:multiLevelType w:val="multilevel"/>
    <w:tmpl w:val="00000020"/>
    <w:lvl w:ilvl="0" w:tentative="0">
      <w:start w:val="1"/>
      <w:numFmt w:val="decimal"/>
      <w:pStyle w:val="2"/>
      <w:isLgl/>
      <w:lvlText w:val="%1."/>
      <w:lvlJc w:val="left"/>
      <w:pPr>
        <w:tabs>
          <w:tab w:val="left" w:pos="360"/>
        </w:tabs>
        <w:ind w:left="0" w:firstLine="0"/>
      </w:pPr>
      <w:rPr>
        <w:rFonts w:hint="default" w:ascii="Arial" w:hAnsi="Arial"/>
        <w:b/>
        <w:i w:val="0"/>
        <w:sz w:val="32"/>
      </w:rPr>
    </w:lvl>
    <w:lvl w:ilvl="1" w:tentative="0">
      <w:start w:val="1"/>
      <w:numFmt w:val="decimal"/>
      <w:lvlText w:val="%1.%2."/>
      <w:lvlJc w:val="left"/>
      <w:pPr>
        <w:tabs>
          <w:tab w:val="left" w:pos="720"/>
        </w:tabs>
        <w:ind w:left="567" w:hanging="567"/>
      </w:pPr>
      <w:rPr>
        <w:rFonts w:hint="eastAsia"/>
      </w:rPr>
    </w:lvl>
    <w:lvl w:ilvl="2" w:tentative="0">
      <w:start w:val="1"/>
      <w:numFmt w:val="decimal"/>
      <w:lvlText w:val="%1.%2.%3."/>
      <w:lvlJc w:val="left"/>
      <w:pPr>
        <w:tabs>
          <w:tab w:val="left" w:pos="1429"/>
        </w:tabs>
        <w:ind w:left="142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
    <w:nsid w:val="05AF6242"/>
    <w:multiLevelType w:val="singleLevel"/>
    <w:tmpl w:val="05AF6242"/>
    <w:lvl w:ilvl="0" w:tentative="0">
      <w:start w:val="5"/>
      <w:numFmt w:val="chineseCounting"/>
      <w:suff w:val="space"/>
      <w:lvlText w:val="第%1条"/>
      <w:lvlJc w:val="left"/>
      <w:rPr>
        <w:rFonts w:hint="eastAsia"/>
      </w:rPr>
    </w:lvl>
  </w:abstractNum>
  <w:abstractNum w:abstractNumId="4">
    <w:nsid w:val="4CC8527C"/>
    <w:multiLevelType w:val="singleLevel"/>
    <w:tmpl w:val="4CC8527C"/>
    <w:lvl w:ilvl="0" w:tentative="0">
      <w:start w:val="6"/>
      <w:numFmt w:val="chineseCounting"/>
      <w:suff w:val="nothing"/>
      <w:lvlText w:val="%1、"/>
      <w:lvlJc w:val="left"/>
      <w:rPr>
        <w:rFonts w:hint="eastAsia"/>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UwZDFhNTA3NTBkYjYwNzBmOWEzNGQxZTA1ZTZlYTEifQ=="/>
    <w:docVar w:name="KSO_WPS_MARK_KEY" w:val="54ff61b0-739e-42aa-8a2e-a4bc9060d795"/>
  </w:docVars>
  <w:rsids>
    <w:rsidRoot w:val="1297576D"/>
    <w:rsid w:val="0029396E"/>
    <w:rsid w:val="003A657B"/>
    <w:rsid w:val="00517D5D"/>
    <w:rsid w:val="005926A3"/>
    <w:rsid w:val="008746A5"/>
    <w:rsid w:val="00B574EC"/>
    <w:rsid w:val="01AE7C75"/>
    <w:rsid w:val="01D22213"/>
    <w:rsid w:val="027619AC"/>
    <w:rsid w:val="02834D04"/>
    <w:rsid w:val="031428FF"/>
    <w:rsid w:val="038D5656"/>
    <w:rsid w:val="03F95A31"/>
    <w:rsid w:val="04531E45"/>
    <w:rsid w:val="04605697"/>
    <w:rsid w:val="04FD1ABF"/>
    <w:rsid w:val="056A79D6"/>
    <w:rsid w:val="05D22118"/>
    <w:rsid w:val="05D355DF"/>
    <w:rsid w:val="06057AB3"/>
    <w:rsid w:val="062B00FD"/>
    <w:rsid w:val="067A3460"/>
    <w:rsid w:val="06F06710"/>
    <w:rsid w:val="076328DA"/>
    <w:rsid w:val="07A76692"/>
    <w:rsid w:val="08186607"/>
    <w:rsid w:val="083A3947"/>
    <w:rsid w:val="08F93082"/>
    <w:rsid w:val="093F2ABC"/>
    <w:rsid w:val="097479E0"/>
    <w:rsid w:val="09EF44EC"/>
    <w:rsid w:val="0A0C6ADD"/>
    <w:rsid w:val="0A32752C"/>
    <w:rsid w:val="0A9D29B8"/>
    <w:rsid w:val="0B2C6C02"/>
    <w:rsid w:val="0B8E6D39"/>
    <w:rsid w:val="0BC12699"/>
    <w:rsid w:val="0BCC31F9"/>
    <w:rsid w:val="0C5A16A4"/>
    <w:rsid w:val="0D0A0FCA"/>
    <w:rsid w:val="0DC35837"/>
    <w:rsid w:val="0DE61498"/>
    <w:rsid w:val="0E6109F4"/>
    <w:rsid w:val="110C39D4"/>
    <w:rsid w:val="1297576D"/>
    <w:rsid w:val="12BF4C87"/>
    <w:rsid w:val="12E70A09"/>
    <w:rsid w:val="1325794A"/>
    <w:rsid w:val="14715E69"/>
    <w:rsid w:val="15061C4B"/>
    <w:rsid w:val="15341747"/>
    <w:rsid w:val="164F6705"/>
    <w:rsid w:val="16646293"/>
    <w:rsid w:val="16A83419"/>
    <w:rsid w:val="16FE5921"/>
    <w:rsid w:val="17B042A1"/>
    <w:rsid w:val="187568F0"/>
    <w:rsid w:val="18987177"/>
    <w:rsid w:val="1906629D"/>
    <w:rsid w:val="190D0CE8"/>
    <w:rsid w:val="1A2B7D96"/>
    <w:rsid w:val="1A62541A"/>
    <w:rsid w:val="1A74433E"/>
    <w:rsid w:val="1BD33B78"/>
    <w:rsid w:val="1BE0140E"/>
    <w:rsid w:val="1BEC2FB3"/>
    <w:rsid w:val="1C4A0B8F"/>
    <w:rsid w:val="1CE262BC"/>
    <w:rsid w:val="1D6D770B"/>
    <w:rsid w:val="1D94296D"/>
    <w:rsid w:val="1DF976C9"/>
    <w:rsid w:val="1E191157"/>
    <w:rsid w:val="1E1A21EF"/>
    <w:rsid w:val="203B090D"/>
    <w:rsid w:val="21135480"/>
    <w:rsid w:val="211D7593"/>
    <w:rsid w:val="212C3971"/>
    <w:rsid w:val="214D7086"/>
    <w:rsid w:val="21BA7E4E"/>
    <w:rsid w:val="22DF5956"/>
    <w:rsid w:val="22ED7F5E"/>
    <w:rsid w:val="23805B40"/>
    <w:rsid w:val="23AD6C0F"/>
    <w:rsid w:val="23D12305"/>
    <w:rsid w:val="24130D0C"/>
    <w:rsid w:val="259E2C64"/>
    <w:rsid w:val="25F323AF"/>
    <w:rsid w:val="26F76768"/>
    <w:rsid w:val="27623382"/>
    <w:rsid w:val="27AC61A6"/>
    <w:rsid w:val="27FE02E6"/>
    <w:rsid w:val="28C57566"/>
    <w:rsid w:val="29084622"/>
    <w:rsid w:val="29F704EF"/>
    <w:rsid w:val="2A0049E3"/>
    <w:rsid w:val="2AC220DE"/>
    <w:rsid w:val="2ADB5E21"/>
    <w:rsid w:val="2ADF08BA"/>
    <w:rsid w:val="2B603075"/>
    <w:rsid w:val="2C305EB2"/>
    <w:rsid w:val="2C4666C4"/>
    <w:rsid w:val="2C980D1B"/>
    <w:rsid w:val="2CD9238D"/>
    <w:rsid w:val="2D023CA7"/>
    <w:rsid w:val="2E003054"/>
    <w:rsid w:val="2E255A7A"/>
    <w:rsid w:val="2E2E1209"/>
    <w:rsid w:val="2EB2531B"/>
    <w:rsid w:val="2F3D045F"/>
    <w:rsid w:val="2F6F3EAC"/>
    <w:rsid w:val="2F7D3F84"/>
    <w:rsid w:val="2F844FB7"/>
    <w:rsid w:val="30256074"/>
    <w:rsid w:val="302C4175"/>
    <w:rsid w:val="30890978"/>
    <w:rsid w:val="30A52DD9"/>
    <w:rsid w:val="31713FF6"/>
    <w:rsid w:val="32B04D2F"/>
    <w:rsid w:val="33A35EAC"/>
    <w:rsid w:val="3464504B"/>
    <w:rsid w:val="34E00D83"/>
    <w:rsid w:val="34E40873"/>
    <w:rsid w:val="355F7D2E"/>
    <w:rsid w:val="36216F0D"/>
    <w:rsid w:val="36316A75"/>
    <w:rsid w:val="3667119D"/>
    <w:rsid w:val="36E94025"/>
    <w:rsid w:val="36ED02B2"/>
    <w:rsid w:val="37DB73A7"/>
    <w:rsid w:val="385E093C"/>
    <w:rsid w:val="389D7311"/>
    <w:rsid w:val="398E418A"/>
    <w:rsid w:val="3996009B"/>
    <w:rsid w:val="3997709B"/>
    <w:rsid w:val="39A55AE7"/>
    <w:rsid w:val="3A351BE0"/>
    <w:rsid w:val="3ADE0789"/>
    <w:rsid w:val="3B0953A4"/>
    <w:rsid w:val="3C302F1C"/>
    <w:rsid w:val="3C8719BD"/>
    <w:rsid w:val="3C9A29B9"/>
    <w:rsid w:val="3CE46170"/>
    <w:rsid w:val="3D7933CA"/>
    <w:rsid w:val="3D9A7839"/>
    <w:rsid w:val="3DAC3CC7"/>
    <w:rsid w:val="3E16524F"/>
    <w:rsid w:val="3E490C93"/>
    <w:rsid w:val="3EA30F9B"/>
    <w:rsid w:val="3F2D02B4"/>
    <w:rsid w:val="3F7C50B1"/>
    <w:rsid w:val="3F996DE7"/>
    <w:rsid w:val="3FAE19C2"/>
    <w:rsid w:val="406B2371"/>
    <w:rsid w:val="407E15A7"/>
    <w:rsid w:val="40AA3B81"/>
    <w:rsid w:val="411C5733"/>
    <w:rsid w:val="417112FA"/>
    <w:rsid w:val="42376107"/>
    <w:rsid w:val="42D57A4D"/>
    <w:rsid w:val="436A096E"/>
    <w:rsid w:val="43A970E7"/>
    <w:rsid w:val="43BA0460"/>
    <w:rsid w:val="44322CE6"/>
    <w:rsid w:val="44544A76"/>
    <w:rsid w:val="449544C5"/>
    <w:rsid w:val="44A55070"/>
    <w:rsid w:val="45530393"/>
    <w:rsid w:val="45B33A8F"/>
    <w:rsid w:val="469F7AF8"/>
    <w:rsid w:val="475812CD"/>
    <w:rsid w:val="475D1115"/>
    <w:rsid w:val="478F3581"/>
    <w:rsid w:val="47B96D86"/>
    <w:rsid w:val="47D615F1"/>
    <w:rsid w:val="47D93555"/>
    <w:rsid w:val="48034DA7"/>
    <w:rsid w:val="486F4BB5"/>
    <w:rsid w:val="48A60514"/>
    <w:rsid w:val="48DA44A2"/>
    <w:rsid w:val="48E14418"/>
    <w:rsid w:val="490432DC"/>
    <w:rsid w:val="491635D4"/>
    <w:rsid w:val="49E7480F"/>
    <w:rsid w:val="4AE97537"/>
    <w:rsid w:val="4AF173EE"/>
    <w:rsid w:val="4B0D618C"/>
    <w:rsid w:val="4C2F1B9C"/>
    <w:rsid w:val="4C870D35"/>
    <w:rsid w:val="4D2832EB"/>
    <w:rsid w:val="4DB81983"/>
    <w:rsid w:val="4DF21BF8"/>
    <w:rsid w:val="4DF66F25"/>
    <w:rsid w:val="4E376DB9"/>
    <w:rsid w:val="4E716394"/>
    <w:rsid w:val="4ECC39F8"/>
    <w:rsid w:val="4F0A3ECF"/>
    <w:rsid w:val="4F595384"/>
    <w:rsid w:val="4F72433C"/>
    <w:rsid w:val="4F7F3CCA"/>
    <w:rsid w:val="4FE50BFA"/>
    <w:rsid w:val="502844C8"/>
    <w:rsid w:val="51131CCB"/>
    <w:rsid w:val="51D845E4"/>
    <w:rsid w:val="52341DDD"/>
    <w:rsid w:val="531111FC"/>
    <w:rsid w:val="533444FB"/>
    <w:rsid w:val="55C54FE9"/>
    <w:rsid w:val="55E07717"/>
    <w:rsid w:val="56397366"/>
    <w:rsid w:val="57105FDC"/>
    <w:rsid w:val="58080247"/>
    <w:rsid w:val="58C27322"/>
    <w:rsid w:val="5950112B"/>
    <w:rsid w:val="59C3293C"/>
    <w:rsid w:val="5A1C766A"/>
    <w:rsid w:val="5AF07936"/>
    <w:rsid w:val="5B3710B2"/>
    <w:rsid w:val="5B5E63DA"/>
    <w:rsid w:val="5CF528AB"/>
    <w:rsid w:val="5D132301"/>
    <w:rsid w:val="5E970206"/>
    <w:rsid w:val="5ED1360A"/>
    <w:rsid w:val="5F1E1E73"/>
    <w:rsid w:val="612A3DEE"/>
    <w:rsid w:val="614D7B82"/>
    <w:rsid w:val="62B67083"/>
    <w:rsid w:val="62BC3CFB"/>
    <w:rsid w:val="64787E17"/>
    <w:rsid w:val="649C599A"/>
    <w:rsid w:val="653A16E7"/>
    <w:rsid w:val="66B027B6"/>
    <w:rsid w:val="671A2875"/>
    <w:rsid w:val="67241B0B"/>
    <w:rsid w:val="67966EFB"/>
    <w:rsid w:val="67B628F5"/>
    <w:rsid w:val="682119CD"/>
    <w:rsid w:val="69A94E0C"/>
    <w:rsid w:val="6B656B47"/>
    <w:rsid w:val="6B7E1643"/>
    <w:rsid w:val="6C714475"/>
    <w:rsid w:val="6CDB032D"/>
    <w:rsid w:val="6D5149A0"/>
    <w:rsid w:val="6DB2110D"/>
    <w:rsid w:val="6DBD736C"/>
    <w:rsid w:val="6DF45A5A"/>
    <w:rsid w:val="6E5526FF"/>
    <w:rsid w:val="6F2B1820"/>
    <w:rsid w:val="6F412F7A"/>
    <w:rsid w:val="707E74C2"/>
    <w:rsid w:val="70CC0A36"/>
    <w:rsid w:val="710D0440"/>
    <w:rsid w:val="71C5585F"/>
    <w:rsid w:val="720E79AF"/>
    <w:rsid w:val="73A1381E"/>
    <w:rsid w:val="7459468D"/>
    <w:rsid w:val="749131D7"/>
    <w:rsid w:val="756F240E"/>
    <w:rsid w:val="75882A8D"/>
    <w:rsid w:val="759D3BC6"/>
    <w:rsid w:val="779817DA"/>
    <w:rsid w:val="77D476E8"/>
    <w:rsid w:val="782A7918"/>
    <w:rsid w:val="79715756"/>
    <w:rsid w:val="7A500C84"/>
    <w:rsid w:val="7A640EC3"/>
    <w:rsid w:val="7A7B08FF"/>
    <w:rsid w:val="7AE21E9E"/>
    <w:rsid w:val="7B027F4F"/>
    <w:rsid w:val="7B09318D"/>
    <w:rsid w:val="7B6004E6"/>
    <w:rsid w:val="7BA8275E"/>
    <w:rsid w:val="7BE14791"/>
    <w:rsid w:val="7C4C470C"/>
    <w:rsid w:val="7C920257"/>
    <w:rsid w:val="7CD03426"/>
    <w:rsid w:val="7DDA7768"/>
    <w:rsid w:val="7DFA5FDE"/>
    <w:rsid w:val="7E0B3994"/>
    <w:rsid w:val="7F5B6E6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36"/>
    <w:qFormat/>
    <w:uiPriority w:val="0"/>
    <w:pPr>
      <w:keepNext/>
      <w:keepLines/>
      <w:numPr>
        <w:ilvl w:val="0"/>
        <w:numId w:val="1"/>
      </w:numPr>
      <w:autoSpaceDE w:val="0"/>
      <w:autoSpaceDN w:val="0"/>
      <w:adjustRightInd w:val="0"/>
      <w:spacing w:before="340" w:after="330" w:line="360" w:lineRule="auto"/>
      <w:jc w:val="left"/>
      <w:textAlignment w:val="baseline"/>
      <w:outlineLvl w:val="0"/>
    </w:pPr>
    <w:rPr>
      <w:rFonts w:ascii="宋体" w:hAnsi="Arial" w:eastAsia="黑体"/>
      <w:b/>
      <w:color w:val="000000"/>
      <w:kern w:val="44"/>
      <w:sz w:val="36"/>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1"/>
    <w:qFormat/>
    <w:uiPriority w:val="1"/>
    <w:pPr>
      <w:spacing w:after="120" w:afterLines="0"/>
    </w:pPr>
  </w:style>
  <w:style w:type="paragraph" w:styleId="5">
    <w:name w:val="Body Text Indent"/>
    <w:basedOn w:val="1"/>
    <w:qFormat/>
    <w:uiPriority w:val="0"/>
    <w:pPr>
      <w:spacing w:line="480" w:lineRule="auto"/>
      <w:ind w:firstLine="600"/>
    </w:pPr>
    <w:rPr>
      <w:sz w:val="28"/>
    </w:rPr>
  </w:style>
  <w:style w:type="paragraph" w:styleId="6">
    <w:name w:val="Balloon Text"/>
    <w:basedOn w:val="1"/>
    <w:link w:val="25"/>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link w:val="24"/>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qFormat/>
    <w:uiPriority w:val="39"/>
    <w:pPr>
      <w:jc w:val="left"/>
    </w:pPr>
    <w:rPr>
      <w:b/>
      <w:caps/>
    </w:rPr>
  </w:style>
  <w:style w:type="paragraph" w:styleId="10">
    <w:name w:val="Title"/>
    <w:basedOn w:val="1"/>
    <w:qFormat/>
    <w:uiPriority w:val="0"/>
    <w:pPr>
      <w:widowControl/>
      <w:overflowPunct w:val="0"/>
      <w:autoSpaceDE w:val="0"/>
      <w:autoSpaceDN w:val="0"/>
      <w:adjustRightInd w:val="0"/>
      <w:jc w:val="center"/>
      <w:textAlignment w:val="baseline"/>
    </w:pPr>
    <w:rPr>
      <w:b/>
      <w:kern w:val="0"/>
      <w:sz w:val="44"/>
      <w:lang w:val="en-GB"/>
    </w:rPr>
  </w:style>
  <w:style w:type="paragraph" w:styleId="11">
    <w:name w:val="Body Text First Indent"/>
    <w:basedOn w:val="4"/>
    <w:next w:val="1"/>
    <w:qFormat/>
    <w:uiPriority w:val="99"/>
    <w:pPr>
      <w:widowControl/>
      <w:spacing w:after="120" w:afterLines="0" w:line="240" w:lineRule="auto"/>
      <w:ind w:firstLine="420" w:firstLineChars="100"/>
      <w:jc w:val="left"/>
    </w:pPr>
    <w:rPr>
      <w:rFonts w:ascii="Times New Roman" w:eastAsia="宋体"/>
      <w:kern w:val="0"/>
      <w:sz w:val="21"/>
    </w:rPr>
  </w:style>
  <w:style w:type="paragraph" w:styleId="12">
    <w:name w:val="Body Text First Indent 2"/>
    <w:basedOn w:val="5"/>
    <w:qFormat/>
    <w:uiPriority w:val="0"/>
    <w:pPr>
      <w:ind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qFormat/>
    <w:uiPriority w:val="0"/>
  </w:style>
  <w:style w:type="character" w:styleId="17">
    <w:name w:val="Emphasis"/>
    <w:basedOn w:val="15"/>
    <w:qFormat/>
    <w:uiPriority w:val="0"/>
    <w:rPr>
      <w:i/>
    </w:rPr>
  </w:style>
  <w:style w:type="character" w:styleId="18">
    <w:name w:val="Hyperlink"/>
    <w:qFormat/>
    <w:uiPriority w:val="99"/>
    <w:rPr>
      <w:color w:val="0000FF"/>
      <w:u w:val="single"/>
    </w:rPr>
  </w:style>
  <w:style w:type="character" w:styleId="19">
    <w:name w:val="annotation reference"/>
    <w:basedOn w:val="15"/>
    <w:qFormat/>
    <w:uiPriority w:val="0"/>
    <w:rPr>
      <w:sz w:val="21"/>
      <w:szCs w:val="21"/>
    </w:rPr>
  </w:style>
  <w:style w:type="paragraph" w:customStyle="1" w:styleId="20">
    <w:name w:val="正文文字缩进"/>
    <w:basedOn w:val="1"/>
    <w:qFormat/>
    <w:uiPriority w:val="0"/>
    <w:pPr>
      <w:widowControl/>
      <w:spacing w:line="351" w:lineRule="atLeast"/>
      <w:ind w:firstLine="436"/>
      <w:textAlignment w:val="baseline"/>
    </w:pPr>
    <w:rPr>
      <w:color w:val="000000"/>
      <w:kern w:val="0"/>
      <w:sz w:val="30"/>
      <w:u w:color="000000"/>
    </w:rPr>
  </w:style>
  <w:style w:type="character" w:customStyle="1" w:styleId="21">
    <w:name w:val="标题 1 Char Char"/>
    <w:qFormat/>
    <w:uiPriority w:val="0"/>
    <w:rPr>
      <w:rFonts w:eastAsia="宋体"/>
      <w:b/>
      <w:spacing w:val="-2"/>
      <w:sz w:val="24"/>
      <w:lang w:val="en-US" w:eastAsia="zh-CN"/>
    </w:rPr>
  </w:style>
  <w:style w:type="paragraph" w:customStyle="1" w:styleId="22">
    <w:name w:val="一、标题"/>
    <w:basedOn w:val="1"/>
    <w:qFormat/>
    <w:uiPriority w:val="0"/>
    <w:rPr>
      <w:b/>
      <w:sz w:val="28"/>
    </w:rPr>
  </w:style>
  <w:style w:type="paragraph" w:styleId="23">
    <w:name w:val="List Paragraph"/>
    <w:basedOn w:val="1"/>
    <w:qFormat/>
    <w:uiPriority w:val="34"/>
    <w:pPr>
      <w:ind w:firstLine="420" w:firstLineChars="200"/>
    </w:pPr>
  </w:style>
  <w:style w:type="character" w:customStyle="1" w:styleId="24">
    <w:name w:val="页眉 Char"/>
    <w:basedOn w:val="15"/>
    <w:link w:val="8"/>
    <w:qFormat/>
    <w:uiPriority w:val="0"/>
    <w:rPr>
      <w:kern w:val="2"/>
      <w:sz w:val="18"/>
      <w:szCs w:val="18"/>
    </w:rPr>
  </w:style>
  <w:style w:type="character" w:customStyle="1" w:styleId="25">
    <w:name w:val="批注框文本 Char"/>
    <w:basedOn w:val="15"/>
    <w:link w:val="6"/>
    <w:qFormat/>
    <w:uiPriority w:val="0"/>
    <w:rPr>
      <w:kern w:val="2"/>
      <w:sz w:val="18"/>
      <w:szCs w:val="18"/>
    </w:rPr>
  </w:style>
  <w:style w:type="character" w:customStyle="1" w:styleId="26">
    <w:name w:val="font31"/>
    <w:basedOn w:val="15"/>
    <w:qFormat/>
    <w:uiPriority w:val="0"/>
    <w:rPr>
      <w:rFonts w:hint="eastAsia" w:ascii="宋体" w:hAnsi="宋体" w:eastAsia="宋体" w:cs="宋体"/>
      <w:color w:val="000000"/>
      <w:sz w:val="22"/>
      <w:szCs w:val="22"/>
      <w:u w:val="none"/>
    </w:rPr>
  </w:style>
  <w:style w:type="character" w:customStyle="1" w:styleId="27">
    <w:name w:val="font51"/>
    <w:basedOn w:val="15"/>
    <w:qFormat/>
    <w:uiPriority w:val="0"/>
    <w:rPr>
      <w:rFonts w:hint="default" w:ascii="Times New Roman" w:hAnsi="Times New Roman" w:cs="Times New Roman"/>
      <w:color w:val="000000"/>
      <w:sz w:val="22"/>
      <w:szCs w:val="22"/>
      <w:u w:val="none"/>
    </w:rPr>
  </w:style>
  <w:style w:type="character" w:customStyle="1" w:styleId="28">
    <w:name w:val="font41"/>
    <w:basedOn w:val="15"/>
    <w:qFormat/>
    <w:uiPriority w:val="0"/>
    <w:rPr>
      <w:rFonts w:ascii="仿宋_GB2312" w:eastAsia="仿宋_GB2312" w:cs="仿宋_GB2312"/>
      <w:color w:val="000000"/>
      <w:sz w:val="22"/>
      <w:szCs w:val="22"/>
      <w:u w:val="none"/>
    </w:rPr>
  </w:style>
  <w:style w:type="character" w:customStyle="1" w:styleId="29">
    <w:name w:val="font21"/>
    <w:basedOn w:val="15"/>
    <w:qFormat/>
    <w:uiPriority w:val="0"/>
    <w:rPr>
      <w:rFonts w:hint="eastAsia" w:ascii="宋体" w:hAnsi="宋体" w:eastAsia="宋体" w:cs="宋体"/>
      <w:color w:val="000000"/>
      <w:sz w:val="22"/>
      <w:szCs w:val="22"/>
      <w:u w:val="none"/>
      <w:vertAlign w:val="superscript"/>
    </w:rPr>
  </w:style>
  <w:style w:type="character" w:customStyle="1" w:styleId="30">
    <w:name w:val="font01"/>
    <w:basedOn w:val="15"/>
    <w:qFormat/>
    <w:uiPriority w:val="0"/>
    <w:rPr>
      <w:rFonts w:hint="eastAsia" w:ascii="宋体" w:hAnsi="宋体" w:eastAsia="宋体" w:cs="宋体"/>
      <w:color w:val="000000"/>
      <w:sz w:val="22"/>
      <w:szCs w:val="22"/>
      <w:u w:val="none"/>
    </w:rPr>
  </w:style>
  <w:style w:type="character" w:customStyle="1" w:styleId="31">
    <w:name w:val="font11"/>
    <w:basedOn w:val="15"/>
    <w:qFormat/>
    <w:uiPriority w:val="0"/>
    <w:rPr>
      <w:rFonts w:hint="eastAsia" w:ascii="宋体" w:hAnsi="宋体" w:eastAsia="宋体" w:cs="宋体"/>
      <w:color w:val="000000"/>
      <w:sz w:val="24"/>
      <w:szCs w:val="24"/>
      <w:u w:val="none"/>
    </w:rPr>
  </w:style>
  <w:style w:type="paragraph" w:customStyle="1" w:styleId="32">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character" w:customStyle="1" w:styleId="33">
    <w:name w:val="font81"/>
    <w:basedOn w:val="15"/>
    <w:qFormat/>
    <w:uiPriority w:val="0"/>
    <w:rPr>
      <w:rFonts w:ascii="宋体" w:hAnsi="宋体" w:eastAsia="宋体" w:cs="宋体"/>
      <w:color w:val="000000"/>
      <w:sz w:val="20"/>
      <w:szCs w:val="20"/>
      <w:u w:val="none"/>
    </w:rPr>
  </w:style>
  <w:style w:type="character" w:customStyle="1" w:styleId="34">
    <w:name w:val="font71"/>
    <w:basedOn w:val="15"/>
    <w:qFormat/>
    <w:uiPriority w:val="0"/>
    <w:rPr>
      <w:rFonts w:hint="eastAsia" w:ascii="仿宋" w:hAnsi="仿宋" w:eastAsia="仿宋" w:cs="仿宋"/>
      <w:color w:val="000000"/>
      <w:sz w:val="22"/>
      <w:szCs w:val="22"/>
      <w:u w:val="none"/>
    </w:rPr>
  </w:style>
  <w:style w:type="paragraph" w:customStyle="1" w:styleId="35">
    <w:name w:val="样式1"/>
    <w:basedOn w:val="1"/>
    <w:qFormat/>
    <w:uiPriority w:val="0"/>
    <w:pPr>
      <w:spacing w:line="240" w:lineRule="exact"/>
    </w:pPr>
    <w:rPr>
      <w:rFonts w:ascii="宋体" w:hAnsi="宋体" w:eastAsia="宋体"/>
      <w:sz w:val="24"/>
      <w:szCs w:val="24"/>
    </w:rPr>
  </w:style>
  <w:style w:type="character" w:customStyle="1" w:styleId="36">
    <w:name w:val="标题 1 Char"/>
    <w:link w:val="2"/>
    <w:qFormat/>
    <w:uiPriority w:val="0"/>
    <w:rPr>
      <w:rFonts w:ascii="宋体" w:hAnsi="Arial" w:eastAsia="黑体"/>
      <w:b/>
      <w:color w:val="000000"/>
      <w:kern w:val="44"/>
      <w:sz w:val="36"/>
    </w:rPr>
  </w:style>
  <w:style w:type="paragraph" w:customStyle="1" w:styleId="37">
    <w:name w:val="[Normal]"/>
    <w:qFormat/>
    <w:uiPriority w:val="0"/>
    <w:pPr>
      <w:widowControl w:val="0"/>
      <w:autoSpaceDE w:val="0"/>
      <w:autoSpaceDN w:val="0"/>
      <w:adjustRightInd w:val="0"/>
    </w:pPr>
    <w:rPr>
      <w:rFonts w:ascii="宋体" w:hAnsi="Times New Roman" w:eastAsia="宋体" w:cs="宋体"/>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40</Pages>
  <Words>18744</Words>
  <Characters>20855</Characters>
  <Lines>53</Lines>
  <Paragraphs>15</Paragraphs>
  <TotalTime>54</TotalTime>
  <ScaleCrop>false</ScaleCrop>
  <LinksUpToDate>false</LinksUpToDate>
  <CharactersWithSpaces>22258</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2021-02-26T02:23:00Z</dcterms:created>
  <dc:creator>Echo</dc:creator>
  <cp:lastModifiedBy>Léon</cp:lastModifiedBy>
  <cp:lastPrinted>2026-08-12T02:28:00Z</cp:lastPrinted>
  <dcterms:modified xsi:type="dcterms:W3CDTF">2026-08-14T06:04:41Z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01D60BCA3433468BA9616D687F558C41_13</vt:lpwstr>
  </property>
  <property fmtid="{D5CDD505-2E9C-101B-9397-08002B2CF9AE}" pid="4" name="KSOTemplateDocerSaveRecord">
    <vt:lpwstr>eyJoZGlkIjoiZDU5ZmYzODUyNjg1MTM3NmE2OTBjZTA2MmE1ZDJlMDUiLCJ1c2VySWQiOiI0MTkyNjk4ODkifQ==</vt:lpwstr>
  </property>
</Properties>
</file>