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9122"/>
      <w:r>
        <w:rPr>
          <w:rFonts w:hint="eastAsia" w:ascii="仿宋_GB2312" w:hAnsi="宋体" w:eastAsia="仿宋_GB2312"/>
          <w:b/>
          <w:sz w:val="52"/>
          <w:szCs w:val="52"/>
          <w:lang w:eastAsia="zh-CN"/>
        </w:rPr>
        <w:t>绍兴市再生能源发展有限公司</w:t>
      </w:r>
      <w:bookmarkEnd w:id="0"/>
    </w:p>
    <w:p w14:paraId="4EEA6687">
      <w:pPr>
        <w:pStyle w:val="11"/>
        <w:rPr>
          <w:highlight w:val="none"/>
        </w:rPr>
      </w:pPr>
    </w:p>
    <w:p w14:paraId="6CB6ED1E">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食堂电磁双头大炒灶、电磁小炒炉、电磁低汤炉更换项目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highlight w:val="none"/>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SX-ZH-ST-</w:t>
      </w:r>
      <w:bookmarkEnd w:id="1"/>
      <w:r>
        <w:rPr>
          <w:rFonts w:hint="eastAsia" w:ascii="仿宋" w:hAnsi="仿宋" w:eastAsia="仿宋" w:cs="仿宋"/>
          <w:sz w:val="32"/>
          <w:szCs w:val="32"/>
          <w:highlight w:val="none"/>
          <w:u w:val="single"/>
          <w:lang w:val="en-US" w:eastAsia="zh-CN"/>
        </w:rPr>
        <w:t xml:space="preserve">2606013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食堂电磁双头大炒灶、电磁小炒炉、电磁低汤炉更换项目</w:t>
      </w:r>
    </w:p>
    <w:p w14:paraId="619BC30A">
      <w:pPr>
        <w:rPr>
          <w:rFonts w:hint="eastAsia" w:ascii="仿宋" w:hAnsi="仿宋" w:eastAsia="仿宋" w:cs="仿宋"/>
          <w:sz w:val="84"/>
          <w:highlight w:val="none"/>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022D8C16">
      <w:pPr>
        <w:pStyle w:val="9"/>
        <w:tabs>
          <w:tab w:val="right" w:leader="dot" w:pos="907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_Toc19122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_Toc19122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A27210E">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_Toc21675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_Toc21675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981B437">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_Toc27365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_Toc27365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9</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0B9B0E2">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_Toc21876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_Toc21876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14</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6B1AE0C">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_Toc28932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_Toc28932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16</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201B097">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_Toc9167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_Toc9167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22</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C2AC2BC">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_Toc30057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_Toc30057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4B15D02">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_Toc4951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_Toc4951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26</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0DFE22E0">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_Toc20301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eastAsia="仿宋" w:cs="Times New Roman"/>
          <w:b w:val="0"/>
          <w:bCs w:val="0"/>
          <w:sz w:val="32"/>
          <w:szCs w:val="32"/>
          <w:lang w:val="en-US" w:eastAsia="zh-CN"/>
        </w:rPr>
        <w:t>二</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_Toc20301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28</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889621C">
      <w:pPr>
        <w:pStyle w:val="9"/>
        <w:tabs>
          <w:tab w:val="right" w:leader="dot" w:pos="9072"/>
        </w:tabs>
        <w:rPr>
          <w:rFonts w:hint="eastAsia" w:ascii="仿宋" w:hAnsi="仿宋" w:eastAsia="仿宋" w:cs="仿宋"/>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_Toc12380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eastAsia="仿宋" w:cs="Times New Roman"/>
          <w:b w:val="0"/>
          <w:bCs w:val="0"/>
          <w:sz w:val="32"/>
          <w:szCs w:val="32"/>
          <w:lang w:val="en-US" w:eastAsia="zh-CN"/>
        </w:rPr>
        <w:t>三</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_Toc12380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30</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49419028">
      <w:pPr>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bookmarkStart w:id="22" w:name="_GoBack"/>
      <w:bookmarkEnd w:id="22"/>
      <w:r>
        <w:rPr>
          <w:rFonts w:hint="eastAsia" w:ascii="仿宋" w:hAnsi="仿宋" w:eastAsia="仿宋" w:cs="仿宋"/>
          <w:sz w:val="32"/>
          <w:szCs w:val="32"/>
        </w:rPr>
        <w:br w:type="page"/>
      </w:r>
      <w:bookmarkStart w:id="4" w:name="_Toc530583921"/>
      <w:bookmarkStart w:id="5" w:name="_Toc2167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食堂电磁双头大炒灶、电磁小炒炉、电磁低汤炉更换项目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SX-ZH-ST-2606013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060" w:type="pct"/>
        <w:jc w:val="center"/>
        <w:tblLayout w:type="fixed"/>
        <w:tblCellMar>
          <w:top w:w="0" w:type="dxa"/>
          <w:left w:w="108" w:type="dxa"/>
          <w:bottom w:w="0" w:type="dxa"/>
          <w:right w:w="108" w:type="dxa"/>
        </w:tblCellMar>
      </w:tblPr>
      <w:tblGrid>
        <w:gridCol w:w="672"/>
        <w:gridCol w:w="2251"/>
        <w:gridCol w:w="2714"/>
        <w:gridCol w:w="2073"/>
        <w:gridCol w:w="791"/>
        <w:gridCol w:w="899"/>
      </w:tblGrid>
      <w:tr w14:paraId="6283D5AF">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6DCD9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2E57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714" w:type="dxa"/>
            <w:tcBorders>
              <w:top w:val="single" w:color="000000" w:sz="4" w:space="0"/>
              <w:left w:val="single" w:color="000000" w:sz="4" w:space="0"/>
              <w:bottom w:val="single" w:color="000000" w:sz="4" w:space="0"/>
              <w:right w:val="single" w:color="000000" w:sz="4" w:space="0"/>
            </w:tcBorders>
            <w:noWrap/>
            <w:vAlign w:val="center"/>
          </w:tcPr>
          <w:p w14:paraId="4544DD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 xml:space="preserve">规格尺寸 </w:t>
            </w:r>
          </w:p>
          <w:p w14:paraId="10B7A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(mm)</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0F41E0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技术参数及配置要求</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93A5F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579818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362186C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5EC7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1394CF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电磁双头大炒灶</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6894F0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1800*1100*800+400</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D3699C6">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97C456">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1E7B2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台</w:t>
            </w:r>
          </w:p>
        </w:tc>
      </w:tr>
      <w:tr w14:paraId="55A978A1">
        <w:tblPrEx>
          <w:tblCellMar>
            <w:top w:w="0" w:type="dxa"/>
            <w:left w:w="108" w:type="dxa"/>
            <w:bottom w:w="0" w:type="dxa"/>
            <w:right w:w="108" w:type="dxa"/>
          </w:tblCellMar>
        </w:tblPrEx>
        <w:trPr>
          <w:trHeight w:val="1470"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DE348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2</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2BABF3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电磁小炒炉</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676DAC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1000*1100*800+400</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3EC3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24497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5F317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台</w:t>
            </w:r>
          </w:p>
        </w:tc>
      </w:tr>
      <w:tr w14:paraId="50744D7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C5B3F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3</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7B8737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电磁低汤炉</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720DA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650*750*500+700</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FE7553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D40102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A0BCB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台</w:t>
            </w:r>
          </w:p>
        </w:tc>
      </w:tr>
      <w:tr w14:paraId="74C7E5D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733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4</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F8BD1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配电箱及电源进线</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4D093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定制</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2F8AA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5A2AE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A5156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套</w:t>
            </w:r>
          </w:p>
        </w:tc>
      </w:tr>
      <w:tr w14:paraId="08872886">
        <w:tblPrEx>
          <w:tblCellMar>
            <w:top w:w="0" w:type="dxa"/>
            <w:left w:w="108" w:type="dxa"/>
            <w:bottom w:w="0" w:type="dxa"/>
            <w:right w:w="108" w:type="dxa"/>
          </w:tblCellMar>
        </w:tblPrEx>
        <w:trPr>
          <w:trHeight w:val="1001"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noWrap/>
            <w:vAlign w:val="center"/>
          </w:tcPr>
          <w:p w14:paraId="68C8FDD0">
            <w:pPr>
              <w:keepNext w:val="0"/>
              <w:keepLines w:val="0"/>
              <w:widowControl/>
              <w:suppressLineNumbers w:val="0"/>
              <w:jc w:val="left"/>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本报价为固定总价，包含旧设备拆除清运、新设备安装调试。针对第4项配电系统，服务方须到现场测量电缆线路及长度，评估施工环境难度。所有因现场实际情况（如距离超预期、施工环境复杂）产生的材料费及人工费均包含在总价中，采购人不再另行支付任何费用。</w:t>
            </w:r>
          </w:p>
        </w:tc>
      </w:tr>
    </w:tbl>
    <w:p w14:paraId="53379030">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highlight w:val="none"/>
          <w:lang w:val="en-US" w:eastAsia="zh-CN" w:bidi="ar-SA"/>
        </w:rPr>
        <w:t>3.设备采购清单及技术参数要求：</w:t>
      </w:r>
    </w:p>
    <w:p w14:paraId="536EB9AE">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电磁双头大炒灶一台</w:t>
      </w:r>
    </w:p>
    <w:p w14:paraId="1EB7EBCF">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规格（mm）：1800*1100*800+400</w:t>
      </w:r>
    </w:p>
    <w:p w14:paraId="39B748B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①额定输入电压≥380V，输出功率≥15kW×2，工作频率范围16kHz～50kHz，适应电网的范围290～450V，面板采用≥1.2mm厚的304#不锈钢，柜体采用≥1.2mm304#的不锈钢；锅具材质SUH 409L 厚度：2.0mm 口径：700mm</w:t>
      </w:r>
    </w:p>
    <w:p w14:paraId="136F4A38">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②锅具采用符合食品级材质产品；</w:t>
      </w:r>
    </w:p>
    <w:p w14:paraId="66AD4531">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③设备控制系统CPU中央处理器采用64位芯片以及IGBT技术，开机进入自检模式，具备36种自动故障诊断功能，电路板采用全贴片工艺自动化生产多级防护三重立体防辐射外壳屏蔽。</w:t>
      </w:r>
    </w:p>
    <w:p w14:paraId="7AC7922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④采用≥10档磁控火力控制开关，调节档位清晰，每档无感应电压或无泄漏电流。</w:t>
      </w:r>
    </w:p>
    <w:p w14:paraId="75A13735">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⑤机芯采用不锈钢金属壳、工业IGBT模块、铜条、分层次散热结构，风机采用耐潮湿、防漏电、防水、超静音变频设计，保障机器使用寿命；</w:t>
      </w:r>
    </w:p>
    <w:p w14:paraId="59410ACE">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⑥线盘：纯铜，国标足功率。</w:t>
      </w:r>
    </w:p>
    <w:p w14:paraId="1571C28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电磁小炒炉一台</w:t>
      </w:r>
    </w:p>
    <w:p w14:paraId="702900E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规格（mm）：1000*1100*800+400</w:t>
      </w:r>
    </w:p>
    <w:p w14:paraId="33B905B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额定输入电压≥380V，输出功率≥15kW，工作频率范围16kHz～50kHz，适应电网的范围290～450V，面板采用≥1.2mm厚的304#不锈钢，柜体采用≥1.2mm304#的不锈钢；微晶凹板外径≥400mm，≥6mm厚，标配铁锅外径≥500mm，前左水槽配置口径≥51mm带≥1.5寸外丝的排水接口</w:t>
      </w:r>
    </w:p>
    <w:p w14:paraId="26615B5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②锅具采用符合食品级材质产品；</w:t>
      </w:r>
    </w:p>
    <w:p w14:paraId="2984E3B8">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③设备控制系统CPU中央处理器采用64位芯片以及IGBT技术，开机进入自检模式，具备36种自动故障诊断功能，电路板采用全贴片工艺自动化生产多级防护三重立体防辐射外壳屏蔽。</w:t>
      </w:r>
    </w:p>
    <w:p w14:paraId="5A96F29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④采用≥10档磁控火力控制开关，调节档位清晰，每档无感应电压或无泄漏电流。</w:t>
      </w:r>
    </w:p>
    <w:p w14:paraId="327C1DBE">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⑤机芯采用不锈钢金属壳、工业IGBT模块、铜条、分层次散热结构，风机采用耐潮湿、防漏电、防水、超静音变频设计，保障机器使用寿命；</w:t>
      </w:r>
    </w:p>
    <w:p w14:paraId="772B4088">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⑥线盘：纯铜，国标足功率。</w:t>
      </w:r>
    </w:p>
    <w:p w14:paraId="33DE1F5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电磁低汤炉一台</w:t>
      </w:r>
    </w:p>
    <w:p w14:paraId="593DDB2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规格（mm）：650*750*500+700</w:t>
      </w:r>
    </w:p>
    <w:p w14:paraId="1D4A2EB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①额定输入电压≥380V，输出功率≥15kW，工作频率范围16kHz～50kHz，适应电网的范围290～450V，面板采用≥1.2mm厚的304#不锈钢，柜体采用≥1.2mm304#的不锈钢；</w:t>
      </w:r>
    </w:p>
    <w:p w14:paraId="20861B8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②Φ428mm厚6mm微晶板，配Φ500mm*500mm409材质汤桶。</w:t>
      </w:r>
    </w:p>
    <w:p w14:paraId="3F0A23CB">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③设备控制系统CPU中央处理器采用64位进口芯片以及先进技术IGBT，开机进入自检模式，具备36种自动故障诊断功能使产品更智能化，电路板采用全贴片工艺自动化生产多级防护三重立体防辐射外壳屏蔽。</w:t>
      </w:r>
    </w:p>
    <w:p w14:paraId="65AFDA31">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④采用≥10档磁控火力控制开关，调节档位清晰，每档无感应电压或无泄漏电流，确保厨师操作安全。</w:t>
      </w:r>
    </w:p>
    <w:p w14:paraId="14DBA7A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⑤机芯采用不锈钢金属壳、工业IGBT模块、铜条、分层次散热结构，风机采用耐潮湿、防漏电、防水、超静音变频设计，保障机器使用寿命；                           </w:t>
      </w:r>
    </w:p>
    <w:p w14:paraId="665E0CA5">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⑥线盘：纯铜，国标足功率。</w:t>
      </w:r>
    </w:p>
    <w:p w14:paraId="4F2682DA">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配电箱及电源进线</w:t>
      </w:r>
    </w:p>
    <w:p w14:paraId="0035671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①配电箱采用304不锈钢材质，厚度≥1.2mm，内外喷防腐防油涂层，橡胶胶条密封。</w:t>
      </w:r>
    </w:p>
    <w:p w14:paraId="68518BD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②室内挂墙安装，底部电缆进出线。双层门，防水等级IP55.</w:t>
      </w:r>
    </w:p>
    <w:p w14:paraId="699FEF5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③总进线开关按电磁双头大炒锅+电磁小炒锅+电磁汤锅+备用（15kW）总和的1.25倍配置，可选择In≥200A开关；出线开关按对应负载1.25倍配置。出线开关全部带漏电保护，强制漏电30mA/0.1S。</w:t>
      </w:r>
    </w:p>
    <w:p w14:paraId="044BACE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④进线电缆选择YJV-0.6/1kV 3*70+2*35，由综合楼配电室走竖井，穿墙外敷设进厨房，长度约60米（以实际安装位置及电缆敷设路径实测为准）。</w:t>
      </w:r>
    </w:p>
    <w:p w14:paraId="0EA6B7FE">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⑤支路出线电缆，双头大炒锅选3*16+2*10，其他先3*10+2*6.电缆长度待炒锅及配电箱安装位置确定后实测。</w:t>
      </w:r>
    </w:p>
    <w:p w14:paraId="7FE7161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其他要求：服务方须对施工现场进行全面踏勘，自行核实电缆铺设路径及长度，并将相关风险计入投标报价。本项目为包工包料项目，中标价格即为最终结算价格。凡是为实现项目功能所必需但未在投标文件中列明的材料或服务（如辅材、额外线缆长度等），均视为已包含在总价中，采购人不再另行支付任何费用。</w:t>
      </w:r>
    </w:p>
    <w:p w14:paraId="1F8DE4A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5.施工人员资质及安全保障要求</w:t>
      </w:r>
    </w:p>
    <w:p w14:paraId="3FC002F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方指派的所有进场施工人员，必须严格遵守国家及地方安全生产规范。其中，涉及电气线路敷设、配电箱接驳等特种作业人员，必须持有国家应急管理部门颁发的有效《特种作业操作证（电工）》，并做到持证上岗。同时，服务方必须为所有进场施工人员购买足额的人身意外伤害保险或工伤保险（保额不低于人民币20万元/人）。服务方须在进场前向采购人提交上述证件及保单复印件备案，未按要求提供或证件过期的，采购人有权拒绝其进场施工。</w:t>
      </w:r>
    </w:p>
    <w:p w14:paraId="6B2D74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6.</w:t>
      </w:r>
      <w:r>
        <w:rPr>
          <w:rFonts w:hint="eastAsia" w:ascii="仿宋" w:hAnsi="仿宋" w:eastAsia="仿宋" w:cs="仿宋"/>
          <w:sz w:val="30"/>
          <w:szCs w:val="30"/>
          <w:lang w:val="en-US" w:eastAsia="zh-CN"/>
        </w:rPr>
        <w:t>工作量：</w:t>
      </w:r>
    </w:p>
    <w:p w14:paraId="5ECE9C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①旧设备拆除与清运。</w:t>
      </w:r>
    </w:p>
    <w:p w14:paraId="6B5AA6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②拆除旧燃气/电灶具，切断水电气接口，清理建筑垃圾。</w:t>
      </w:r>
    </w:p>
    <w:p w14:paraId="2BA0429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③新设备搬运、安装就位，接驳给排水管。</w:t>
      </w:r>
    </w:p>
    <w:p w14:paraId="45BEB57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④安装电源控制箱，敷设电缆并接线。</w:t>
      </w:r>
    </w:p>
    <w:p w14:paraId="175B14A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⑤通电测试及试运行。</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人民币3.16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27365"/>
      <w:bookmarkStart w:id="11" w:name="_Toc530583922"/>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AC62A6">
      <w:pPr>
        <w:pageBreakBefore w:val="0"/>
        <w:kinsoku/>
        <w:wordWrap/>
        <w:topLinePunct w:val="0"/>
        <w:bidi w:val="0"/>
        <w:snapToGrid w:val="0"/>
        <w:spacing w:line="360" w:lineRule="auto"/>
        <w:ind w:right="-176" w:rightChars="-84" w:firstLine="600"/>
        <w:outlineLvl w:val="1"/>
        <w:rPr>
          <w:rFonts w:hint="eastAsia" w:ascii="仿宋_GB2312" w:hAnsi="宋体" w:eastAsia="仿宋_GB2312"/>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highlight w:val="yellow"/>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bookmarkStart w:id="12" w:name="_Toc21876"/>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lang w:val="en-US" w:eastAsia="zh-CN"/>
        </w:rPr>
        <w:t>详</w:t>
      </w:r>
      <w:r>
        <w:rPr>
          <w:rFonts w:hint="eastAsia" w:ascii="仿宋" w:hAnsi="仿宋" w:eastAsia="仿宋" w:cs="仿宋"/>
          <w:color w:val="auto"/>
          <w:kern w:val="2"/>
          <w:sz w:val="30"/>
          <w:szCs w:val="30"/>
          <w:highlight w:val="none"/>
          <w:lang w:val="en-US" w:eastAsia="zh-CN"/>
        </w:rPr>
        <w:t>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50D646C6">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本项目采用“固定总价包干”的承包方式，总工期为3个日历天。服务方需在接到采购人开工通知后立即响应，并于1日内组织人员及设备进场施工。服务方须确保在进场后3天内完成所有设备的供货、安装、调试及旧设备拆除清运工作，并交付采购人验收使用。</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两年质保，其履约保证金（合同价的5%）到时（验收合格后）自动转为质保金，质保金于质保期满且无未决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54F100F9">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8932"/>
      <w:r>
        <w:rPr>
          <w:rFonts w:hint="eastAsia" w:ascii="仿宋" w:hAnsi="仿宋" w:eastAsia="仿宋" w:cs="仿宋"/>
          <w:snapToGrid w:val="0"/>
          <w:sz w:val="44"/>
          <w:szCs w:val="44"/>
          <w:lang w:val="en-US" w:eastAsia="zh-CN"/>
        </w:rPr>
        <w:t>合同主要条款（供参考）</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3"/>
        <w:tblW w:w="11101" w:type="dxa"/>
        <w:jc w:val="center"/>
        <w:tblLayout w:type="fixed"/>
        <w:tblCellMar>
          <w:top w:w="0" w:type="dxa"/>
          <w:left w:w="108" w:type="dxa"/>
          <w:bottom w:w="0" w:type="dxa"/>
          <w:right w:w="108" w:type="dxa"/>
        </w:tblCellMar>
      </w:tblPr>
      <w:tblGrid>
        <w:gridCol w:w="751"/>
        <w:gridCol w:w="1439"/>
        <w:gridCol w:w="2509"/>
        <w:gridCol w:w="2387"/>
        <w:gridCol w:w="1309"/>
        <w:gridCol w:w="1187"/>
        <w:gridCol w:w="1519"/>
      </w:tblGrid>
      <w:tr w14:paraId="3FCAA4F7">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项目名称</w:t>
            </w:r>
          </w:p>
        </w:tc>
        <w:tc>
          <w:tcPr>
            <w:tcW w:w="2509" w:type="dxa"/>
            <w:tcBorders>
              <w:top w:val="single" w:color="auto" w:sz="4" w:space="0"/>
              <w:left w:val="nil"/>
              <w:bottom w:val="single" w:color="auto" w:sz="4" w:space="0"/>
              <w:right w:val="single" w:color="auto" w:sz="4" w:space="0"/>
            </w:tcBorders>
            <w:noWrap w:val="0"/>
            <w:vAlign w:val="center"/>
          </w:tcPr>
          <w:p w14:paraId="34D51EC6">
            <w:pPr>
              <w:adjustRightInd/>
              <w:snapToGrid/>
              <w:spacing w:after="0"/>
              <w:jc w:val="center"/>
              <w:rPr>
                <w:rFonts w:hint="eastAsia"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规格尺寸</w:t>
            </w:r>
          </w:p>
          <w:p w14:paraId="5BCA425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(mm)</w:t>
            </w:r>
          </w:p>
        </w:tc>
        <w:tc>
          <w:tcPr>
            <w:tcW w:w="2387"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技术参数及配置要求</w:t>
            </w:r>
          </w:p>
        </w:tc>
        <w:tc>
          <w:tcPr>
            <w:tcW w:w="1309" w:type="dxa"/>
            <w:tcBorders>
              <w:top w:val="single" w:color="auto" w:sz="4" w:space="0"/>
              <w:left w:val="nil"/>
              <w:bottom w:val="single" w:color="auto" w:sz="4" w:space="0"/>
              <w:right w:val="single" w:color="auto" w:sz="4" w:space="0"/>
            </w:tcBorders>
            <w:noWrap w:val="0"/>
            <w:vAlign w:val="center"/>
          </w:tcPr>
          <w:p w14:paraId="5D4B485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1187" w:type="dxa"/>
            <w:tcBorders>
              <w:top w:val="single" w:color="auto" w:sz="4" w:space="0"/>
              <w:left w:val="nil"/>
              <w:bottom w:val="single" w:color="auto" w:sz="4" w:space="0"/>
              <w:right w:val="single" w:color="auto" w:sz="4" w:space="0"/>
            </w:tcBorders>
            <w:noWrap w:val="0"/>
            <w:vAlign w:val="center"/>
          </w:tcPr>
          <w:p w14:paraId="4E915D1B">
            <w:pPr>
              <w:adjustRightInd/>
              <w:snapToGrid/>
              <w:spacing w:after="0"/>
              <w:jc w:val="center"/>
              <w:rPr>
                <w:rFonts w:hint="eastAsia"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单位</w:t>
            </w:r>
          </w:p>
        </w:tc>
        <w:tc>
          <w:tcPr>
            <w:tcW w:w="1519" w:type="dxa"/>
            <w:tcBorders>
              <w:top w:val="single" w:color="auto" w:sz="4" w:space="0"/>
              <w:left w:val="nil"/>
              <w:bottom w:val="single" w:color="auto" w:sz="4" w:space="0"/>
              <w:right w:val="single" w:color="auto" w:sz="4" w:space="0"/>
            </w:tcBorders>
            <w:noWrap w:val="0"/>
            <w:vAlign w:val="center"/>
          </w:tcPr>
          <w:p w14:paraId="459EC799">
            <w:pPr>
              <w:adjustRightInd/>
              <w:snapToGrid/>
              <w:spacing w:after="0"/>
              <w:jc w:val="center"/>
              <w:rPr>
                <w:rFonts w:hint="eastAsia"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w:t>
            </w:r>
          </w:p>
          <w:p w14:paraId="12CD8711">
            <w:pPr>
              <w:adjustRightInd/>
              <w:snapToGrid/>
              <w:spacing w:after="0"/>
              <w:jc w:val="center"/>
              <w:rPr>
                <w:rFonts w:hint="eastAsia"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（元）</w:t>
            </w:r>
          </w:p>
        </w:tc>
      </w:tr>
      <w:tr w14:paraId="1BC12620">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50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238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1309" w:type="dxa"/>
            <w:tcBorders>
              <w:top w:val="nil"/>
              <w:left w:val="nil"/>
              <w:bottom w:val="single" w:color="auto" w:sz="4" w:space="0"/>
              <w:right w:val="single" w:color="auto" w:sz="4" w:space="0"/>
            </w:tcBorders>
            <w:noWrap w:val="0"/>
            <w:vAlign w:val="center"/>
          </w:tcPr>
          <w:p w14:paraId="32553EA7">
            <w:pPr>
              <w:adjustRightInd/>
              <w:snapToGrid/>
              <w:spacing w:after="0"/>
              <w:jc w:val="center"/>
              <w:rPr>
                <w:rFonts w:hint="eastAsia" w:ascii="Times New Roman" w:hAnsi="Times New Roman" w:eastAsia="方正仿宋_GBK" w:cs="Times New Roman"/>
                <w:b/>
                <w:bCs/>
                <w:sz w:val="24"/>
                <w:szCs w:val="24"/>
              </w:rPr>
            </w:pPr>
          </w:p>
        </w:tc>
        <w:tc>
          <w:tcPr>
            <w:tcW w:w="1187" w:type="dxa"/>
            <w:tcBorders>
              <w:top w:val="nil"/>
              <w:left w:val="nil"/>
              <w:bottom w:val="single" w:color="auto" w:sz="4" w:space="0"/>
              <w:right w:val="single" w:color="auto" w:sz="4" w:space="0"/>
            </w:tcBorders>
            <w:noWrap w:val="0"/>
            <w:vAlign w:val="center"/>
          </w:tcPr>
          <w:p w14:paraId="0EBA8220">
            <w:pPr>
              <w:adjustRightInd/>
              <w:snapToGrid/>
              <w:spacing w:after="0"/>
              <w:jc w:val="center"/>
              <w:rPr>
                <w:rFonts w:hint="eastAsia" w:ascii="Times New Roman" w:hAnsi="Times New Roman" w:eastAsia="方正仿宋_GBK" w:cs="Times New Roman"/>
                <w:b/>
                <w:bCs/>
                <w:sz w:val="24"/>
                <w:szCs w:val="24"/>
              </w:rPr>
            </w:pPr>
          </w:p>
        </w:tc>
        <w:tc>
          <w:tcPr>
            <w:tcW w:w="1519" w:type="dxa"/>
            <w:tcBorders>
              <w:top w:val="nil"/>
              <w:left w:val="nil"/>
              <w:bottom w:val="single" w:color="auto" w:sz="4" w:space="0"/>
              <w:right w:val="single" w:color="auto" w:sz="4" w:space="0"/>
            </w:tcBorders>
            <w:noWrap w:val="0"/>
            <w:vAlign w:val="center"/>
          </w:tcPr>
          <w:p w14:paraId="761E3972">
            <w:pPr>
              <w:adjustRightInd/>
              <w:snapToGrid/>
              <w:spacing w:after="0"/>
              <w:jc w:val="center"/>
              <w:rPr>
                <w:rFonts w:hint="eastAsia" w:ascii="Times New Roman" w:hAnsi="Times New Roman" w:eastAsia="方正仿宋_GBK" w:cs="Times New Roman"/>
                <w:b/>
                <w:bCs/>
                <w:sz w:val="24"/>
                <w:szCs w:val="24"/>
              </w:rPr>
            </w:pPr>
          </w:p>
        </w:tc>
      </w:tr>
      <w:tr w14:paraId="5F6FB3D6">
        <w:tblPrEx>
          <w:tblCellMar>
            <w:top w:w="0" w:type="dxa"/>
            <w:left w:w="108" w:type="dxa"/>
            <w:bottom w:w="0" w:type="dxa"/>
            <w:right w:w="108" w:type="dxa"/>
          </w:tblCellMar>
        </w:tblPrEx>
        <w:trPr>
          <w:trHeight w:val="836" w:hRule="atLeast"/>
          <w:jc w:val="center"/>
        </w:trPr>
        <w:tc>
          <w:tcPr>
            <w:tcW w:w="9582" w:type="dxa"/>
            <w:gridSpan w:val="6"/>
            <w:tcBorders>
              <w:top w:val="nil"/>
              <w:left w:val="single" w:color="auto" w:sz="4" w:space="0"/>
              <w:bottom w:val="single" w:color="auto" w:sz="4" w:space="0"/>
              <w:right w:val="single" w:color="auto" w:sz="4" w:space="0"/>
            </w:tcBorders>
            <w:noWrap w:val="0"/>
            <w:vAlign w:val="center"/>
          </w:tcPr>
          <w:p w14:paraId="0BDFFE6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519" w:type="dxa"/>
            <w:tcBorders>
              <w:top w:val="nil"/>
              <w:left w:val="single" w:color="auto" w:sz="4" w:space="0"/>
              <w:bottom w:val="single" w:color="auto" w:sz="4" w:space="0"/>
              <w:right w:val="single" w:color="auto" w:sz="4" w:space="0"/>
            </w:tcBorders>
            <w:noWrap w:val="0"/>
            <w:vAlign w:val="center"/>
          </w:tcPr>
          <w:p w14:paraId="255F9845">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1D3B6E41">
        <w:tblPrEx>
          <w:tblCellMar>
            <w:top w:w="0" w:type="dxa"/>
            <w:left w:w="108" w:type="dxa"/>
            <w:bottom w:w="0" w:type="dxa"/>
            <w:right w:w="108" w:type="dxa"/>
          </w:tblCellMar>
        </w:tblPrEx>
        <w:trPr>
          <w:trHeight w:val="716" w:hRule="atLeast"/>
          <w:jc w:val="center"/>
        </w:trPr>
        <w:tc>
          <w:tcPr>
            <w:tcW w:w="11101" w:type="dxa"/>
            <w:gridSpan w:val="7"/>
            <w:tcBorders>
              <w:top w:val="nil"/>
              <w:left w:val="single" w:color="auto" w:sz="4" w:space="0"/>
              <w:bottom w:val="single" w:color="auto" w:sz="4" w:space="0"/>
              <w:right w:val="single" w:color="auto" w:sz="4" w:space="0"/>
            </w:tcBorders>
            <w:noWrap w:val="0"/>
            <w:vAlign w:val="center"/>
          </w:tcPr>
          <w:p w14:paraId="0705542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采用“固定总价包干”的承包方式，总工期为3个日历天。乙方需在接到甲方开工通知后立即响应，并于1日内组织人员及设备进场施工。乙方须确保在进场后3天内完成所有设备的供货、安装、调试及旧设备拆除清运工作，并交付甲方验收使用</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yellow"/>
          <w:lang w:val="en-US" w:eastAsia="zh-CN"/>
        </w:rPr>
      </w:pPr>
      <w:r>
        <w:rPr>
          <w:rFonts w:hint="eastAsia" w:ascii="黑体" w:hAnsi="黑体" w:eastAsia="黑体" w:cs="黑体"/>
          <w:sz w:val="28"/>
          <w:szCs w:val="28"/>
        </w:rPr>
        <w:t xml:space="preserve">第三条 </w:t>
      </w:r>
      <w:r>
        <w:rPr>
          <w:rFonts w:hint="eastAsia" w:ascii="黑体" w:hAnsi="黑体" w:eastAsia="黑体" w:cs="黑体"/>
          <w:sz w:val="28"/>
          <w:szCs w:val="28"/>
          <w:lang w:val="en-US" w:eastAsia="zh-CN"/>
        </w:rPr>
        <w:t>设备采购清单及技术参数要求</w:t>
      </w:r>
    </w:p>
    <w:p w14:paraId="3337872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电磁双头大炒灶一台</w:t>
      </w:r>
    </w:p>
    <w:p w14:paraId="6CEC1AA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规格（mm）：1800*1100*800+400</w:t>
      </w:r>
    </w:p>
    <w:p w14:paraId="6B6762D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①额定输入电压≥380V，输出功率≥15kW×2，工作频率范围16kHz～50kHz，适应电网的范围290～450V，面板采用≥1.2mm厚的304#不锈钢，柜体采用≥1.2mm304#的不锈钢；锅具材质SUH 409L 厚度：2.0mm 口径：700mm</w:t>
      </w:r>
    </w:p>
    <w:p w14:paraId="285A694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②锅具采用符合食品级材质产品；</w:t>
      </w:r>
    </w:p>
    <w:p w14:paraId="05B362E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③设备控制系统CPU中央处理器采用64位芯片以及IGBT技术，开机进入自检模式，具备36种自动故障诊断功能，电路板采用全贴片工艺自动化生产多级防护三重立体防辐射外壳屏蔽。</w:t>
      </w:r>
    </w:p>
    <w:p w14:paraId="60D782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④采用≥10档磁控火力控制开关，调节档位清晰，每档无感应电压或无泄漏电流。</w:t>
      </w:r>
    </w:p>
    <w:p w14:paraId="34B3AD8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⑤机芯采用不锈钢金属壳、工业IGBT模块、铜条、分层次散热结构，风机采用耐潮湿、防漏电、防水、超静音变频设计，保障机器使用寿命；</w:t>
      </w:r>
    </w:p>
    <w:p w14:paraId="3E6E060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⑥线盘：纯铜，国标足功率。</w:t>
      </w:r>
    </w:p>
    <w:p w14:paraId="3168725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电磁小炒炉一台</w:t>
      </w:r>
    </w:p>
    <w:p w14:paraId="37A857C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规格（mm）：1000*1100*800+400</w:t>
      </w:r>
    </w:p>
    <w:p w14:paraId="2FD2C43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①额定输入电压≥380V，输出功率≥15kW，工作频率范围16kHz～50kHz，适应电网的范围290～450V，面板采用≥1.2mm厚的304#不锈钢，柜体采用≥1.2mm304#的不锈钢；微晶凹板外径≥400mm，≥6mm厚，标配铁锅外径≥500mm，前左水槽配置口径≥51mm带≥1.5寸外丝的排水接口</w:t>
      </w:r>
    </w:p>
    <w:p w14:paraId="420445B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②锅具采用符合食品级材质产品；</w:t>
      </w:r>
    </w:p>
    <w:p w14:paraId="4CD141C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③设备控制系统CPU中央处理器采用64位芯片以及IGBT技术，开机进入自检模式，具备36种自动故障诊断功能，电路板采用全贴片工艺自动化生产多级防护三重立体防辐射外壳屏蔽。</w:t>
      </w:r>
    </w:p>
    <w:p w14:paraId="34A0AD9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④采用≥10档磁控火力控制开关，调节档位清晰，每档无感应电压或无泄漏电流。</w:t>
      </w:r>
    </w:p>
    <w:p w14:paraId="60EB654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⑤机芯采用不锈钢金属壳、工业IGBT模块、铜条、分层次散热结构，风机采用耐潮湿、防漏电、防水、超静音变频设计，保障机器使用寿命；</w:t>
      </w:r>
    </w:p>
    <w:p w14:paraId="116A2B3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⑥线盘：纯铜，国标足功率。</w:t>
      </w:r>
    </w:p>
    <w:p w14:paraId="061904D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电磁低汤炉一台</w:t>
      </w:r>
    </w:p>
    <w:p w14:paraId="48DBAB5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规格（mm）：650*750*500+700</w:t>
      </w:r>
    </w:p>
    <w:p w14:paraId="7B148EB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①额定输入电压≥380V，输出功率≥15kW，工作频率范围16kHz～50kHz，适应电网的范围290～450V，面板采用≥1.2mm厚的304#不锈钢，柜体采用≥1.2mm304#的不锈钢；</w:t>
      </w:r>
    </w:p>
    <w:p w14:paraId="065F9EC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②Φ428mm厚6mm微晶板，配Φ500mm*500mm409材质汤桶。</w:t>
      </w:r>
    </w:p>
    <w:p w14:paraId="6DBA5A9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③设备控制系统CPU中央处理器采用64位进口芯片以及先进技术IGBT，开机进入自检模式，具备36种自动故障诊断功能使产品更智能化，电路板采用全贴片工艺自动化生产多级防护三重立体防辐射外壳屏蔽。</w:t>
      </w:r>
    </w:p>
    <w:p w14:paraId="1E4BB3C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④采用≥10档磁控火力控制开关，调节档位清晰，每档无感应电压或无泄漏电流，确保厨师操作安全。</w:t>
      </w:r>
    </w:p>
    <w:p w14:paraId="0F53CCF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⑤机芯采用不锈钢金属壳、工业IGBT模块、铜条、分层次散热结构，风机采用耐潮湿、防漏电、防水、超静音变频设计，保障机器使用寿命；                           </w:t>
      </w:r>
    </w:p>
    <w:p w14:paraId="3B5248C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⑥线盘：纯铜，国标足功率。</w:t>
      </w:r>
    </w:p>
    <w:p w14:paraId="4BA293E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配电箱及电源进线</w:t>
      </w:r>
    </w:p>
    <w:p w14:paraId="4890E35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①配电箱采用304不锈钢材质，厚度≥1.2mm，内外喷防腐防油涂层，橡胶胶条密封。</w:t>
      </w:r>
    </w:p>
    <w:p w14:paraId="3B2A5BB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②室内挂墙安装，底部电缆进出线。双层门，防水等级IP55.</w:t>
      </w:r>
    </w:p>
    <w:p w14:paraId="2F2807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③总进线开关按电磁双头大炒锅+电磁小炒锅+电磁汤锅+备用（15kW）总和的1.25倍配置，可选择In≥200A开关；出线开关按对应负载1.25倍配置。出线开关全部带漏电保护，强制漏电30mA/0.1S。</w:t>
      </w:r>
    </w:p>
    <w:p w14:paraId="0A08A18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④进线电缆选择YJV-0.6/1kV 3*70+2*35，由综合楼配电室走竖井，穿墙外敷设进厨房，长度约60米（以实际安装位置及电缆敷设路径实测为准）。</w:t>
      </w:r>
    </w:p>
    <w:p w14:paraId="238FDF5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highlight w:val="none"/>
          <w:lang w:val="en-US" w:eastAsia="zh-CN"/>
        </w:rPr>
        <w:t>⑤支路出线电缆，双头大炒锅选3*16+2*10，其他先3*10+2*6.电缆长度待炒锅及配电箱安装位置确定后实测。</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w:t>
      </w:r>
      <w:r>
        <w:rPr>
          <w:rFonts w:hint="eastAsia" w:ascii="方正仿宋_GBK" w:hAnsi="方正仿宋_GBK" w:eastAsia="方正仿宋_GBK" w:cs="方正仿宋_GBK"/>
          <w:sz w:val="28"/>
          <w:szCs w:val="28"/>
          <w:highlight w:val="none"/>
          <w:lang w:val="en-US" w:eastAsia="zh-CN"/>
        </w:rPr>
        <w:t>设备费、运输费、保险费、安装调试费、辅材费、垃圾清运费、税金及技术服务等完成本项目所需的一切费用</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甲乙</w:t>
      </w:r>
      <w:r>
        <w:rPr>
          <w:rFonts w:hint="eastAsia" w:ascii="方正仿宋_GBK" w:hAnsi="方正仿宋_GBK" w:eastAsia="方正仿宋_GBK" w:cs="方正仿宋_GBK"/>
          <w:sz w:val="28"/>
          <w:szCs w:val="28"/>
          <w:highlight w:val="none"/>
        </w:rPr>
        <w:t>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甲方验收合格后，乙方提供经双方确认的送货清单及等额、合法、有效的增值税专用发票，甲方自收到准确清单和发票且核对无误后，于次二月完成款项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两年质保，其履约保证金（合同价的5%）到时（验收合格后）自动转为质保金，质保金于质保期满且无未决质量争议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w:t>
      </w:r>
      <w:r>
        <w:rPr>
          <w:rFonts w:hint="eastAsia" w:ascii="方正仿宋_GBK" w:hAnsi="方正仿宋_GBK" w:eastAsia="方正仿宋_GBK" w:cs="方正仿宋_GBK"/>
          <w:sz w:val="28"/>
          <w:szCs w:val="28"/>
          <w:highlight w:val="none"/>
          <w:lang w:eastAsia="zh-CN"/>
        </w:rPr>
        <w:t>方应提供相应的送货单，甲方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到厂验收，只能视为初步验收，即可合同要求予以接收，并不能视为</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 xml:space="preserve">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若发现质量不合格者，甲方有权拒收，并视为材料并未到场。</w:t>
      </w:r>
      <w:r>
        <w:rPr>
          <w:rFonts w:hint="eastAsia" w:ascii="方正仿宋_GBK" w:hAnsi="方正仿宋_GBK" w:eastAsia="方正仿宋_GBK" w:cs="方正仿宋_GBK"/>
          <w:sz w:val="28"/>
          <w:szCs w:val="28"/>
          <w:highlight w:val="none"/>
          <w:lang w:val="en-US" w:eastAsia="zh-CN"/>
        </w:rPr>
        <w:t>乙</w:t>
      </w:r>
      <w:r>
        <w:rPr>
          <w:rFonts w:hint="eastAsia" w:ascii="方正仿宋_GBK" w:hAnsi="方正仿宋_GBK" w:eastAsia="方正仿宋_GBK" w:cs="方正仿宋_GBK"/>
          <w:sz w:val="28"/>
          <w:szCs w:val="28"/>
          <w:highlight w:val="none"/>
          <w:lang w:eastAsia="zh-CN"/>
        </w:rPr>
        <w:t>方应无条件将不合格货品运出现场，由此产生的相关费用及给甲方造成的一切损失由乙方承担。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乙方所交付的货品必须包装完整，并采取防潮、防湿、防震、防锈、防腐蚀等措施，以保证在长途运输中经受多次搬运和装卸后，货物完好无损，安全到达目的地。由于采用不充分或不妥善的防护措施造成货物的任何损坏、腐蚀或变形，乙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三</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甲乙双方的任何一方由于不可抗力的原因不能履行合同时，应及时向对方通报不能履行或不能完全履行的理由。在取得有关证明后，允许延期履行、部分履行或解除合同。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本合同在履行过程中发生的争议，由双方当事人协商解决；也可由当地工商行政管理部门调解；协商或调解不成的，依法向</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 xml:space="preserve">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必须满足</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甲方</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派遣人员产生的一切费用由</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E16357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AAECF1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2907C0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A8D6F9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4F449B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99274E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BF260F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63AEB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AD3FEA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D3BAD3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9167"/>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食堂电磁双头大炒灶、电磁小炒炉、电磁低汤炉更换项目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br w:type="page"/>
      </w:r>
    </w:p>
    <w:p w14:paraId="57866C79">
      <w:pPr>
        <w:pStyle w:val="2"/>
        <w:numPr>
          <w:ilvl w:val="0"/>
          <w:numId w:val="0"/>
        </w:numPr>
        <w:jc w:val="center"/>
        <w:rPr>
          <w:rFonts w:hint="eastAsia" w:ascii="仿宋" w:hAnsi="仿宋" w:eastAsia="仿宋" w:cs="仿宋"/>
          <w:snapToGrid w:val="0"/>
          <w:sz w:val="44"/>
          <w:szCs w:val="44"/>
          <w:highlight w:val="none"/>
        </w:rPr>
      </w:pPr>
      <w:bookmarkStart w:id="16" w:name="_Toc30057"/>
      <w:r>
        <w:rPr>
          <w:rFonts w:hint="eastAsia" w:ascii="仿宋" w:hAnsi="仿宋" w:eastAsia="仿宋" w:cs="仿宋"/>
          <w:snapToGrid w:val="0"/>
          <w:sz w:val="44"/>
          <w:szCs w:val="44"/>
          <w:highlight w:val="none"/>
        </w:rPr>
        <w:t>第</w:t>
      </w:r>
      <w:r>
        <w:rPr>
          <w:rFonts w:hint="eastAsia" w:ascii="仿宋" w:hAnsi="仿宋" w:eastAsia="仿宋" w:cs="仿宋"/>
          <w:snapToGrid w:val="0"/>
          <w:sz w:val="44"/>
          <w:szCs w:val="44"/>
          <w:highlight w:val="none"/>
          <w:lang w:eastAsia="zh-CN"/>
        </w:rPr>
        <w:t>五</w:t>
      </w:r>
      <w:r>
        <w:rPr>
          <w:rFonts w:hint="eastAsia" w:ascii="仿宋" w:hAnsi="仿宋" w:eastAsia="仿宋" w:cs="仿宋"/>
          <w:snapToGrid w:val="0"/>
          <w:sz w:val="44"/>
          <w:szCs w:val="44"/>
          <w:highlight w:val="none"/>
        </w:rPr>
        <w:t>部分    报价文件格式</w:t>
      </w:r>
      <w:bookmarkEnd w:id="13"/>
      <w:bookmarkEnd w:id="16"/>
    </w:p>
    <w:p w14:paraId="412D71F2">
      <w:pPr>
        <w:jc w:val="left"/>
        <w:outlineLvl w:val="0"/>
        <w:rPr>
          <w:rStyle w:val="21"/>
          <w:rFonts w:hint="eastAsia" w:ascii="仿宋" w:hAnsi="仿宋" w:eastAsia="仿宋" w:cs="仿宋"/>
          <w:sz w:val="30"/>
          <w:highlight w:val="none"/>
        </w:rPr>
      </w:pPr>
    </w:p>
    <w:p w14:paraId="5E2D734D">
      <w:pPr>
        <w:spacing w:line="480" w:lineRule="auto"/>
        <w:jc w:val="right"/>
        <w:rPr>
          <w:rFonts w:hint="eastAsia" w:ascii="仿宋" w:hAnsi="仿宋" w:eastAsia="仿宋" w:cs="仿宋"/>
          <w:sz w:val="32"/>
          <w:highlight w:val="none"/>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食堂电磁双头大炒灶、电磁小炒炉、电磁低汤炉更换项目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SX-ZH-ST-2606013</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64869FCD">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4951"/>
      <w:r>
        <w:rPr>
          <w:rStyle w:val="21"/>
          <w:rFonts w:hint="eastAsia" w:ascii="仿宋" w:hAnsi="仿宋" w:eastAsia="仿宋" w:cs="仿宋"/>
          <w:sz w:val="30"/>
        </w:rPr>
        <w:t>附件一：</w:t>
      </w:r>
      <w:bookmarkEnd w:id="17"/>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绍兴市再生能源发展有限公司食堂电磁双头大炒灶、电磁小炒炉、电磁低汤炉更换</w:t>
      </w:r>
      <w:r>
        <w:rPr>
          <w:rFonts w:hint="eastAsia" w:ascii="仿宋" w:hAnsi="仿宋" w:eastAsia="仿宋" w:cs="仿宋"/>
          <w:sz w:val="30"/>
          <w:szCs w:val="30"/>
          <w:u w:val="none"/>
          <w:lang w:val="en-US" w:eastAsia="zh-CN"/>
        </w:rPr>
        <w:t>项目。</w:t>
      </w:r>
    </w:p>
    <w:tbl>
      <w:tblPr>
        <w:tblStyle w:val="13"/>
        <w:tblW w:w="5693" w:type="pct"/>
        <w:jc w:val="center"/>
        <w:tblLayout w:type="fixed"/>
        <w:tblCellMar>
          <w:top w:w="0" w:type="dxa"/>
          <w:left w:w="108" w:type="dxa"/>
          <w:bottom w:w="0" w:type="dxa"/>
          <w:right w:w="108" w:type="dxa"/>
        </w:tblCellMar>
      </w:tblPr>
      <w:tblGrid>
        <w:gridCol w:w="672"/>
        <w:gridCol w:w="2251"/>
        <w:gridCol w:w="2714"/>
        <w:gridCol w:w="2073"/>
        <w:gridCol w:w="791"/>
        <w:gridCol w:w="899"/>
        <w:gridCol w:w="1176"/>
      </w:tblGrid>
      <w:tr w14:paraId="6727142E">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5710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8B992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714" w:type="dxa"/>
            <w:tcBorders>
              <w:top w:val="single" w:color="000000" w:sz="4" w:space="0"/>
              <w:left w:val="single" w:color="000000" w:sz="4" w:space="0"/>
              <w:bottom w:val="single" w:color="000000" w:sz="4" w:space="0"/>
              <w:right w:val="single" w:color="000000" w:sz="4" w:space="0"/>
            </w:tcBorders>
            <w:noWrap/>
            <w:vAlign w:val="center"/>
          </w:tcPr>
          <w:p w14:paraId="04B9A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 xml:space="preserve">规格尺寸 </w:t>
            </w:r>
          </w:p>
          <w:p w14:paraId="77F3D3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(mm)</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62AC9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技术参数及配置要求</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F7339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42026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7955E6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3D575F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r>
      <w:tr w14:paraId="0351EA7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87C7B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298647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电磁双头大炒灶</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0CA6E3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1800*1100*800+400</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8F14354">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71A2350">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49CCB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80A847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23FED9">
        <w:tblPrEx>
          <w:tblCellMar>
            <w:top w:w="0" w:type="dxa"/>
            <w:left w:w="108" w:type="dxa"/>
            <w:bottom w:w="0" w:type="dxa"/>
            <w:right w:w="108" w:type="dxa"/>
          </w:tblCellMar>
        </w:tblPrEx>
        <w:trPr>
          <w:trHeight w:val="1470"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A6D0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2</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7D69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电磁小炒炉</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1DE234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1000*1100*800+400</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2C39EF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D6C2F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466F2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0CAA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EC9FC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0974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3</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28811F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电磁低汤炉</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350E0B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650*750*500+700</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7D9011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37274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3AF47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7D69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7F9EC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B480C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4</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3CFF68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配电箱及电源进线</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7758FF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定制</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B74E06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详见询价文件－设备采购清单及技术参数要求</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7F2A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53158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EB4DB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9E9C9A">
        <w:tblPrEx>
          <w:tblCellMar>
            <w:top w:w="0" w:type="dxa"/>
            <w:left w:w="108" w:type="dxa"/>
            <w:bottom w:w="0" w:type="dxa"/>
            <w:right w:w="108" w:type="dxa"/>
          </w:tblCellMar>
        </w:tblPrEx>
        <w:trPr>
          <w:trHeight w:val="1001" w:hRule="atLeast"/>
          <w:jc w:val="center"/>
        </w:trPr>
        <w:tc>
          <w:tcPr>
            <w:tcW w:w="10576" w:type="dxa"/>
            <w:gridSpan w:val="7"/>
            <w:tcBorders>
              <w:top w:val="single" w:color="000000" w:sz="4" w:space="0"/>
              <w:left w:val="single" w:color="000000" w:sz="4" w:space="0"/>
              <w:bottom w:val="single" w:color="000000" w:sz="4" w:space="0"/>
              <w:right w:val="single" w:color="000000" w:sz="4" w:space="0"/>
            </w:tcBorders>
            <w:noWrap/>
            <w:vAlign w:val="center"/>
          </w:tcPr>
          <w:p w14:paraId="3A47AB1C">
            <w:pPr>
              <w:keepNext w:val="0"/>
              <w:keepLines w:val="0"/>
              <w:widowControl/>
              <w:suppressLineNumbers w:val="0"/>
              <w:jc w:val="left"/>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本报价为固定总价，包含旧设备拆除清运、新设备安装调试。针对第4项配电系统，服务方须到现场测量电缆线路及长度，评估施工环境难度。所有因现场实际情况（如距离超预期、施工环境复杂）产生的材料费及人工费均包含在总价中，采购人不再另行支付任何费用。</w:t>
            </w:r>
          </w:p>
        </w:tc>
      </w:tr>
    </w:tbl>
    <w:p w14:paraId="7198F41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highlight w:val="none"/>
          <w:lang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两年质保，其履约保证金（合同价的5%）到时</w:t>
      </w:r>
      <w:r>
        <w:rPr>
          <w:rFonts w:hint="eastAsia" w:ascii="仿宋" w:hAnsi="仿宋" w:eastAsia="仿宋" w:cs="仿宋"/>
          <w:sz w:val="30"/>
          <w:szCs w:val="30"/>
          <w:highlight w:val="none"/>
          <w:lang w:val="en-US" w:eastAsia="zh-CN"/>
        </w:rPr>
        <w:t>（验收合格后）自动转为质保金，质保金于质保期满且无未决质量争议后无息退还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目采购总金额限价人民币3.16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color w:val="auto"/>
          <w:sz w:val="30"/>
          <w:szCs w:val="30"/>
          <w:highlight w:val="none"/>
          <w:lang w:val="en-US" w:eastAsia="zh-CN"/>
        </w:rPr>
        <w:t>2.该项目履约保证金为合同价的5%。服务方于合同签订前将履约保证金打入采购人指定账户。合同履行完成后，履约保证金转为质保金。质保期满后，采购人退还质保金（无息）。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预成交公示结束后，服务方在收到采购人拟订合同（所中标项</w:t>
      </w:r>
      <w:r>
        <w:rPr>
          <w:rFonts w:hint="eastAsia" w:ascii="仿宋" w:hAnsi="仿宋" w:eastAsia="仿宋" w:cs="仿宋"/>
          <w:color w:val="auto"/>
          <w:sz w:val="30"/>
          <w:szCs w:val="30"/>
          <w:lang w:val="en-US" w:eastAsia="zh-CN"/>
        </w:rPr>
        <w:t>目）电子版本后，确认无误并签署盖章，2天内邮寄给采购人。合同上的签订时间与采购人实际收到合同时间原则上不超过5天。否则视为服务方自动放弃，采购人有权解除合同。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0D8B092A">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18" w:name="_Toc20301"/>
      <w:bookmarkStart w:id="19" w:name="_Toc108839328"/>
      <w:bookmarkStart w:id="20" w:name="_Toc103165678"/>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8"/>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绍兴市再生能源发展有限公司食堂电磁双头大炒灶、电磁小炒炉、电磁低汤炉更换</w:t>
      </w:r>
      <w:r>
        <w:rPr>
          <w:rFonts w:hint="eastAsia" w:ascii="仿宋" w:hAnsi="仿宋" w:eastAsia="仿宋" w:cs="仿宋"/>
          <w:color w:val="auto"/>
          <w:sz w:val="30"/>
          <w:szCs w:val="30"/>
          <w:u w:val="none"/>
          <w:lang w:val="en-US" w:eastAsia="zh-CN"/>
        </w:rPr>
        <w:t>项目。</w:t>
      </w:r>
    </w:p>
    <w:tbl>
      <w:tblPr>
        <w:tblStyle w:val="13"/>
        <w:tblW w:w="5693" w:type="pct"/>
        <w:jc w:val="center"/>
        <w:tblLayout w:type="fixed"/>
        <w:tblCellMar>
          <w:top w:w="0" w:type="dxa"/>
          <w:left w:w="108" w:type="dxa"/>
          <w:bottom w:w="0" w:type="dxa"/>
          <w:right w:w="108" w:type="dxa"/>
        </w:tblCellMar>
      </w:tblPr>
      <w:tblGrid>
        <w:gridCol w:w="672"/>
        <w:gridCol w:w="2251"/>
        <w:gridCol w:w="2714"/>
        <w:gridCol w:w="2073"/>
        <w:gridCol w:w="791"/>
        <w:gridCol w:w="899"/>
        <w:gridCol w:w="1176"/>
      </w:tblGrid>
      <w:tr w14:paraId="16EAEE9C">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DA62B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7C26F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714" w:type="dxa"/>
            <w:tcBorders>
              <w:top w:val="single" w:color="000000" w:sz="4" w:space="0"/>
              <w:left w:val="single" w:color="000000" w:sz="4" w:space="0"/>
              <w:bottom w:val="single" w:color="000000" w:sz="4" w:space="0"/>
              <w:right w:val="single" w:color="000000" w:sz="4" w:space="0"/>
            </w:tcBorders>
            <w:noWrap/>
            <w:vAlign w:val="center"/>
          </w:tcPr>
          <w:p w14:paraId="26753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 xml:space="preserve">规格尺寸 </w:t>
            </w:r>
          </w:p>
          <w:p w14:paraId="65FBA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(mm)</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61839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技术参数及配置要求</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A665E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6EEB9C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0CB93F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2A6E20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r>
      <w:tr w14:paraId="2BC4B87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4182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1</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3C3B0C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29E32F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1EA2392">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D6F624C">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05F22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14DE0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C0D19B6">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两年质保，其履约保证金（合同价的5%）到时（验收合格后）自动转为质保金，质保金于质保期满且无未决质量争议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请自接到采购人二次报价通知后30分钟内将二次报价一览表盖章后的电子版发送至邮箱dzw@sxszsny.com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217E076">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19"/>
    <w:bookmarkEnd w:id="20"/>
    <w:p w14:paraId="6004A5C2">
      <w:pPr>
        <w:jc w:val="left"/>
        <w:outlineLvl w:val="0"/>
        <w:rPr>
          <w:rStyle w:val="21"/>
          <w:rFonts w:hint="eastAsia" w:ascii="仿宋" w:hAnsi="仿宋" w:eastAsia="仿宋" w:cs="仿宋"/>
          <w:sz w:val="30"/>
        </w:rPr>
      </w:pPr>
      <w:bookmarkStart w:id="21" w:name="_Toc12380"/>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1"/>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食堂电磁双头大炒灶、电磁小炒炉、电磁低汤炉更换项目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3A3947"/>
    <w:rsid w:val="08F93082"/>
    <w:rsid w:val="093F2ABC"/>
    <w:rsid w:val="097479E0"/>
    <w:rsid w:val="09EF44EC"/>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4715E69"/>
    <w:rsid w:val="15061C4B"/>
    <w:rsid w:val="15341747"/>
    <w:rsid w:val="164F6705"/>
    <w:rsid w:val="16646293"/>
    <w:rsid w:val="16A83419"/>
    <w:rsid w:val="16FE5921"/>
    <w:rsid w:val="17312486"/>
    <w:rsid w:val="17B042A1"/>
    <w:rsid w:val="18987177"/>
    <w:rsid w:val="1906629D"/>
    <w:rsid w:val="190D0CE8"/>
    <w:rsid w:val="1A2B7D96"/>
    <w:rsid w:val="1A62541A"/>
    <w:rsid w:val="1BD33B78"/>
    <w:rsid w:val="1BE0140E"/>
    <w:rsid w:val="1BEC2FB3"/>
    <w:rsid w:val="1CE262BC"/>
    <w:rsid w:val="1D6D770B"/>
    <w:rsid w:val="1D7A61FD"/>
    <w:rsid w:val="1D94296D"/>
    <w:rsid w:val="1DF976C9"/>
    <w:rsid w:val="1E191157"/>
    <w:rsid w:val="1E1A21EF"/>
    <w:rsid w:val="1E914811"/>
    <w:rsid w:val="200C2DAF"/>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0F4541B"/>
    <w:rsid w:val="31713FF6"/>
    <w:rsid w:val="32B04D2F"/>
    <w:rsid w:val="33A35EAC"/>
    <w:rsid w:val="3464504B"/>
    <w:rsid w:val="349B0F5D"/>
    <w:rsid w:val="34E00D83"/>
    <w:rsid w:val="34E40873"/>
    <w:rsid w:val="355F7D2E"/>
    <w:rsid w:val="36216F0D"/>
    <w:rsid w:val="36316A75"/>
    <w:rsid w:val="3667119D"/>
    <w:rsid w:val="36E94025"/>
    <w:rsid w:val="36ED02B2"/>
    <w:rsid w:val="37317F16"/>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7C611B"/>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C2F1B9C"/>
    <w:rsid w:val="4C870D35"/>
    <w:rsid w:val="4D2832EB"/>
    <w:rsid w:val="4DB81983"/>
    <w:rsid w:val="4DF21BF8"/>
    <w:rsid w:val="4DF66F25"/>
    <w:rsid w:val="4E376DB9"/>
    <w:rsid w:val="4E716394"/>
    <w:rsid w:val="4ECC39F8"/>
    <w:rsid w:val="4F0A3ECF"/>
    <w:rsid w:val="4F595384"/>
    <w:rsid w:val="4F72433C"/>
    <w:rsid w:val="4F7F3CCA"/>
    <w:rsid w:val="4FE50BFA"/>
    <w:rsid w:val="502844C8"/>
    <w:rsid w:val="51131CCB"/>
    <w:rsid w:val="51D845E4"/>
    <w:rsid w:val="52341DDD"/>
    <w:rsid w:val="523B2A9E"/>
    <w:rsid w:val="531111FC"/>
    <w:rsid w:val="533444FB"/>
    <w:rsid w:val="55C54FE9"/>
    <w:rsid w:val="55E07717"/>
    <w:rsid w:val="56397366"/>
    <w:rsid w:val="57105FDC"/>
    <w:rsid w:val="58080247"/>
    <w:rsid w:val="58C27322"/>
    <w:rsid w:val="5950112B"/>
    <w:rsid w:val="59C3293C"/>
    <w:rsid w:val="5A1C766A"/>
    <w:rsid w:val="5B3710B2"/>
    <w:rsid w:val="5B5E63DA"/>
    <w:rsid w:val="5CF528AB"/>
    <w:rsid w:val="5D132301"/>
    <w:rsid w:val="5E970206"/>
    <w:rsid w:val="5ED1360A"/>
    <w:rsid w:val="5F1E1E73"/>
    <w:rsid w:val="607D00A9"/>
    <w:rsid w:val="612A3DEE"/>
    <w:rsid w:val="614D7B82"/>
    <w:rsid w:val="62B67083"/>
    <w:rsid w:val="64787E17"/>
    <w:rsid w:val="649C599A"/>
    <w:rsid w:val="66B027B6"/>
    <w:rsid w:val="671A2875"/>
    <w:rsid w:val="67966EFB"/>
    <w:rsid w:val="67B628F5"/>
    <w:rsid w:val="682119CD"/>
    <w:rsid w:val="69A94E0C"/>
    <w:rsid w:val="6B656B47"/>
    <w:rsid w:val="6B7E1643"/>
    <w:rsid w:val="6C6C460B"/>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5A5560A"/>
    <w:rsid w:val="779817DA"/>
    <w:rsid w:val="77AE34F1"/>
    <w:rsid w:val="77D476E8"/>
    <w:rsid w:val="782A7918"/>
    <w:rsid w:val="79715756"/>
    <w:rsid w:val="7A500C84"/>
    <w:rsid w:val="7A640EC3"/>
    <w:rsid w:val="7A7B08FF"/>
    <w:rsid w:val="7AE21E9E"/>
    <w:rsid w:val="7B027F4F"/>
    <w:rsid w:val="7B09318D"/>
    <w:rsid w:val="7B6004E6"/>
    <w:rsid w:val="7BE14791"/>
    <w:rsid w:val="7C4C470C"/>
    <w:rsid w:val="7C920257"/>
    <w:rsid w:val="7CD03426"/>
    <w:rsid w:val="7D2266DD"/>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11404</Words>
  <Characters>12214</Characters>
  <Lines>53</Lines>
  <Paragraphs>15</Paragraphs>
  <TotalTime>4</TotalTime>
  <ScaleCrop>false</ScaleCrop>
  <LinksUpToDate>false</LinksUpToDate>
  <CharactersWithSpaces>13211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2026-07-17T07:39:19Z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CF3680BB65D14EE283A167A6AAC86C2D_13</vt:lpwstr>
  </property>
  <property fmtid="{D5CDD505-2E9C-101B-9397-08002B2CF9AE}" pid="4" name="KSOTemplateDocerSaveRecord">
    <vt:lpwstr>eyJoZGlkIjoiZDU5ZmYzODUyNjg1MTM3NmE2OTBjZTA2MmE1ZDJlMDUiLCJ1c2VySWQiOiI0MTkyNjk4ODkifQ==</vt:lpwstr>
  </property>
</Properties>
</file>