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lang w:val="en-US" w:eastAsia="zh-CN"/>
        </w:rPr>
      </w:pPr>
      <w:r>
        <w:rPr>
          <w:rFonts w:hint="eastAsia" w:ascii="仿宋" w:hAnsi="仿宋" w:eastAsia="仿宋" w:cs="仿宋"/>
          <w:sz w:val="72"/>
          <w:lang w:val="en-US" w:eastAsia="zh-CN"/>
        </w:rPr>
        <w:t xml:space="preserve"> </w:t>
      </w: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6818"/>
      <w:r>
        <w:rPr>
          <w:rFonts w:hint="eastAsia" w:ascii="仿宋_GB2312" w:hAnsi="宋体" w:eastAsia="仿宋_GB2312"/>
          <w:b/>
          <w:sz w:val="52"/>
          <w:szCs w:val="52"/>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会议室影音设备整体改造项目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rPr>
      </w:pPr>
    </w:p>
    <w:p w14:paraId="6CE4C974">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w:t>
      </w:r>
      <w:r>
        <w:rPr>
          <w:rFonts w:hint="eastAsia" w:ascii="仿宋" w:hAnsi="仿宋" w:eastAsia="仿宋" w:cs="仿宋"/>
          <w:sz w:val="32"/>
          <w:szCs w:val="32"/>
          <w:highlight w:val="none"/>
        </w:rPr>
        <w:t>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SX-ZH-YY-</w:t>
      </w:r>
      <w:bookmarkEnd w:id="1"/>
      <w:r>
        <w:rPr>
          <w:rFonts w:hint="eastAsia" w:ascii="仿宋" w:hAnsi="仿宋" w:eastAsia="仿宋" w:cs="仿宋"/>
          <w:sz w:val="32"/>
          <w:szCs w:val="32"/>
          <w:highlight w:val="none"/>
          <w:u w:val="single"/>
          <w:lang w:val="en-US" w:eastAsia="zh-CN"/>
        </w:rPr>
        <w:t xml:space="preserve">2606007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会议室影音设备整体改造项目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二〇二六</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486168C0">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_Toc16818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_Toc16818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92DC4B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_Toc8303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_Toc8303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421089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D728F3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_Toc1501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_Toc1501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14848B5">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_Toc28946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_Toc28946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72432F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4840C8">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_Toc5159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_Toc5159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8295AB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_Toc12044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_Toc12044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D6DE66D">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_Toc18885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66B6277">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_Toc14352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_Toc14352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32</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D38388A">
      <w:pPr>
        <w:pStyle w:val="10"/>
        <w:tabs>
          <w:tab w:val="right" w:leader="dot" w:pos="9072"/>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_Toc28603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_Toc28603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8303"/>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会议室影音设备整体改造项目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SX-ZH-YY-2606007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349" w:type="pct"/>
        <w:jc w:val="center"/>
        <w:tblLayout w:type="fixed"/>
        <w:tblCellMar>
          <w:top w:w="0" w:type="dxa"/>
          <w:left w:w="108" w:type="dxa"/>
          <w:bottom w:w="0" w:type="dxa"/>
          <w:right w:w="108" w:type="dxa"/>
        </w:tblCellMar>
      </w:tblPr>
      <w:tblGrid>
        <w:gridCol w:w="668"/>
        <w:gridCol w:w="1636"/>
        <w:gridCol w:w="4679"/>
        <w:gridCol w:w="546"/>
        <w:gridCol w:w="927"/>
        <w:gridCol w:w="1481"/>
      </w:tblGrid>
      <w:tr w14:paraId="0562B3A3">
        <w:tblPrEx>
          <w:tblCellMar>
            <w:top w:w="0" w:type="dxa"/>
            <w:left w:w="108" w:type="dxa"/>
            <w:bottom w:w="0" w:type="dxa"/>
            <w:right w:w="108" w:type="dxa"/>
          </w:tblCellMar>
        </w:tblPrEx>
        <w:trPr>
          <w:trHeight w:val="467"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E2C6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354" w:type="pct"/>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36F68A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6A0F3E5F">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E3691A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电子桌牌</w:t>
            </w:r>
          </w:p>
        </w:tc>
      </w:tr>
      <w:tr w14:paraId="0D170546">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1C523CC">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电子桌牌</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3D21EAA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1.尺寸：7.4英寸双面墨水屏。</w:t>
            </w:r>
          </w:p>
          <w:p w14:paraId="15B93C8F">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2.功能：无线后台批量编辑姓名职务，支持手机扫码即改、批量秒发，支持蓝牙/NFC远程改字，双面异显，多模块自由切换。</w:t>
            </w:r>
          </w:p>
          <w:p w14:paraId="4E1E466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3.配套：配套管理软件、集中充电收纳盒。</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B240B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0EAB16">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0870C5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三楼会议室智慧大屏</w:t>
            </w:r>
          </w:p>
        </w:tc>
      </w:tr>
      <w:tr w14:paraId="5B343679">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75920E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三楼会议室智慧大屏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40E3EF1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1.规格：120英寸4K防眩光商用液晶电视，Android系统，非拼接屏、非激光电视。</w:t>
            </w:r>
          </w:p>
          <w:p w14:paraId="464ABDC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2.硬件配置：16G运行内存，512G存储空间。</w:t>
            </w:r>
          </w:p>
          <w:p w14:paraId="4CD73F3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3.接口：</w:t>
            </w:r>
          </w:p>
          <w:p w14:paraId="37D640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-网络：标配有线网口（LAN），支持有线联网、后台管理。</w:t>
            </w:r>
          </w:p>
          <w:p w14:paraId="31E8CF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-视频输入：标准HDMI、miniHDMI、DP接口。</w:t>
            </w:r>
          </w:p>
          <w:p w14:paraId="3C3422C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-拓展：Type-C接口（支持视频投屏、文件读取）。</w:t>
            </w:r>
          </w:p>
          <w:p w14:paraId="0D8CA5D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-USB：USB3.0、USB2.0接口，支持U盘/移动硬盘本地播放。</w:t>
            </w:r>
          </w:p>
          <w:p w14:paraId="00C181B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-音频：同轴音频输出，可外接功放/音响。</w:t>
            </w:r>
          </w:p>
          <w:p w14:paraId="6D4CD8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4.功能：支持分屏、无线投屏、本地播放。</w:t>
            </w:r>
          </w:p>
          <w:p w14:paraId="67C75C4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5.安装：支持壁挂安装，含安装配件。</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5BD64F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938AAD3">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47F8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二楼会议室LED大屏</w:t>
            </w:r>
          </w:p>
        </w:tc>
      </w:tr>
      <w:tr w14:paraId="171C40F8">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1374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P1.5 LED显示屏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1.像素：点间距≤1.538mm，密度≥422,500点/㎡。</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2.亮度/功耗：峰值亮度≥600cd/㎡，峰值功耗≤420W/㎡，平均功耗≤140W/㎡。</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3.控制：支持信源接入状态显示，可通过物理按键、客户端、遥控器、Web浏览器切换信源。</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4.监控：支持Web查看整墙概览、连线状态、接收卡规模及状态（高亮展示、网口号、工作状态等）；可查看接收卡序号、型号、软件版本、Link状态、电压、温度。</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5.护眼：符合GB/T 20145-2006标准，蓝光危害加权辐亮度值(LB)≤100W·m⁻²·sr⁻¹，2.8h内无视网膜蓝光伤害，属无危害类。</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6.认证：需提供首页具有CNAS及CMA标识的第三方检测报告复印件并加盖厂家公章。</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DECB5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利亚德、洲明、艾比森、强力巨彩</w:t>
            </w:r>
          </w:p>
        </w:tc>
      </w:tr>
      <w:tr w14:paraId="3F021AA2">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4</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6199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LED钢结构框架</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LED结构钢架，根据现场实际情况定制，符合国标要求。</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865CE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79F7BC3F">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A5F6D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LED配电箱</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20KW PLC智能配电箱。</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15B95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6CCDDFDC">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6</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A2802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数字影院解码器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1.输出：10路输出，6个独立XLS平衡输出通道，4路RCA非平衡输出。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2.解码：全面支持DTS 5.1、DOLBY 5.1、HD、DTS解码。</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3.矩阵：3进1出2K HDMI矩阵系统，支持Dolby Vision™,HDR 10,HLG,WCG,扩展色域(sYCC601,Adobe RGB)。</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4.接口：配置光纤和同轴数字音频接口。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5.输入：2组立体声线路输入，2组TRS单通道输入，1组立体声音输出。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6.DSP处理：每路输入输出均有独立DSP处理器，输入通道48段全数字参量均衡，输出通道30段全数字参量均衡；配置高通、低通、带通、延时、压限DSP处理器。</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7.控制/显示：全彩LCD显示屏，全中文交互式多层菜单；支持传统RS232中控控制。</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8.功能：不少于10个用户自定义场景模式；内置自动声反馈抑制器、噪声门、DSP数字效果器。</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FCD95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chunqimei、湖山、JBL</w:t>
            </w:r>
          </w:p>
        </w:tc>
      </w:tr>
      <w:tr w14:paraId="146E2EDB">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7</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4A7EF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LED视频处理器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1.输入接口：≥3个HDMI2.0(4K)，≥1个DP1.2，≥4个HDMI1.3(2K)，≥1个USB2.0，≥1个CONSOLE，≥2个控制网口，≥2个RS485，≥1个LINE IN。</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2.输出接口：≥3个HDMI2.0 Loop，≥1个Line Out，≥20个带载网口，≥1个HDMI1.3(Monitor)，≥4个10G万兆光口，≥1个3D接口。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3.其他接口：前端≥1个USB2.0，≥2路RS485。</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4.性能：支持HDMI2.0环通输出，最大分辨率4096×2160@60Hz。</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5.功能：支持护眼模式；支持Web端查看输入信号源及输出画面的实时网络预览。</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3CB0A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DE36F0">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8</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09E7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多媒体播控终端</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10核16线程/16GB内存/256G NVMe SSD/Quadro RTX A2000 12G显卡/500W电源/塔式机箱；具备有线和无线投屏功能。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D3A9E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联想、DELL、HP</w:t>
            </w:r>
          </w:p>
        </w:tc>
      </w:tr>
      <w:tr w14:paraId="2564DE61">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84083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仿宋" w:hAnsi="仿宋" w:eastAsia="仿宋" w:cs="仿宋"/>
                <w:i w:val="0"/>
                <w:iCs w:val="0"/>
                <w:strike w:val="0"/>
                <w:dstrike w:val="0"/>
                <w:color w:val="000000"/>
                <w:kern w:val="0"/>
                <w:sz w:val="24"/>
                <w:szCs w:val="24"/>
                <w:lang w:val="en-US" w:eastAsia="zh-CN" w:bidi="ar"/>
              </w:rPr>
            </w:pPr>
            <w:r>
              <w:rPr>
                <w:rFonts w:hint="eastAsia" w:ascii="仿宋" w:hAnsi="仿宋" w:eastAsia="仿宋" w:cs="仿宋"/>
                <w:i w:val="0"/>
                <w:iCs w:val="0"/>
                <w:strike w:val="0"/>
                <w:dstrike w:val="0"/>
                <w:color w:val="000000"/>
                <w:kern w:val="0"/>
                <w:sz w:val="24"/>
                <w:szCs w:val="24"/>
                <w:lang w:val="en-US" w:eastAsia="zh-CN" w:bidi="ar"/>
              </w:rPr>
              <w:t>备注</w:t>
            </w:r>
          </w:p>
        </w:tc>
        <w:tc>
          <w:tcPr>
            <w:tcW w:w="4663" w:type="pct"/>
            <w:gridSpan w:val="5"/>
            <w:tcBorders>
              <w:top w:val="single" w:color="000000" w:sz="4" w:space="0"/>
              <w:left w:val="single" w:color="000000" w:sz="4" w:space="0"/>
              <w:bottom w:val="single" w:color="000000" w:sz="4" w:space="0"/>
              <w:right w:val="single" w:color="000000" w:sz="4" w:space="0"/>
            </w:tcBorders>
            <w:noWrap/>
            <w:vAlign w:val="center"/>
          </w:tcPr>
          <w:p w14:paraId="77CD6460">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报价包含设备费、综合布线及辅材费、运输费、上门安装调试费、保险费以及质保与上门售后服务等完成本项目所需的一切费用。此外，报价须包含LED显示屏整屏面积3%的备用模组，该备用模组须在项目验收时随同设备无偿移交采购人留存，用于后期维修更换，采购人不再另行支付任何费用。</w:t>
            </w:r>
          </w:p>
        </w:tc>
      </w:tr>
    </w:tbl>
    <w:p w14:paraId="65C59BC9">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highlight w:val="none"/>
          <w:lang w:val="en-US" w:eastAsia="zh-CN" w:bidi="ar-SA"/>
        </w:rPr>
        <w:t>3.工作量</w:t>
      </w:r>
      <w:r>
        <w:rPr>
          <w:rFonts w:hint="eastAsia" w:ascii="仿宋" w:hAnsi="仿宋" w:eastAsia="仿宋" w:cs="仿宋"/>
          <w:kern w:val="2"/>
          <w:sz w:val="30"/>
          <w:szCs w:val="30"/>
          <w:lang w:val="en-US" w:eastAsia="zh-CN" w:bidi="ar-SA"/>
        </w:rPr>
        <w:t>：</w:t>
      </w:r>
    </w:p>
    <w:p w14:paraId="174681C2">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二楼会议室：拆除原有投影设备，安装P1.5室内全彩LED显示屏及配套播控系统、音响系统。</w:t>
      </w:r>
    </w:p>
    <w:p w14:paraId="1625A9BC">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三楼会议室：拆除原有投影设备，安装120英寸商用智能大屏电视。</w:t>
      </w:r>
    </w:p>
    <w:p w14:paraId="00E67F0D">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通用设备：采购并配置20套7.4英寸双面墨水屏电子桌牌。</w:t>
      </w:r>
    </w:p>
    <w:p w14:paraId="0EA6B7FE">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系统集成：完成所有设备的综合布线、系统联调及操作培训。</w:t>
      </w:r>
    </w:p>
    <w:p w14:paraId="3DBB0E24">
      <w:pPr>
        <w:pStyle w:val="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4.其他要求：服务方进场人员必须购买保额不低于100万元的意外伤害保险，并提供进场人员名单及保单复印件。服务方需自行承担施工期间发生的一切安全事故责任与相关费用，采购人不承担任何连带责任。</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人民币20.5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3.报价单位负责人为同一人或者存在控股、管理关系的不同单位，不得同时参加本项目。</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7月24</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23</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7月17</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14760"/>
      <w:bookmarkStart w:id="10" w:name="_Toc530583879"/>
      <w:bookmarkStart w:id="11" w:name="_Toc530583922"/>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w:t>
      </w:r>
      <w:r>
        <w:rPr>
          <w:rFonts w:hint="eastAsia" w:ascii="仿宋_GB2312" w:hAnsi="宋体" w:eastAsia="仿宋_GB2312"/>
          <w:sz w:val="30"/>
          <w:szCs w:val="30"/>
          <w:highlight w:val="none"/>
          <w:lang w:val="en-US" w:eastAsia="zh-CN"/>
        </w:rPr>
        <w:t>“服务方</w:t>
      </w:r>
      <w:r>
        <w:rPr>
          <w:rFonts w:hint="eastAsia" w:ascii="仿宋_GB2312" w:hAnsi="宋体" w:eastAsia="仿宋_GB2312"/>
          <w:sz w:val="30"/>
          <w:szCs w:val="30"/>
          <w:lang w:val="en-US" w:eastAsia="zh-CN"/>
        </w:rPr>
        <w:t>”系指向经评审确定为本次询价成交商家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w:t>
      </w:r>
      <w:bookmarkStart w:id="23" w:name="_GoBack"/>
      <w:bookmarkEnd w:id="23"/>
      <w:r>
        <w:rPr>
          <w:rFonts w:hint="eastAsia" w:ascii="仿宋_GB2312" w:hAnsi="宋体" w:eastAsia="仿宋_GB2312"/>
          <w:sz w:val="30"/>
          <w:szCs w:val="30"/>
        </w:rPr>
        <w:t>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w:t>
      </w:r>
      <w:r>
        <w:rPr>
          <w:rFonts w:hint="eastAsia" w:ascii="仿宋_GB2312" w:hAnsi="宋体" w:eastAsia="仿宋_GB2312"/>
          <w:sz w:val="30"/>
          <w:szCs w:val="30"/>
          <w:lang w:eastAsia="zh-CN"/>
        </w:rPr>
        <w:t>所述</w:t>
      </w:r>
      <w:r>
        <w:rPr>
          <w:rFonts w:hint="eastAsia" w:ascii="仿宋_GB2312" w:hAnsi="宋体" w:eastAsia="仿宋_GB2312"/>
          <w:sz w:val="30"/>
          <w:szCs w:val="30"/>
        </w:rPr>
        <w:t>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1501"/>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lang w:val="en-US" w:eastAsia="zh-CN"/>
        </w:rPr>
        <w:t>详</w:t>
      </w:r>
      <w:r>
        <w:rPr>
          <w:rFonts w:hint="eastAsia" w:ascii="仿宋" w:hAnsi="仿宋" w:eastAsia="仿宋" w:cs="仿宋"/>
          <w:color w:val="auto"/>
          <w:kern w:val="2"/>
          <w:sz w:val="30"/>
          <w:szCs w:val="30"/>
          <w:highlight w:val="none"/>
          <w:lang w:val="en-US" w:eastAsia="zh-CN"/>
        </w:rPr>
        <w:t>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50D646C6">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本项目采用“固定总价包干”的承包方式，总工期为3个日历天。服务方需在接到采购人开工通知后立即响应，并于1日内组织人员及设备进场施工。服务方须确保在进场后3天内完成所有设备的供货、安装、调试及旧设备拆除清运工作，并交付采购人验收使用。</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全部货物运送至采购人指定地点并安装调试完成，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LED显示屏体：质保 3年（灯珠）/1年（整机）；其他设备：整机质保 1年），其履约保证金（合同价的5%）到时（验收合格后）自动转为质保金，质保金于质保期满且无未决质量争议后无息退还。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54F100F9">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8946"/>
      <w:r>
        <w:rPr>
          <w:rFonts w:hint="eastAsia" w:ascii="仿宋" w:hAnsi="仿宋" w:eastAsia="仿宋" w:cs="仿宋"/>
          <w:snapToGrid w:val="0"/>
          <w:sz w:val="44"/>
          <w:szCs w:val="44"/>
          <w:lang w:val="en-US" w:eastAsia="zh-CN"/>
        </w:rPr>
        <w:t>合同主要条款</w:t>
      </w:r>
      <w:bookmarkEnd w:id="14"/>
      <w:r>
        <w:rPr>
          <w:rFonts w:hint="eastAsia" w:ascii="仿宋" w:hAnsi="仿宋" w:eastAsia="仿宋" w:cs="仿宋"/>
          <w:snapToGrid w:val="0"/>
          <w:sz w:val="44"/>
          <w:szCs w:val="44"/>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rPr>
        <w:t>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10967" w:type="dxa"/>
        <w:jc w:val="center"/>
        <w:tblLayout w:type="fixed"/>
        <w:tblCellMar>
          <w:top w:w="0" w:type="dxa"/>
          <w:left w:w="108" w:type="dxa"/>
          <w:bottom w:w="0" w:type="dxa"/>
          <w:right w:w="108" w:type="dxa"/>
        </w:tblCellMar>
      </w:tblPr>
      <w:tblGrid>
        <w:gridCol w:w="751"/>
        <w:gridCol w:w="1439"/>
        <w:gridCol w:w="2509"/>
        <w:gridCol w:w="777"/>
        <w:gridCol w:w="1064"/>
        <w:gridCol w:w="1609"/>
        <w:gridCol w:w="1427"/>
        <w:gridCol w:w="1391"/>
      </w:tblGrid>
      <w:tr w14:paraId="29AA74A6">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设备名称</w:t>
            </w:r>
          </w:p>
        </w:tc>
        <w:tc>
          <w:tcPr>
            <w:tcW w:w="2509"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lang w:val="en-US" w:eastAsia="zh-CN"/>
              </w:rPr>
              <w:t>详细技术参数</w:t>
            </w:r>
          </w:p>
        </w:tc>
        <w:tc>
          <w:tcPr>
            <w:tcW w:w="777" w:type="dxa"/>
            <w:tcBorders>
              <w:top w:val="single" w:color="auto" w:sz="4" w:space="0"/>
              <w:left w:val="nil"/>
              <w:bottom w:val="single" w:color="auto" w:sz="4" w:space="0"/>
              <w:right w:val="single" w:color="auto" w:sz="4" w:space="0"/>
            </w:tcBorders>
            <w:noWrap w:val="0"/>
            <w:vAlign w:val="center"/>
          </w:tcPr>
          <w:p w14:paraId="15113C0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数量</w:t>
            </w:r>
          </w:p>
        </w:tc>
        <w:tc>
          <w:tcPr>
            <w:tcW w:w="1064" w:type="dxa"/>
            <w:tcBorders>
              <w:top w:val="single" w:color="auto" w:sz="4" w:space="0"/>
              <w:left w:val="nil"/>
              <w:bottom w:val="single" w:color="auto" w:sz="4" w:space="0"/>
              <w:right w:val="single" w:color="auto" w:sz="4" w:space="0"/>
            </w:tcBorders>
            <w:noWrap w:val="0"/>
            <w:vAlign w:val="center"/>
          </w:tcPr>
          <w:p w14:paraId="19A2C23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单位</w:t>
            </w:r>
          </w:p>
        </w:tc>
        <w:tc>
          <w:tcPr>
            <w:tcW w:w="1609" w:type="dxa"/>
            <w:tcBorders>
              <w:top w:val="single" w:color="auto" w:sz="4" w:space="0"/>
              <w:left w:val="nil"/>
              <w:bottom w:val="single" w:color="auto" w:sz="4" w:space="0"/>
              <w:right w:val="single" w:color="auto" w:sz="4" w:space="0"/>
            </w:tcBorders>
            <w:noWrap w:val="0"/>
            <w:vAlign w:val="center"/>
          </w:tcPr>
          <w:p w14:paraId="31AAB67A">
            <w:pPr>
              <w:adjustRightInd/>
              <w:snapToGrid/>
              <w:spacing w:after="0"/>
              <w:jc w:val="center"/>
              <w:rPr>
                <w:rFonts w:hint="default" w:ascii="Times New Roman" w:hAnsi="Times New Roman" w:eastAsia="方正仿宋_GBK" w:cs="Times New Roman"/>
                <w:b/>
                <w:bCs/>
                <w:sz w:val="24"/>
                <w:szCs w:val="24"/>
              </w:rPr>
            </w:pPr>
            <w:r>
              <w:rPr>
                <w:rFonts w:hint="eastAsia" w:eastAsia="方正仿宋_GBK" w:cs="Times New Roman"/>
                <w:b/>
                <w:bCs/>
                <w:sz w:val="24"/>
                <w:szCs w:val="24"/>
                <w:lang w:val="en-US" w:eastAsia="zh-CN"/>
              </w:rPr>
              <w:t>品牌</w:t>
            </w:r>
          </w:p>
        </w:tc>
        <w:tc>
          <w:tcPr>
            <w:tcW w:w="1427" w:type="dxa"/>
            <w:tcBorders>
              <w:top w:val="single" w:color="auto" w:sz="4" w:space="0"/>
              <w:left w:val="nil"/>
              <w:bottom w:val="single" w:color="auto" w:sz="4" w:space="0"/>
              <w:right w:val="single" w:color="auto" w:sz="4" w:space="0"/>
            </w:tcBorders>
            <w:noWrap w:val="0"/>
            <w:vAlign w:val="center"/>
          </w:tcPr>
          <w:p w14:paraId="42DFF0D2">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单价（元）</w:t>
            </w:r>
          </w:p>
        </w:tc>
        <w:tc>
          <w:tcPr>
            <w:tcW w:w="1391" w:type="dxa"/>
            <w:tcBorders>
              <w:top w:val="single" w:color="auto" w:sz="4" w:space="0"/>
              <w:left w:val="nil"/>
              <w:bottom w:val="single" w:color="auto" w:sz="4" w:space="0"/>
              <w:right w:val="single" w:color="auto" w:sz="4" w:space="0"/>
            </w:tcBorders>
            <w:noWrap w:val="0"/>
            <w:vAlign w:val="center"/>
          </w:tcPr>
          <w:p w14:paraId="5D4B485B">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56798474">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50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777"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1064"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609"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1427" w:type="dxa"/>
            <w:tcBorders>
              <w:top w:val="nil"/>
              <w:left w:val="nil"/>
              <w:bottom w:val="single" w:color="auto" w:sz="4" w:space="0"/>
              <w:right w:val="single" w:color="auto" w:sz="4" w:space="0"/>
            </w:tcBorders>
            <w:noWrap w:val="0"/>
            <w:vAlign w:val="center"/>
          </w:tcPr>
          <w:p w14:paraId="6C76821E">
            <w:pPr>
              <w:adjustRightInd/>
              <w:snapToGrid/>
              <w:spacing w:after="0"/>
              <w:jc w:val="center"/>
              <w:rPr>
                <w:rFonts w:hint="eastAsia" w:ascii="Times New Roman" w:hAnsi="Times New Roman" w:eastAsia="方正仿宋_GBK" w:cs="Times New Roman"/>
                <w:b/>
                <w:bCs/>
                <w:sz w:val="24"/>
                <w:szCs w:val="24"/>
              </w:rPr>
            </w:pPr>
          </w:p>
        </w:tc>
        <w:tc>
          <w:tcPr>
            <w:tcW w:w="1391" w:type="dxa"/>
            <w:tcBorders>
              <w:top w:val="nil"/>
              <w:left w:val="nil"/>
              <w:bottom w:val="single" w:color="auto" w:sz="4" w:space="0"/>
              <w:right w:val="single" w:color="auto" w:sz="4" w:space="0"/>
            </w:tcBorders>
            <w:noWrap w:val="0"/>
            <w:vAlign w:val="center"/>
          </w:tcPr>
          <w:p w14:paraId="32553EA7">
            <w:pPr>
              <w:adjustRightInd/>
              <w:snapToGrid/>
              <w:spacing w:after="0"/>
              <w:jc w:val="center"/>
              <w:rPr>
                <w:rFonts w:hint="eastAsia" w:ascii="Times New Roman" w:hAnsi="Times New Roman" w:eastAsia="方正仿宋_GBK" w:cs="Times New Roman"/>
                <w:b/>
                <w:bCs/>
                <w:sz w:val="24"/>
                <w:szCs w:val="24"/>
              </w:rPr>
            </w:pPr>
          </w:p>
        </w:tc>
      </w:tr>
      <w:tr w14:paraId="365F6283">
        <w:tblPrEx>
          <w:tblCellMar>
            <w:top w:w="0" w:type="dxa"/>
            <w:left w:w="108" w:type="dxa"/>
            <w:bottom w:w="0" w:type="dxa"/>
            <w:right w:w="108" w:type="dxa"/>
          </w:tblCellMar>
        </w:tblPrEx>
        <w:trPr>
          <w:trHeight w:val="836" w:hRule="atLeast"/>
          <w:jc w:val="center"/>
        </w:trPr>
        <w:tc>
          <w:tcPr>
            <w:tcW w:w="8149" w:type="dxa"/>
            <w:gridSpan w:val="6"/>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818" w:type="dxa"/>
            <w:gridSpan w:val="2"/>
            <w:tcBorders>
              <w:top w:val="nil"/>
              <w:left w:val="single" w:color="auto" w:sz="4" w:space="0"/>
              <w:bottom w:val="single" w:color="auto" w:sz="4" w:space="0"/>
              <w:right w:val="single" w:color="auto" w:sz="4" w:space="0"/>
            </w:tcBorders>
            <w:noWrap w:val="0"/>
            <w:vAlign w:val="center"/>
          </w:tcPr>
          <w:p w14:paraId="6A94C4AE">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0C8556FF">
        <w:tblPrEx>
          <w:tblCellMar>
            <w:top w:w="0" w:type="dxa"/>
            <w:left w:w="108" w:type="dxa"/>
            <w:bottom w:w="0" w:type="dxa"/>
            <w:right w:w="108" w:type="dxa"/>
          </w:tblCellMar>
        </w:tblPrEx>
        <w:trPr>
          <w:trHeight w:val="716" w:hRule="atLeast"/>
          <w:jc w:val="center"/>
        </w:trPr>
        <w:tc>
          <w:tcPr>
            <w:tcW w:w="10967" w:type="dxa"/>
            <w:gridSpan w:val="8"/>
            <w:tcBorders>
              <w:top w:val="nil"/>
              <w:left w:val="single" w:color="auto" w:sz="4" w:space="0"/>
              <w:bottom w:val="single" w:color="auto" w:sz="4" w:space="0"/>
              <w:right w:val="single" w:color="auto" w:sz="4" w:space="0"/>
            </w:tcBorders>
            <w:noWrap w:val="0"/>
            <w:vAlign w:val="center"/>
          </w:tcPr>
          <w:p w14:paraId="61EE78DA">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采用“固定总价包干”的承包方式，总工期为3个日历天。乙方需在接到甲方开工通知后立即响应，并于1日内组织人员及设备进场施工。乙方须确保在进场后3天内完成所有设备的供货、安装、调试及旧设备拆除清运工作，并交付甲方验收使用</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lang w:val="en-US" w:eastAsia="zh-CN"/>
        </w:rPr>
      </w:pPr>
      <w:r>
        <w:rPr>
          <w:rFonts w:hint="eastAsia" w:ascii="黑体" w:hAnsi="黑体" w:eastAsia="黑体" w:cs="黑体"/>
          <w:sz w:val="28"/>
          <w:szCs w:val="28"/>
        </w:rPr>
        <w:t xml:space="preserve">第三条 </w:t>
      </w:r>
      <w:r>
        <w:rPr>
          <w:rFonts w:hint="eastAsia" w:ascii="黑体" w:hAnsi="黑体" w:eastAsia="黑体" w:cs="黑体"/>
          <w:sz w:val="28"/>
          <w:szCs w:val="28"/>
          <w:lang w:val="en-US" w:eastAsia="zh-CN"/>
        </w:rPr>
        <w:t>工作量</w:t>
      </w:r>
    </w:p>
    <w:p w14:paraId="70C726B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二楼会议室： 拆除原有投影设备，安装P1.5室内全彩LED显示屏及配套播控系统、音响系统。</w:t>
      </w:r>
    </w:p>
    <w:p w14:paraId="2749F16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三楼会议室： 拆除原有投影设备，安装120英寸商用智能大屏电视。</w:t>
      </w:r>
    </w:p>
    <w:p w14:paraId="1856864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通用设备： 采购并配置20套7.4英寸双面墨水屏电子桌牌。</w:t>
      </w:r>
    </w:p>
    <w:p w14:paraId="238FDF5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highlight w:val="none"/>
          <w:lang w:val="en-US" w:eastAsia="zh-CN"/>
        </w:rPr>
        <w:t>系统集成： 完成所有设备的综合布线、系统联调及操作培训。</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w:t>
      </w:r>
      <w:r>
        <w:rPr>
          <w:rFonts w:hint="eastAsia" w:ascii="方正仿宋_GBK" w:hAnsi="方正仿宋_GBK" w:eastAsia="方正仿宋_GBK" w:cs="方正仿宋_GBK"/>
          <w:sz w:val="28"/>
          <w:szCs w:val="28"/>
          <w:highlight w:val="none"/>
        </w:rPr>
        <w:t>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w:t>
      </w:r>
      <w:r>
        <w:rPr>
          <w:rFonts w:hint="eastAsia" w:ascii="方正仿宋_GBK" w:hAnsi="方正仿宋_GBK" w:eastAsia="方正仿宋_GBK" w:cs="方正仿宋_GBK"/>
          <w:sz w:val="28"/>
          <w:szCs w:val="28"/>
        </w:rPr>
        <w:t>同，金额包含</w:t>
      </w:r>
      <w:r>
        <w:rPr>
          <w:rFonts w:hint="eastAsia" w:ascii="方正仿宋_GBK" w:hAnsi="方正仿宋_GBK" w:eastAsia="方正仿宋_GBK" w:cs="方正仿宋_GBK"/>
          <w:sz w:val="28"/>
          <w:szCs w:val="28"/>
          <w:lang w:val="en-US" w:eastAsia="zh-CN"/>
        </w:rPr>
        <w:t>设备费、运输费、保险费、安装调试费、辅材费、垃圾清运费、税金及技术服务等完成本项目所需的一切费用</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甲乙</w:t>
      </w:r>
      <w:r>
        <w:rPr>
          <w:rFonts w:hint="eastAsia" w:ascii="方正仿宋_GBK" w:hAnsi="方正仿宋_GBK" w:eastAsia="方正仿宋_GBK" w:cs="方正仿宋_GBK"/>
          <w:sz w:val="28"/>
          <w:szCs w:val="28"/>
        </w:rPr>
        <w:t>双方不能因市场价格</w:t>
      </w:r>
      <w:r>
        <w:rPr>
          <w:rFonts w:hint="eastAsia" w:ascii="方正仿宋_GBK" w:hAnsi="方正仿宋_GBK" w:eastAsia="方正仿宋_GBK" w:cs="方正仿宋_GBK"/>
          <w:sz w:val="28"/>
          <w:szCs w:val="28"/>
          <w:highlight w:val="none"/>
        </w:rPr>
        <w:t>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全部货物运送至甲方指定地点并安装调试完成，经由甲方验收合格后，乙方提供经双方确认的送货清单及等额、合法、有效的增值税专用发票，甲方自收到准确清单和发票且核对无误后，于次二月完成款项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需提供三年质保（LED显示屏体：质保 3年（灯珠）/1年（整机）；其他设备：整机质保 1年），其履约保证金（合同价的5%）到时（验收合格后）自动转为质保金，质保金于质保期满且无未决质量争议后无息退还</w:t>
      </w:r>
      <w:r>
        <w:rPr>
          <w:rFonts w:hint="eastAsia" w:ascii="仿宋" w:hAnsi="仿宋" w:eastAsia="仿宋" w:cs="仿宋"/>
          <w:color w:val="auto"/>
          <w:kern w:val="2"/>
          <w:sz w:val="30"/>
          <w:szCs w:val="30"/>
          <w:highlight w:val="none"/>
          <w:lang w:eastAsia="zh-CN"/>
        </w:rPr>
        <w:t>。</w:t>
      </w:r>
    </w:p>
    <w:p w14:paraId="379255D2">
      <w:pPr>
        <w:pStyle w:val="35"/>
        <w:numPr>
          <w:ilvl w:val="0"/>
          <w:numId w:val="0"/>
        </w:numPr>
        <w:spacing w:line="579" w:lineRule="exact"/>
        <w:ind w:left="560" w:leftChars="0" w:hanging="560" w:hangingChars="200"/>
        <w:contextualSpacing/>
        <w:jc w:val="both"/>
        <w:outlineLvl w:val="0"/>
        <w:rPr>
          <w:rFonts w:ascii="Times New Roman" w:hAnsi="Times New Roman" w:eastAsia="黑体"/>
          <w:kern w:val="2"/>
          <w:sz w:val="28"/>
          <w:szCs w:val="28"/>
        </w:rPr>
      </w:pPr>
      <w:r>
        <w:rPr>
          <w:rFonts w:hint="eastAsia" w:ascii="Times New Roman" w:hAnsi="Times New Roman" w:eastAsia="黑体" w:cs="Times New Roman"/>
          <w:kern w:val="2"/>
          <w:sz w:val="28"/>
          <w:szCs w:val="28"/>
          <w:lang w:val="en-US" w:eastAsia="zh-CN" w:bidi="ar-SA"/>
        </w:rPr>
        <w:t>第六</w:t>
      </w:r>
      <w:r>
        <w:rPr>
          <w:rFonts w:hint="eastAsia" w:ascii="Times New Roman" w:hAnsi="Times New Roman" w:eastAsia="黑体" w:cs="Times New Roman"/>
          <w:kern w:val="2"/>
          <w:sz w:val="28"/>
          <w:szCs w:val="28"/>
          <w:highlight w:val="none"/>
          <w:lang w:val="en-US" w:eastAsia="zh-CN" w:bidi="ar-SA"/>
        </w:rPr>
        <w:t xml:space="preserve">条 </w:t>
      </w:r>
      <w:r>
        <w:rPr>
          <w:rFonts w:ascii="Times New Roman" w:hAnsi="Times New Roman" w:eastAsia="黑体"/>
          <w:kern w:val="2"/>
          <w:sz w:val="28"/>
          <w:szCs w:val="28"/>
          <w:highlight w:val="none"/>
        </w:rPr>
        <w:t>验收标准</w:t>
      </w:r>
    </w:p>
    <w:p w14:paraId="3697D57A">
      <w:pPr>
        <w:pStyle w:val="35"/>
        <w:spacing w:line="579" w:lineRule="exact"/>
        <w:ind w:firstLine="560" w:firstLineChars="200"/>
        <w:contextualSpacing/>
        <w:jc w:val="both"/>
        <w:rPr>
          <w:rFonts w:hint="default" w:ascii="Times New Roman" w:hAnsi="Times New Roman" w:eastAsia="方正仿宋_GBK"/>
          <w:sz w:val="28"/>
          <w:szCs w:val="28"/>
          <w:highlight w:val="none"/>
          <w:lang w:eastAsia="zh-CN"/>
        </w:rPr>
      </w:pPr>
      <w:r>
        <w:rPr>
          <w:rFonts w:hint="default" w:ascii="Times New Roman" w:hAnsi="Times New Roman" w:eastAsia="方正仿宋_GBK"/>
          <w:sz w:val="28"/>
          <w:szCs w:val="28"/>
          <w:highlight w:val="none"/>
          <w:lang w:val="en-US" w:eastAsia="zh-CN"/>
        </w:rPr>
        <w:t>本次验收只能视为初步验收，并不能视为解除乙方对其服务成果</w:t>
      </w:r>
      <w:r>
        <w:rPr>
          <w:rFonts w:hint="eastAsia" w:ascii="Times New Roman" w:hAnsi="Times New Roman" w:eastAsia="方正仿宋_GBK"/>
          <w:sz w:val="28"/>
          <w:szCs w:val="28"/>
          <w:highlight w:val="none"/>
          <w:lang w:val="en-US" w:eastAsia="zh-CN"/>
        </w:rPr>
        <w:t>/产品</w:t>
      </w:r>
      <w:r>
        <w:rPr>
          <w:rFonts w:hint="default" w:ascii="Times New Roman" w:hAnsi="Times New Roman" w:eastAsia="方正仿宋_GBK"/>
          <w:sz w:val="28"/>
          <w:szCs w:val="28"/>
          <w:highlight w:val="none"/>
          <w:lang w:val="en-US" w:eastAsia="zh-CN"/>
        </w:rPr>
        <w:t>在</w:t>
      </w:r>
      <w:r>
        <w:rPr>
          <w:rFonts w:hint="eastAsia" w:ascii="Times New Roman" w:hAnsi="Times New Roman" w:eastAsia="方正仿宋_GBK"/>
          <w:sz w:val="28"/>
          <w:szCs w:val="28"/>
          <w:highlight w:val="none"/>
          <w:lang w:val="en-US" w:eastAsia="zh-CN"/>
        </w:rPr>
        <w:t>合同</w:t>
      </w:r>
      <w:r>
        <w:rPr>
          <w:rFonts w:hint="default" w:ascii="Times New Roman" w:hAnsi="Times New Roman" w:eastAsia="方正仿宋_GBK"/>
          <w:sz w:val="28"/>
          <w:szCs w:val="28"/>
          <w:highlight w:val="none"/>
          <w:lang w:val="en-US" w:eastAsia="zh-CN"/>
        </w:rPr>
        <w:t>期内（如有后续整改需求）应负责任的凭据。</w:t>
      </w:r>
    </w:p>
    <w:p w14:paraId="7DCCA065">
      <w:pPr>
        <w:pStyle w:val="35"/>
        <w:spacing w:line="579" w:lineRule="exact"/>
        <w:ind w:firstLine="560" w:firstLineChars="200"/>
        <w:contextualSpacing/>
        <w:jc w:val="both"/>
        <w:rPr>
          <w:rFonts w:ascii="Times New Roman" w:hAnsi="Times New Roman"/>
          <w:highlight w:val="none"/>
        </w:rPr>
      </w:pPr>
      <w:r>
        <w:rPr>
          <w:rFonts w:hint="default" w:ascii="Times New Roman" w:hAnsi="Times New Roman" w:eastAsia="方正仿宋_GBK"/>
          <w:sz w:val="28"/>
          <w:szCs w:val="28"/>
          <w:highlight w:val="none"/>
          <w:lang w:val="en-US" w:eastAsia="zh-CN"/>
        </w:rPr>
        <w:t>凡甲方验收过程中发现的乙方提供的服务</w:t>
      </w:r>
      <w:r>
        <w:rPr>
          <w:rFonts w:hint="eastAsia" w:ascii="Times New Roman" w:hAnsi="Times New Roman" w:eastAsia="方正仿宋_GBK"/>
          <w:sz w:val="28"/>
          <w:szCs w:val="28"/>
          <w:highlight w:val="none"/>
          <w:lang w:val="en-US" w:eastAsia="zh-CN"/>
        </w:rPr>
        <w:t>/产品</w:t>
      </w:r>
      <w:r>
        <w:rPr>
          <w:rFonts w:hint="default" w:ascii="Times New Roman" w:hAnsi="Times New Roman" w:eastAsia="方正仿宋_GBK"/>
          <w:sz w:val="28"/>
          <w:szCs w:val="28"/>
          <w:highlight w:val="none"/>
          <w:lang w:val="en-US" w:eastAsia="zh-CN"/>
        </w:rPr>
        <w:t>不符合合同约定的，乙方必须无偿进行整改直至符合甲方要求，并承担整改过程中所发生的一切费用和甲方的所有经济损失，整改 2 次后仍无法达到要求的，甲方有权解除合同并要求乙方支付甲方合同总金额 5% 的违约金并扣除履约保证金。因整改而超过合同约定服务时间的，乙方应按本合同第</w:t>
      </w:r>
      <w:r>
        <w:rPr>
          <w:rFonts w:hint="eastAsia" w:ascii="Times New Roman" w:hAnsi="Times New Roman" w:eastAsia="方正仿宋_GBK"/>
          <w:sz w:val="28"/>
          <w:szCs w:val="28"/>
          <w:highlight w:val="none"/>
          <w:lang w:val="en-US" w:eastAsia="zh-CN"/>
        </w:rPr>
        <w:t>八</w:t>
      </w:r>
      <w:r>
        <w:rPr>
          <w:rFonts w:hint="default" w:ascii="Times New Roman" w:hAnsi="Times New Roman" w:eastAsia="方正仿宋_GBK"/>
          <w:sz w:val="28"/>
          <w:szCs w:val="28"/>
          <w:highlight w:val="none"/>
          <w:lang w:val="en-US" w:eastAsia="zh-CN"/>
        </w:rPr>
        <w:t>条承担逾期服务违约责任</w:t>
      </w:r>
      <w:r>
        <w:rPr>
          <w:rFonts w:hint="eastAsia" w:ascii="Times New Roman" w:hAnsi="Times New Roman" w:eastAsia="方正仿宋_GBK"/>
          <w:sz w:val="28"/>
          <w:szCs w:val="28"/>
          <w:highlight w:val="none"/>
          <w:lang w:val="en-US" w:eastAsia="zh-CN"/>
        </w:rPr>
        <w:t>。</w:t>
      </w:r>
      <w:r>
        <w:rPr>
          <w:rFonts w:ascii="Times New Roman" w:hAnsi="Times New Roman"/>
          <w:highlight w:val="none"/>
        </w:rPr>
        <w:t xml:space="preserve">                                                                                                                                 </w:t>
      </w:r>
    </w:p>
    <w:p w14:paraId="2A49888C">
      <w:pPr>
        <w:pStyle w:val="35"/>
        <w:spacing w:line="579" w:lineRule="exact"/>
        <w:contextualSpacing/>
        <w:jc w:val="both"/>
        <w:outlineLvl w:val="0"/>
        <w:rPr>
          <w:rFonts w:ascii="Times New Roman" w:hAnsi="Times New Roman" w:eastAsia="黑体"/>
          <w:sz w:val="28"/>
          <w:szCs w:val="28"/>
          <w:highlight w:val="none"/>
        </w:rPr>
      </w:pPr>
      <w:r>
        <w:rPr>
          <w:rFonts w:ascii="Times New Roman" w:hAnsi="Times New Roman" w:eastAsia="黑体"/>
          <w:sz w:val="28"/>
          <w:szCs w:val="28"/>
          <w:highlight w:val="none"/>
        </w:rPr>
        <w:t>第</w:t>
      </w:r>
      <w:r>
        <w:rPr>
          <w:rFonts w:hint="eastAsia" w:ascii="Times New Roman" w:hAnsi="Times New Roman" w:eastAsia="黑体"/>
          <w:sz w:val="28"/>
          <w:szCs w:val="28"/>
          <w:highlight w:val="none"/>
          <w:lang w:val="en-US" w:eastAsia="zh-CN"/>
        </w:rPr>
        <w:t>七</w:t>
      </w:r>
      <w:r>
        <w:rPr>
          <w:rFonts w:ascii="Times New Roman" w:hAnsi="Times New Roman" w:eastAsia="黑体"/>
          <w:sz w:val="28"/>
          <w:szCs w:val="28"/>
          <w:highlight w:val="none"/>
        </w:rPr>
        <w:t>条 质量保证</w:t>
      </w:r>
    </w:p>
    <w:p w14:paraId="58345FDD">
      <w:pPr>
        <w:pStyle w:val="35"/>
        <w:spacing w:after="0" w:line="579" w:lineRule="exact"/>
        <w:ind w:firstLine="560" w:firstLineChars="200"/>
        <w:contextualSpacing/>
        <w:jc w:val="both"/>
        <w:rPr>
          <w:rFonts w:ascii="Times New Roman" w:hAnsi="Times New Roman"/>
        </w:rPr>
      </w:pPr>
      <w:r>
        <w:rPr>
          <w:rFonts w:hint="eastAsia" w:ascii="方正仿宋_GBK" w:hAnsi="方正仿宋_GBK" w:eastAsia="方正仿宋_GBK" w:cs="方正仿宋_GBK"/>
          <w:sz w:val="28"/>
          <w:szCs w:val="28"/>
          <w:highlight w:val="none"/>
          <w:lang w:eastAsia="zh-CN"/>
        </w:rPr>
        <w:t>乙方保证其供应的本合同标的是全新的，技术水平先进、成熟、质量优良、安全可靠、经济</w:t>
      </w:r>
      <w:r>
        <w:rPr>
          <w:rFonts w:hint="eastAsia" w:ascii="方正仿宋_GBK" w:hAnsi="方正仿宋_GBK" w:eastAsia="方正仿宋_GBK" w:cs="方正仿宋_GBK"/>
          <w:sz w:val="28"/>
          <w:szCs w:val="28"/>
          <w:lang w:eastAsia="zh-CN"/>
        </w:rPr>
        <w:t>运行和易于维护。本合同下质量标准为国家标准及相关行业标准（不同标准之间如有冲突，比较严格者为准）。</w:t>
      </w:r>
      <w:r>
        <w:rPr>
          <w:rFonts w:hint="default" w:ascii="Times New Roman" w:hAnsi="Times New Roman" w:eastAsia="方正仿宋_GBK"/>
          <w:sz w:val="28"/>
          <w:szCs w:val="28"/>
        </w:rPr>
        <w:t xml:space="preserve"> </w:t>
      </w:r>
      <w:r>
        <w:rPr>
          <w:rFonts w:ascii="Times New Roman" w:hAnsi="Times New Roman" w:eastAsia="方正仿宋_GBK"/>
          <w:sz w:val="28"/>
          <w:szCs w:val="28"/>
        </w:rPr>
        <w:t xml:space="preserve"> </w:t>
      </w:r>
      <w:r>
        <w:rPr>
          <w:rFonts w:ascii="Times New Roman" w:hAnsi="Times New Roman"/>
        </w:rPr>
        <w:t xml:space="preserve">                                                                                                                                                                                                                                                                                                                                               </w:t>
      </w:r>
    </w:p>
    <w:p w14:paraId="7D06FED0">
      <w:pPr>
        <w:pStyle w:val="35"/>
        <w:spacing w:after="0" w:line="579" w:lineRule="exact"/>
        <w:contextualSpacing/>
        <w:jc w:val="both"/>
        <w:outlineLvl w:val="0"/>
        <w:rPr>
          <w:rFonts w:ascii="Times New Roman" w:hAnsi="Times New Roman" w:eastAsia="黑体"/>
          <w:sz w:val="28"/>
          <w:szCs w:val="28"/>
          <w:highlight w:val="none"/>
        </w:rPr>
      </w:pPr>
      <w:r>
        <w:rPr>
          <w:rFonts w:ascii="Times New Roman" w:hAnsi="Times New Roman" w:eastAsia="黑体"/>
          <w:sz w:val="28"/>
          <w:szCs w:val="28"/>
        </w:rPr>
        <w:t>第</w:t>
      </w:r>
      <w:r>
        <w:rPr>
          <w:rFonts w:hint="eastAsia" w:ascii="Times New Roman" w:hAnsi="Times New Roman" w:eastAsia="黑体"/>
          <w:sz w:val="28"/>
          <w:szCs w:val="28"/>
          <w:lang w:val="en-US" w:eastAsia="zh-CN"/>
        </w:rPr>
        <w:t>八</w:t>
      </w:r>
      <w:r>
        <w:rPr>
          <w:rFonts w:ascii="Times New Roman" w:hAnsi="Times New Roman" w:eastAsia="黑体"/>
          <w:sz w:val="28"/>
          <w:szCs w:val="28"/>
          <w:highlight w:val="none"/>
        </w:rPr>
        <w:t>条 违约责任</w:t>
      </w:r>
    </w:p>
    <w:p w14:paraId="65A74FB8">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若乙方未按合同约定的时间完成项目内容，每逾期一日，应向甲方支付合同总金额千分之五的违约金，甲方有权直接从应付合同款或履约保证金中扣除。</w:t>
      </w:r>
    </w:p>
    <w:p w14:paraId="603FCC66">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若乙方逾期超过10日（含），视为乙方根本违约，甲方有权单方解除合同。在此情形下，甲方有权拒绝支付剩余合同款项，并不予退还乙方已缴纳的全部履约保证金。同时，还应另行向甲方支付合同总价10%的违约金；若该违约金不足以弥补甲方因此遭受的损失，乙方还应予以补足。</w:t>
      </w:r>
    </w:p>
    <w:p w14:paraId="62877B4D">
      <w:pPr>
        <w:pStyle w:val="35"/>
        <w:spacing w:after="0" w:line="579" w:lineRule="exact"/>
        <w:ind w:firstLine="560" w:firstLineChars="200"/>
        <w:contextualSpacing/>
        <w:jc w:val="both"/>
        <w:rPr>
          <w:rFonts w:hint="eastAsia" w:ascii="Times New Roman" w:hAnsi="Times New Roman" w:eastAsia="方正仿宋_GBK"/>
          <w:sz w:val="28"/>
          <w:szCs w:val="28"/>
        </w:rPr>
      </w:pPr>
      <w:r>
        <w:rPr>
          <w:rFonts w:ascii="Times New Roman" w:hAnsi="Times New Roman" w:eastAsia="方正仿宋_GBK"/>
          <w:sz w:val="28"/>
          <w:szCs w:val="28"/>
        </w:rPr>
        <w:t xml:space="preserve"> 因乙方服务</w:t>
      </w:r>
      <w:r>
        <w:rPr>
          <w:rFonts w:hint="eastAsia" w:ascii="Times New Roman" w:hAnsi="Times New Roman" w:eastAsia="方正仿宋_GBK"/>
          <w:sz w:val="28"/>
          <w:szCs w:val="28"/>
          <w:lang w:val="en-US" w:eastAsia="zh-CN"/>
        </w:rPr>
        <w:t>/产品</w:t>
      </w:r>
      <w:r>
        <w:rPr>
          <w:rFonts w:ascii="Times New Roman" w:hAnsi="Times New Roman" w:eastAsia="方正仿宋_GBK"/>
          <w:sz w:val="28"/>
          <w:szCs w:val="28"/>
        </w:rPr>
        <w:t>存在质量问题或不符合合同约定，致使甲方在项目审批、验收过程中受阻，或在使用过程中产生人身伤害、财产损失及行政处罚的，一切经济与法律责任均由乙方承担；若因此导致甲方先行赔付或被相关部门处罚的，甲方有权向乙方全额追偿，并要求乙方赔偿因此给甲方造成的损失。</w:t>
      </w:r>
    </w:p>
    <w:p w14:paraId="7DB3E674">
      <w:pPr>
        <w:pStyle w:val="35"/>
        <w:spacing w:after="0" w:line="579" w:lineRule="exact"/>
        <w:ind w:firstLine="560" w:firstLineChars="200"/>
        <w:contextualSpacing/>
        <w:jc w:val="both"/>
        <w:rPr>
          <w:rFonts w:hint="eastAsia" w:ascii="Times New Roman" w:hAnsi="Times New Roman" w:eastAsia="方正仿宋_GBK"/>
          <w:sz w:val="28"/>
          <w:szCs w:val="28"/>
        </w:rPr>
      </w:pPr>
      <w:r>
        <w:rPr>
          <w:rFonts w:hint="eastAsia" w:ascii="Times New Roman" w:hAnsi="Times New Roman" w:eastAsia="方正仿宋_GBK"/>
          <w:sz w:val="28"/>
          <w:szCs w:val="28"/>
        </w:rPr>
        <w:t>本合同项下乙方应支付的违约金、赔偿金等，甲方有权直接从应付货款或履约保证金中扣除，不足部分有权向乙方追偿。</w:t>
      </w:r>
    </w:p>
    <w:p w14:paraId="0907CE5C">
      <w:pPr>
        <w:pStyle w:val="35"/>
        <w:numPr>
          <w:ilvl w:val="0"/>
          <w:numId w:val="0"/>
        </w:numPr>
        <w:spacing w:after="0" w:line="579" w:lineRule="exact"/>
        <w:ind w:firstLine="560" w:firstLineChars="200"/>
        <w:contextualSpacing/>
        <w:jc w:val="both"/>
        <w:outlineLvl w:val="0"/>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rPr>
        <w:t>违约方因违约行为造成守约方损失的，违约方应赔偿守约方的直接经济损失，包括但不限于鉴定费、律师费、诉讼费、保全费、差旅费、赔偿</w:t>
      </w:r>
      <w:r>
        <w:rPr>
          <w:rFonts w:hint="eastAsia" w:ascii="Times New Roman" w:hAnsi="Times New Roman" w:eastAsia="方正仿宋_GBK"/>
          <w:sz w:val="28"/>
          <w:szCs w:val="28"/>
          <w:highlight w:val="none"/>
        </w:rPr>
        <w:t>金等</w:t>
      </w:r>
      <w:r>
        <w:rPr>
          <w:rFonts w:hint="eastAsia" w:ascii="Times New Roman" w:hAnsi="Times New Roman" w:eastAsia="方正仿宋_GBK"/>
          <w:sz w:val="28"/>
          <w:szCs w:val="28"/>
          <w:highlight w:val="none"/>
          <w:lang w:eastAsia="zh-CN"/>
        </w:rPr>
        <w:t>。</w:t>
      </w:r>
    </w:p>
    <w:p w14:paraId="21FD59D4">
      <w:pPr>
        <w:pStyle w:val="35"/>
        <w:numPr>
          <w:ilvl w:val="0"/>
          <w:numId w:val="0"/>
        </w:numPr>
        <w:spacing w:after="0" w:line="579" w:lineRule="exact"/>
        <w:contextualSpacing/>
        <w:jc w:val="both"/>
        <w:outlineLvl w:val="0"/>
        <w:rPr>
          <w:rFonts w:ascii="Times New Roman" w:hAnsi="Times New Roman" w:eastAsia="黑体"/>
          <w:sz w:val="28"/>
          <w:szCs w:val="28"/>
          <w:highlight w:val="none"/>
        </w:rPr>
      </w:pPr>
      <w:r>
        <w:rPr>
          <w:rFonts w:hint="eastAsia" w:ascii="Times New Roman" w:hAnsi="Times New Roman" w:eastAsia="黑体"/>
          <w:sz w:val="28"/>
          <w:szCs w:val="28"/>
          <w:highlight w:val="none"/>
          <w:lang w:val="en-US" w:eastAsia="zh-CN"/>
        </w:rPr>
        <w:t xml:space="preserve">第九条 </w:t>
      </w:r>
      <w:r>
        <w:rPr>
          <w:rFonts w:ascii="Times New Roman" w:hAnsi="Times New Roman" w:eastAsia="黑体"/>
          <w:sz w:val="28"/>
          <w:szCs w:val="28"/>
          <w:highlight w:val="none"/>
        </w:rPr>
        <w:t>本合同解除的条件</w:t>
      </w:r>
    </w:p>
    <w:p w14:paraId="50CED801">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1. 甲乙双方的任何一方由于不可抗力的原因不能履行合同时，应及时向对方通报不能履行或不能完全履行的理由。在取得有关证明后，允许延期履行、部分履行或协商一致解除合同。</w:t>
      </w:r>
    </w:p>
    <w:p w14:paraId="60372484">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eastAsia="zh-CN"/>
        </w:rPr>
        <w:t>2. 乙方出现下列情形之一的，甲方有权单方解除本合同，且乙方已支付的履约保证金不予退还，并要求乙方支付合同总额</w:t>
      </w:r>
      <w:r>
        <w:rPr>
          <w:rFonts w:hint="eastAsia" w:ascii="Times New Roman" w:hAnsi="Times New Roman" w:eastAsia="方正仿宋_GBK"/>
          <w:sz w:val="28"/>
          <w:szCs w:val="28"/>
          <w:highlight w:val="none"/>
          <w:lang w:val="en-US" w:eastAsia="zh-CN"/>
        </w:rPr>
        <w:t>10</w:t>
      </w:r>
      <w:r>
        <w:rPr>
          <w:rFonts w:hint="eastAsia" w:ascii="Times New Roman" w:hAnsi="Times New Roman" w:eastAsia="方正仿宋_GBK"/>
          <w:sz w:val="28"/>
          <w:szCs w:val="28"/>
          <w:highlight w:val="none"/>
          <w:lang w:eastAsia="zh-CN"/>
        </w:rPr>
        <w:t>%违约金，同时对甲方造成损失的，甲方有权另行向乙方追偿：</w:t>
      </w:r>
    </w:p>
    <w:p w14:paraId="276E356B">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2.1</w:t>
      </w:r>
      <w:r>
        <w:rPr>
          <w:rFonts w:hint="eastAsia" w:ascii="Times New Roman" w:hAnsi="Times New Roman" w:eastAsia="方正仿宋_GBK"/>
          <w:sz w:val="28"/>
          <w:szCs w:val="28"/>
          <w:highlight w:val="none"/>
          <w:lang w:eastAsia="zh-CN"/>
        </w:rPr>
        <w:t>乙方以书面形式明确表示或以行为表明将不履行本合同主要义务的；</w:t>
      </w:r>
    </w:p>
    <w:p w14:paraId="7E7BB7FA">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2.2</w:t>
      </w:r>
      <w:r>
        <w:rPr>
          <w:rFonts w:hint="eastAsia" w:ascii="Times New Roman" w:hAnsi="Times New Roman" w:eastAsia="方正仿宋_GBK"/>
          <w:sz w:val="28"/>
          <w:szCs w:val="28"/>
          <w:highlight w:val="none"/>
          <w:lang w:eastAsia="zh-CN"/>
        </w:rPr>
        <w:t>在合同履约过程中，乙方提供的服务/交付的</w:t>
      </w:r>
      <w:r>
        <w:rPr>
          <w:rFonts w:hint="eastAsia" w:ascii="Times New Roman" w:hAnsi="Times New Roman" w:eastAsia="方正仿宋_GBK"/>
          <w:sz w:val="28"/>
          <w:szCs w:val="28"/>
          <w:highlight w:val="none"/>
          <w:lang w:val="en-US" w:eastAsia="zh-CN"/>
        </w:rPr>
        <w:t>产品</w:t>
      </w:r>
      <w:r>
        <w:rPr>
          <w:rFonts w:hint="eastAsia" w:ascii="Times New Roman" w:hAnsi="Times New Roman" w:eastAsia="方正仿宋_GBK"/>
          <w:sz w:val="28"/>
          <w:szCs w:val="28"/>
          <w:highlight w:val="none"/>
          <w:lang w:eastAsia="zh-CN"/>
        </w:rPr>
        <w:t>存在严重质量问题或重大缺陷，经甲方书面要求限期改进后，乙方仍未完成改进或改进后仍无法达到合同约定标准，导致合同目的无法实现的；</w:t>
      </w:r>
    </w:p>
    <w:p w14:paraId="2B978855">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2.3</w:t>
      </w:r>
      <w:r>
        <w:rPr>
          <w:rFonts w:hint="eastAsia" w:ascii="Times New Roman" w:hAnsi="Times New Roman" w:eastAsia="方正仿宋_GBK"/>
          <w:sz w:val="28"/>
          <w:szCs w:val="28"/>
          <w:highlight w:val="none"/>
          <w:lang w:eastAsia="zh-CN"/>
        </w:rPr>
        <w:t>乙方实施违反法律、行政法规强制性规定的行为，且该行为与本合同履行直接相关，经查证属实的；</w:t>
      </w:r>
    </w:p>
    <w:p w14:paraId="43579203">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2.4</w:t>
      </w:r>
      <w:r>
        <w:rPr>
          <w:rFonts w:hint="eastAsia" w:ascii="Times New Roman" w:hAnsi="Times New Roman" w:eastAsia="方正仿宋_GBK"/>
          <w:sz w:val="28"/>
          <w:szCs w:val="28"/>
          <w:highlight w:val="none"/>
          <w:lang w:eastAsia="zh-CN"/>
        </w:rPr>
        <w:t>乙方的履约行为严重损害国家利益、社会公共利益或甲方合法权益的；</w:t>
      </w:r>
    </w:p>
    <w:p w14:paraId="10E3CE0E">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eastAsia="zh-CN"/>
        </w:rPr>
      </w:pPr>
      <w:r>
        <w:rPr>
          <w:rFonts w:hint="eastAsia" w:ascii="Times New Roman" w:hAnsi="Times New Roman" w:eastAsia="方正仿宋_GBK"/>
          <w:sz w:val="28"/>
          <w:szCs w:val="28"/>
          <w:highlight w:val="none"/>
          <w:lang w:val="en-US" w:eastAsia="zh-CN"/>
        </w:rPr>
        <w:t>2.5</w:t>
      </w:r>
      <w:r>
        <w:rPr>
          <w:rFonts w:hint="eastAsia" w:ascii="Times New Roman" w:hAnsi="Times New Roman" w:eastAsia="方正仿宋_GBK"/>
          <w:sz w:val="28"/>
          <w:szCs w:val="28"/>
          <w:highlight w:val="none"/>
          <w:lang w:eastAsia="zh-CN"/>
        </w:rPr>
        <w:t>乙方未按合同约定的期限、要求履行主要义务（含质保期未提供质保服务或提供的质保服务不合格等），经甲方催告后</w:t>
      </w:r>
      <w:r>
        <w:rPr>
          <w:rFonts w:hint="eastAsia" w:ascii="Times New Roman" w:hAnsi="Times New Roman" w:eastAsia="方正仿宋_GBK"/>
          <w:sz w:val="28"/>
          <w:szCs w:val="28"/>
          <w:highlight w:val="none"/>
          <w:lang w:val="en-US" w:eastAsia="zh-CN"/>
        </w:rPr>
        <w:t>5日</w:t>
      </w:r>
      <w:r>
        <w:rPr>
          <w:rFonts w:hint="eastAsia" w:ascii="Times New Roman" w:hAnsi="Times New Roman" w:eastAsia="方正仿宋_GBK"/>
          <w:sz w:val="28"/>
          <w:szCs w:val="28"/>
          <w:highlight w:val="none"/>
          <w:lang w:eastAsia="zh-CN"/>
        </w:rPr>
        <w:t>仍未纠正或累计发生3次（含）以上的；</w:t>
      </w:r>
    </w:p>
    <w:p w14:paraId="2E46ABFC">
      <w:pPr>
        <w:pStyle w:val="35"/>
        <w:spacing w:after="0" w:line="579" w:lineRule="exact"/>
        <w:ind w:firstLine="560" w:firstLineChars="200"/>
        <w:contextualSpacing/>
        <w:jc w:val="both"/>
        <w:rPr>
          <w:rFonts w:hint="eastAsia" w:ascii="Times New Roman" w:hAnsi="Times New Roman" w:eastAsia="方正仿宋_GBK"/>
          <w:sz w:val="28"/>
          <w:szCs w:val="28"/>
          <w:highlight w:val="none"/>
          <w:lang w:val="en-US" w:eastAsia="zh-CN"/>
        </w:rPr>
      </w:pPr>
      <w:r>
        <w:rPr>
          <w:rFonts w:hint="eastAsia" w:ascii="Times New Roman" w:hAnsi="Times New Roman" w:eastAsia="方正仿宋_GBK"/>
          <w:sz w:val="28"/>
          <w:szCs w:val="28"/>
          <w:highlight w:val="none"/>
          <w:lang w:val="en-US" w:eastAsia="zh-CN"/>
        </w:rPr>
        <w:t>2.6其他本合同规定的相应条款；</w:t>
      </w:r>
    </w:p>
    <w:p w14:paraId="4A751DC0">
      <w:pPr>
        <w:pStyle w:val="35"/>
        <w:spacing w:after="0" w:line="579" w:lineRule="exact"/>
        <w:ind w:firstLine="560" w:firstLineChars="200"/>
        <w:contextualSpacing/>
        <w:jc w:val="both"/>
        <w:rPr>
          <w:rFonts w:ascii="Times New Roman" w:hAnsi="Times New Roman"/>
        </w:rPr>
      </w:pPr>
      <w:r>
        <w:rPr>
          <w:rFonts w:hint="eastAsia" w:ascii="Times New Roman" w:hAnsi="Times New Roman" w:eastAsia="方正仿宋_GBK"/>
          <w:sz w:val="28"/>
          <w:szCs w:val="28"/>
          <w:highlight w:val="none"/>
          <w:lang w:eastAsia="zh-CN"/>
        </w:rPr>
        <w:t>本合同在双方责任、义务履行完毕后终止。</w:t>
      </w:r>
      <w:r>
        <w:rPr>
          <w:rFonts w:ascii="Times New Roman" w:hAnsi="Times New Roman"/>
          <w:highlight w:val="none"/>
        </w:rPr>
        <w:t xml:space="preserve">       </w:t>
      </w:r>
      <w:r>
        <w:rPr>
          <w:rFonts w:ascii="Times New Roman" w:hAnsi="Times New Roman"/>
        </w:rPr>
        <w:t xml:space="preserve">                                                                                                                                     </w:t>
      </w:r>
      <w:r>
        <w:rPr>
          <w:rFonts w:ascii="Times New Roman" w:hAnsi="Times New Roman" w:eastAsia="方正仿宋_GBK"/>
          <w:sz w:val="28"/>
          <w:szCs w:val="28"/>
        </w:rPr>
        <w:t xml:space="preserve"> </w:t>
      </w:r>
      <w:r>
        <w:rPr>
          <w:rFonts w:ascii="Times New Roman" w:hAnsi="Times New Roman"/>
        </w:rPr>
        <w:t xml:space="preserve">                                   </w:t>
      </w:r>
    </w:p>
    <w:p w14:paraId="53986A3E">
      <w:pPr>
        <w:pStyle w:val="35"/>
        <w:spacing w:after="0" w:line="579" w:lineRule="exact"/>
        <w:contextualSpacing/>
        <w:jc w:val="both"/>
        <w:outlineLvl w:val="0"/>
        <w:rPr>
          <w:rFonts w:hint="default" w:ascii="Times New Roman" w:hAnsi="Times New Roman" w:eastAsia="黑体"/>
          <w:sz w:val="28"/>
          <w:szCs w:val="28"/>
          <w:lang w:val="en-US" w:eastAsia="zh-CN"/>
        </w:rPr>
      </w:pPr>
      <w:r>
        <w:rPr>
          <w:rFonts w:ascii="Times New Roman" w:hAnsi="Times New Roman" w:eastAsia="黑体"/>
          <w:sz w:val="28"/>
          <w:szCs w:val="28"/>
        </w:rPr>
        <w:t xml:space="preserve">第十条 </w:t>
      </w:r>
      <w:r>
        <w:rPr>
          <w:rFonts w:hint="eastAsia" w:ascii="Times New Roman" w:hAnsi="Times New Roman" w:eastAsia="黑体"/>
          <w:sz w:val="28"/>
          <w:szCs w:val="28"/>
          <w:lang w:val="en-US" w:eastAsia="zh-CN"/>
        </w:rPr>
        <w:t>本合同未尽事宜</w:t>
      </w:r>
    </w:p>
    <w:p w14:paraId="53434468">
      <w:pPr>
        <w:pStyle w:val="35"/>
        <w:numPr>
          <w:ilvl w:val="0"/>
          <w:numId w:val="0"/>
        </w:numPr>
        <w:spacing w:after="0" w:line="579" w:lineRule="exact"/>
        <w:contextualSpacing/>
        <w:jc w:val="both"/>
        <w:outlineLvl w:val="0"/>
        <w:rPr>
          <w:rFonts w:hint="eastAsia" w:ascii="Times New Roman" w:hAnsi="Times New Roman" w:eastAsia="方正仿宋_GBK"/>
          <w:sz w:val="28"/>
          <w:szCs w:val="28"/>
          <w:lang w:eastAsia="zh-CN"/>
        </w:rPr>
      </w:pPr>
      <w:r>
        <w:rPr>
          <w:rFonts w:hint="eastAsia" w:ascii="Times New Roman" w:hAnsi="Times New Roman" w:eastAsia="方正仿宋_GBK"/>
          <w:sz w:val="28"/>
          <w:szCs w:val="28"/>
          <w:lang w:eastAsia="zh-CN"/>
        </w:rPr>
        <w:t>按照《中华人民共和国民法典》相关条款 。</w:t>
      </w:r>
    </w:p>
    <w:p w14:paraId="05C4950F">
      <w:pPr>
        <w:pStyle w:val="35"/>
        <w:numPr>
          <w:ilvl w:val="0"/>
          <w:numId w:val="0"/>
        </w:numPr>
        <w:spacing w:after="0" w:line="579" w:lineRule="exact"/>
        <w:contextualSpacing/>
        <w:jc w:val="both"/>
        <w:outlineLvl w:val="0"/>
        <w:rPr>
          <w:rFonts w:ascii="Times New Roman" w:hAnsi="Times New Roman" w:eastAsia="黑体"/>
          <w:sz w:val="28"/>
          <w:szCs w:val="28"/>
        </w:rPr>
      </w:pPr>
      <w:r>
        <w:rPr>
          <w:rFonts w:hint="eastAsia" w:ascii="Times New Roman" w:hAnsi="Times New Roman" w:eastAsia="黑体"/>
          <w:sz w:val="28"/>
          <w:szCs w:val="28"/>
          <w:lang w:val="en-US" w:eastAsia="zh-CN"/>
        </w:rPr>
        <w:t xml:space="preserve">第十一条 </w:t>
      </w:r>
      <w:r>
        <w:rPr>
          <w:rFonts w:ascii="Times New Roman" w:hAnsi="Times New Roman" w:eastAsia="黑体"/>
          <w:sz w:val="28"/>
          <w:szCs w:val="28"/>
        </w:rPr>
        <w:t>合同争议的解决方式</w:t>
      </w:r>
    </w:p>
    <w:p w14:paraId="792E7736">
      <w:pPr>
        <w:pStyle w:val="35"/>
        <w:spacing w:after="0" w:line="579" w:lineRule="exact"/>
        <w:ind w:firstLine="560" w:firstLineChars="200"/>
        <w:contextualSpacing/>
        <w:jc w:val="both"/>
        <w:rPr>
          <w:rFonts w:ascii="Times New Roman" w:hAnsi="Times New Roman" w:eastAsia="方正仿宋_GBK"/>
          <w:sz w:val="28"/>
          <w:szCs w:val="28"/>
        </w:rPr>
      </w:pPr>
      <w:r>
        <w:rPr>
          <w:rFonts w:ascii="Times New Roman" w:hAnsi="Times New Roman" w:eastAsia="方正仿宋_GBK"/>
          <w:sz w:val="28"/>
          <w:szCs w:val="28"/>
        </w:rPr>
        <w:t>本合同在履行过程中发生的争议，由双方当事人协商解决；也可由当地工商行政管理部门调解；协商或调解不成的，依法向</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 xml:space="preserve">所在地人民法院起诉。   </w:t>
      </w:r>
    </w:p>
    <w:p w14:paraId="040CC6CB">
      <w:pPr>
        <w:pStyle w:val="35"/>
        <w:numPr>
          <w:ilvl w:val="0"/>
          <w:numId w:val="0"/>
        </w:numPr>
        <w:spacing w:after="0" w:line="579" w:lineRule="exact"/>
        <w:contextualSpacing/>
        <w:jc w:val="both"/>
        <w:outlineLvl w:val="0"/>
        <w:rPr>
          <w:rFonts w:ascii="Times New Roman" w:hAnsi="Times New Roman" w:eastAsia="黑体"/>
          <w:sz w:val="28"/>
          <w:szCs w:val="28"/>
        </w:rPr>
      </w:pPr>
      <w:r>
        <w:rPr>
          <w:rFonts w:hint="eastAsia" w:ascii="Times New Roman" w:hAnsi="Times New Roman" w:eastAsia="黑体"/>
          <w:sz w:val="28"/>
          <w:szCs w:val="28"/>
          <w:lang w:val="en-US" w:eastAsia="zh-CN"/>
        </w:rPr>
        <w:t xml:space="preserve">第十二条 </w:t>
      </w:r>
      <w:r>
        <w:rPr>
          <w:rFonts w:ascii="Times New Roman" w:hAnsi="Times New Roman" w:eastAsia="黑体"/>
          <w:sz w:val="28"/>
          <w:szCs w:val="28"/>
        </w:rPr>
        <w:t>售后要求</w:t>
      </w:r>
    </w:p>
    <w:p w14:paraId="1BEF0F0D">
      <w:pPr>
        <w:pStyle w:val="35"/>
        <w:spacing w:after="0" w:line="579" w:lineRule="exact"/>
        <w:ind w:firstLine="560" w:firstLineChars="200"/>
        <w:contextualSpacing/>
        <w:jc w:val="both"/>
        <w:rPr>
          <w:rFonts w:hint="eastAsia" w:ascii="Times New Roman" w:hAnsi="Times New Roman" w:eastAsia="方正仿宋_GBK"/>
          <w:sz w:val="28"/>
          <w:szCs w:val="28"/>
        </w:rPr>
      </w:pP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必须满足</w:t>
      </w:r>
      <w:r>
        <w:rPr>
          <w:rFonts w:hint="eastAsia" w:ascii="Times New Roman" w:hAnsi="Times New Roman" w:eastAsia="方正仿宋_GBK"/>
          <w:sz w:val="28"/>
          <w:szCs w:val="28"/>
          <w:lang w:eastAsia="zh-CN"/>
        </w:rPr>
        <w:t>甲方</w:t>
      </w:r>
      <w:r>
        <w:rPr>
          <w:rFonts w:hint="eastAsia" w:ascii="Times New Roman" w:hAnsi="Times New Roman" w:eastAsia="方正仿宋_GBK"/>
          <w:sz w:val="28"/>
          <w:szCs w:val="28"/>
        </w:rPr>
        <w:t>售后服务要求。如</w:t>
      </w:r>
      <w:r>
        <w:rPr>
          <w:rFonts w:hint="eastAsia" w:ascii="Times New Roman" w:hAnsi="Times New Roman" w:eastAsia="方正仿宋_GBK"/>
          <w:sz w:val="28"/>
          <w:szCs w:val="28"/>
          <w:lang w:val="en-US" w:eastAsia="zh-CN"/>
        </w:rPr>
        <w:t>服务</w:t>
      </w:r>
      <w:r>
        <w:rPr>
          <w:rFonts w:hint="eastAsia" w:ascii="Times New Roman" w:hAnsi="Times New Roman" w:eastAsia="方正仿宋_GBK"/>
          <w:sz w:val="28"/>
          <w:szCs w:val="28"/>
        </w:rPr>
        <w:t>过程发生问题，</w:t>
      </w: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须在接到</w:t>
      </w:r>
      <w:r>
        <w:rPr>
          <w:rFonts w:hint="eastAsia" w:ascii="Times New Roman" w:hAnsi="Times New Roman" w:eastAsia="方正仿宋_GBK"/>
          <w:sz w:val="28"/>
          <w:szCs w:val="28"/>
          <w:lang w:val="en-US" w:eastAsia="zh-CN"/>
        </w:rPr>
        <w:t>甲方</w:t>
      </w:r>
      <w:r>
        <w:rPr>
          <w:rFonts w:hint="eastAsia" w:ascii="Times New Roman" w:hAnsi="Times New Roman" w:eastAsia="方正仿宋_GBK"/>
          <w:sz w:val="28"/>
          <w:szCs w:val="28"/>
        </w:rPr>
        <w:t>通知后24小时内做出书面答复并提供解决方案。若需要派遣技术人员，则应在接到</w:t>
      </w:r>
      <w:r>
        <w:rPr>
          <w:rFonts w:hint="eastAsia" w:ascii="Times New Roman" w:hAnsi="Times New Roman" w:eastAsia="方正仿宋_GBK"/>
          <w:sz w:val="28"/>
          <w:szCs w:val="28"/>
          <w:lang w:eastAsia="zh-CN"/>
        </w:rPr>
        <w:t>甲方</w:t>
      </w:r>
      <w:r>
        <w:rPr>
          <w:rFonts w:hint="eastAsia" w:ascii="Times New Roman" w:hAnsi="Times New Roman" w:eastAsia="方正仿宋_GBK"/>
          <w:sz w:val="28"/>
          <w:szCs w:val="28"/>
        </w:rPr>
        <w:t>通知后48小时内派人员到达现场进行免费指导解决问题。</w:t>
      </w:r>
    </w:p>
    <w:p w14:paraId="4C056D4E">
      <w:pPr>
        <w:pStyle w:val="35"/>
        <w:spacing w:after="0" w:line="579" w:lineRule="exact"/>
        <w:ind w:firstLine="560" w:firstLineChars="200"/>
        <w:contextualSpacing/>
        <w:jc w:val="both"/>
        <w:rPr>
          <w:rFonts w:ascii="Times New Roman" w:hAnsi="Times New Roman" w:eastAsia="方正仿宋_GBK"/>
          <w:sz w:val="28"/>
          <w:szCs w:val="28"/>
        </w:rPr>
      </w:pPr>
      <w:r>
        <w:rPr>
          <w:rFonts w:hint="eastAsia" w:ascii="Times New Roman" w:hAnsi="Times New Roman" w:eastAsia="方正仿宋_GBK"/>
          <w:sz w:val="28"/>
          <w:szCs w:val="28"/>
          <w:lang w:eastAsia="zh-CN"/>
        </w:rPr>
        <w:t>甲方</w:t>
      </w:r>
      <w:r>
        <w:rPr>
          <w:rFonts w:hint="eastAsia" w:ascii="Times New Roman" w:hAnsi="Times New Roman" w:eastAsia="方正仿宋_GBK"/>
          <w:sz w:val="28"/>
          <w:szCs w:val="28"/>
        </w:rPr>
        <w:t>不再对任何售后服务进行付费。</w:t>
      </w: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的派遣人员产生的一切费用由</w:t>
      </w:r>
      <w:r>
        <w:rPr>
          <w:rFonts w:hint="eastAsia" w:ascii="Times New Roman" w:hAnsi="Times New Roman" w:eastAsia="方正仿宋_GBK"/>
          <w:sz w:val="28"/>
          <w:szCs w:val="28"/>
          <w:lang w:eastAsia="zh-CN"/>
        </w:rPr>
        <w:t>乙方</w:t>
      </w:r>
      <w:r>
        <w:rPr>
          <w:rFonts w:hint="eastAsia" w:ascii="Times New Roman" w:hAnsi="Times New Roman" w:eastAsia="方正仿宋_GBK"/>
          <w:sz w:val="28"/>
          <w:szCs w:val="28"/>
        </w:rPr>
        <w:t>承担。</w:t>
      </w:r>
    </w:p>
    <w:p w14:paraId="7AB4544A">
      <w:pPr>
        <w:pStyle w:val="35"/>
        <w:numPr>
          <w:ilvl w:val="0"/>
          <w:numId w:val="0"/>
        </w:numPr>
        <w:spacing w:after="0" w:line="579" w:lineRule="exact"/>
        <w:ind w:left="560" w:leftChars="0" w:hanging="560" w:hangingChars="200"/>
        <w:contextualSpacing/>
        <w:jc w:val="both"/>
        <w:outlineLvl w:val="0"/>
        <w:rPr>
          <w:rFonts w:ascii="Times New Roman" w:hAnsi="Times New Roman" w:eastAsia="黑体"/>
          <w:sz w:val="28"/>
          <w:szCs w:val="28"/>
        </w:rPr>
      </w:pPr>
      <w:r>
        <w:rPr>
          <w:rFonts w:hint="eastAsia" w:ascii="Times New Roman" w:hAnsi="Times New Roman" w:eastAsia="黑体" w:cs="Times New Roman"/>
          <w:sz w:val="28"/>
          <w:szCs w:val="28"/>
          <w:lang w:val="en-US" w:eastAsia="zh-CN" w:bidi="ar-SA"/>
        </w:rPr>
        <w:t xml:space="preserve">第十三条 </w:t>
      </w:r>
      <w:r>
        <w:rPr>
          <w:rFonts w:ascii="Times New Roman" w:hAnsi="Times New Roman" w:eastAsia="黑体"/>
          <w:sz w:val="28"/>
          <w:szCs w:val="28"/>
        </w:rPr>
        <w:t>其他要求</w:t>
      </w:r>
    </w:p>
    <w:p w14:paraId="52987E88">
      <w:pPr>
        <w:pStyle w:val="35"/>
        <w:spacing w:after="0" w:line="579" w:lineRule="exact"/>
        <w:ind w:firstLine="560" w:firstLineChars="200"/>
        <w:contextualSpacing/>
        <w:jc w:val="both"/>
        <w:rPr>
          <w:rFonts w:hint="eastAsia" w:ascii="方正仿宋_GBK" w:hAnsi="方正仿宋_GBK" w:eastAsia="方正仿宋_GBK" w:cs="方正仿宋_GBK"/>
          <w:sz w:val="28"/>
          <w:szCs w:val="28"/>
        </w:rPr>
      </w:pPr>
      <w:r>
        <w:rPr>
          <w:rFonts w:ascii="Times New Roman" w:hAnsi="Times New Roman" w:eastAsia="方正仿宋_GBK"/>
          <w:sz w:val="28"/>
          <w:szCs w:val="28"/>
        </w:rPr>
        <w:t>本合同一式六份，</w:t>
      </w:r>
      <w:r>
        <w:rPr>
          <w:rFonts w:hint="eastAsia" w:ascii="Times New Roman" w:hAnsi="Times New Roman" w:eastAsia="方正仿宋_GBK"/>
          <w:sz w:val="28"/>
          <w:szCs w:val="28"/>
          <w:lang w:eastAsia="zh-CN"/>
        </w:rPr>
        <w:t>甲方</w:t>
      </w:r>
      <w:r>
        <w:rPr>
          <w:rFonts w:ascii="Times New Roman" w:hAnsi="Times New Roman" w:eastAsia="方正仿宋_GBK"/>
          <w:sz w:val="28"/>
          <w:szCs w:val="28"/>
        </w:rPr>
        <w:t>五份；</w:t>
      </w:r>
      <w:r>
        <w:rPr>
          <w:rFonts w:hint="eastAsia" w:ascii="Times New Roman" w:hAnsi="Times New Roman" w:eastAsia="方正仿宋_GBK"/>
          <w:sz w:val="28"/>
          <w:szCs w:val="28"/>
          <w:lang w:eastAsia="zh-CN"/>
        </w:rPr>
        <w:t>乙方</w:t>
      </w:r>
      <w:r>
        <w:rPr>
          <w:rFonts w:ascii="Times New Roman" w:hAnsi="Times New Roman" w:eastAsia="方正仿宋_GBK"/>
          <w:sz w:val="28"/>
          <w:szCs w:val="28"/>
        </w:rPr>
        <w:t>一份，签章后生效。</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E16357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AAECF1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2907C0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A8D6F9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4F449B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99274E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BF260F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563AEB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AD3FEA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3D3BAD3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14763"/>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会议室影音设备整体改造项目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515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会议室影音设备整体改造项目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SX-ZH-YY-2606007</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71BCEA67">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7" w:name="_Toc12044"/>
      <w:r>
        <w:rPr>
          <w:rStyle w:val="21"/>
          <w:rFonts w:hint="eastAsia" w:ascii="仿宋" w:hAnsi="仿宋" w:eastAsia="仿宋" w:cs="仿宋"/>
          <w:sz w:val="30"/>
        </w:rPr>
        <w:t>附件一：</w:t>
      </w:r>
      <w:bookmarkEnd w:id="17"/>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3E8D17F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b/>
          <w:bCs w:val="0"/>
          <w:color w:val="FF0000"/>
          <w:sz w:val="28"/>
          <w:szCs w:val="28"/>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绍兴市再生能源发展有限公司会议室影音设备整体改造 </w:t>
      </w:r>
      <w:r>
        <w:rPr>
          <w:rFonts w:hint="eastAsia" w:ascii="仿宋" w:hAnsi="仿宋" w:eastAsia="仿宋" w:cs="仿宋"/>
          <w:sz w:val="30"/>
          <w:szCs w:val="30"/>
          <w:u w:val="none"/>
          <w:lang w:val="en-US" w:eastAsia="zh-CN"/>
        </w:rPr>
        <w:t>项目。</w:t>
      </w:r>
    </w:p>
    <w:tbl>
      <w:tblPr>
        <w:tblStyle w:val="13"/>
        <w:tblW w:w="5349" w:type="pct"/>
        <w:jc w:val="center"/>
        <w:tblLayout w:type="fixed"/>
        <w:tblCellMar>
          <w:top w:w="0" w:type="dxa"/>
          <w:left w:w="108" w:type="dxa"/>
          <w:bottom w:w="0" w:type="dxa"/>
          <w:right w:w="108" w:type="dxa"/>
        </w:tblCellMar>
      </w:tblPr>
      <w:tblGrid>
        <w:gridCol w:w="668"/>
        <w:gridCol w:w="1636"/>
        <w:gridCol w:w="4679"/>
        <w:gridCol w:w="546"/>
        <w:gridCol w:w="927"/>
        <w:gridCol w:w="1481"/>
      </w:tblGrid>
      <w:tr w14:paraId="1A7C4E87">
        <w:tblPrEx>
          <w:tblCellMar>
            <w:top w:w="0" w:type="dxa"/>
            <w:left w:w="108" w:type="dxa"/>
            <w:bottom w:w="0" w:type="dxa"/>
            <w:right w:w="108" w:type="dxa"/>
          </w:tblCellMar>
        </w:tblPrEx>
        <w:trPr>
          <w:trHeight w:val="467"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C38D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C2B2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354" w:type="pct"/>
            <w:tcBorders>
              <w:top w:val="single" w:color="000000" w:sz="4" w:space="0"/>
              <w:left w:val="single" w:color="000000" w:sz="4" w:space="0"/>
              <w:bottom w:val="single" w:color="000000" w:sz="4" w:space="0"/>
              <w:right w:val="single" w:color="000000" w:sz="4" w:space="0"/>
            </w:tcBorders>
            <w:noWrap/>
            <w:vAlign w:val="center"/>
          </w:tcPr>
          <w:p w14:paraId="5C522A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2B549D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466" w:type="pct"/>
            <w:tcBorders>
              <w:top w:val="single" w:color="000000" w:sz="4" w:space="0"/>
              <w:left w:val="single" w:color="000000" w:sz="4" w:space="0"/>
              <w:bottom w:val="single" w:color="000000" w:sz="4" w:space="0"/>
              <w:right w:val="single" w:color="000000" w:sz="4" w:space="0"/>
            </w:tcBorders>
            <w:noWrap/>
            <w:vAlign w:val="center"/>
          </w:tcPr>
          <w:p w14:paraId="436ED8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745" w:type="pct"/>
            <w:tcBorders>
              <w:top w:val="single" w:color="000000" w:sz="4" w:space="0"/>
              <w:left w:val="single" w:color="000000" w:sz="4" w:space="0"/>
              <w:bottom w:val="single" w:color="000000" w:sz="4" w:space="0"/>
              <w:right w:val="single" w:color="000000" w:sz="4" w:space="0"/>
            </w:tcBorders>
            <w:noWrap/>
            <w:vAlign w:val="center"/>
          </w:tcPr>
          <w:p w14:paraId="54DE8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F7C2D33">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4777B6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电子桌牌</w:t>
            </w:r>
          </w:p>
        </w:tc>
      </w:tr>
      <w:tr w14:paraId="1E26B730">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C25814">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D163C62">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电子桌牌</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223F68A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1.尺寸：7.4英寸双面墨水屏。</w:t>
            </w:r>
          </w:p>
          <w:p w14:paraId="77FA869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2.功能：无线后台批量编辑姓名职务，支持手机扫码即改、批量秒发，支持蓝牙/NFC远程改字，双面异显，多模块自由切换。</w:t>
            </w:r>
          </w:p>
          <w:p w14:paraId="5EE61F22">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3.配套：配套管理软件、集中充电收纳盒。</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6FAC258E">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6E1765EF">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个</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0B021A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6EE9DF">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6889B6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三楼会议室智慧大屏</w:t>
            </w:r>
          </w:p>
        </w:tc>
      </w:tr>
      <w:tr w14:paraId="6A532288">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2E1BF325">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2</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DEE053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三楼会议室智慧大屏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326B16D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1.规格：120英寸4K防眩光商用液晶电视，Android系统，非拼接屏、非激光电视。</w:t>
            </w:r>
          </w:p>
          <w:p w14:paraId="10A929C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2.硬件配置：16G运行内存，512G存储空间。</w:t>
            </w:r>
          </w:p>
          <w:p w14:paraId="50F9CC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3.接口：</w:t>
            </w:r>
          </w:p>
          <w:p w14:paraId="63BFB5E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-网络：标配有线网口（LAN），支持有线联网、后台管理。</w:t>
            </w:r>
          </w:p>
          <w:p w14:paraId="200C363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-视频输入：标准HDMI、miniHDMI、DP接口。</w:t>
            </w:r>
          </w:p>
          <w:p w14:paraId="7B6EBBB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-拓展：Type-C接口（支持视频投屏、文件读取）。</w:t>
            </w:r>
          </w:p>
          <w:p w14:paraId="608589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-USB：USB3.0、USB2.0接口，支持U盘/移动硬盘本地播放。</w:t>
            </w:r>
          </w:p>
          <w:p w14:paraId="3F64636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-音频：同轴音频输出，可外接功放/音响。</w:t>
            </w:r>
          </w:p>
          <w:p w14:paraId="0B18AA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4.功能：支持分屏、无线投屏、本地播放。</w:t>
            </w:r>
          </w:p>
          <w:p w14:paraId="1568B1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5.安装：支持壁挂安装，含安装配件。</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A61C96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216F2B0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2C0C534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81A19B7">
        <w:tblPrEx>
          <w:tblCellMar>
            <w:top w:w="0" w:type="dxa"/>
            <w:left w:w="108" w:type="dxa"/>
            <w:bottom w:w="0" w:type="dxa"/>
            <w:right w:w="108" w:type="dxa"/>
          </w:tblCellMar>
        </w:tblPrEx>
        <w:trPr>
          <w:trHeight w:val="529"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795D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二楼会议室LED大屏</w:t>
            </w:r>
          </w:p>
        </w:tc>
      </w:tr>
      <w:tr w14:paraId="0A621F7C">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633579">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3</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D614A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P1.5 LED显示屏</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4CC9A1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1.像素：点间距≤1.538mm，密度≥422,500点/㎡。</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2.亮度/功耗：峰值亮度≥600cd/㎡，峰值功耗≤420W/㎡，平均功耗≤140W/㎡。</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3.控制：支持信源接入状态显示，可通过物理按键、客户端、遥控器、Web浏览器切换信源。</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4.监控：支持Web查看整墙概览、连线状态、接收卡规模及状态（高亮展示、网口号、工作状态等）；可查看接收卡序号、型号、软件版本、Link状态、电压、温度。</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5.护眼：符合GB/T 20145-2006标准，蓝光危害加权辐亮度值(LB)≤100W·m⁻²·sr⁻¹，2.8h内无视网膜蓝光伤害，属无危害类。</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6.认证：需提供首页具有CNAS及CMA标识的第三方检测报告复印件并加盖厂家公章。</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5A8679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029D37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BDD90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FF0000"/>
                <w:kern w:val="0"/>
                <w:sz w:val="24"/>
                <w:szCs w:val="24"/>
                <w:u w:val="none"/>
                <w:lang w:val="en-US" w:eastAsia="zh-CN" w:bidi="ar"/>
              </w:rPr>
              <w:t>利亚德、洲明、艾比森、强力巨彩</w:t>
            </w:r>
          </w:p>
        </w:tc>
      </w:tr>
      <w:tr w14:paraId="1A636BD3">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B23267">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4</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DB62A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LED钢结构框架</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57AD46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LED结构钢架，根据现场实际情况定制，符合国标要求。</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E96DD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9C0AB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6705D6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393D3B88">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07990F">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5</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3246B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LED配电箱</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74A0DC2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20KW PLC智能配电箱。</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42AF76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467082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EA01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0B08C19F">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7A802B">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6</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0A0E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数字影院解码器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5132C42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1.输出：10路输出，6个独立XLS平衡输出通道，4路RCA非平衡输出。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2.解码：全面支持DTS 5.1、DOLBY 5.1、HD、DTS解码。</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3.矩阵：3进1出2K HDMI矩阵系统，支持Dolby Vision™,HDR 10,HLG,WCG,扩展色域(sYCC601,Adobe RGB)。</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4.接口：配置光纤和同轴数字音频接口。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5.输入：2组立体声线路输入，2组TRS单通道输入，1组立体声音输出。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6.DSP处理：每路输入输出均有独立DSP处理器，输入通道48段全数字参量均衡，输出通道30段全数字参量均衡；配置高通、低通、带通、延时、压限DSP处理器。</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7.控制/显示：全彩LCD显示屏，全中文交互式多层菜单；支持传统RS232中控控制。</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8.功能：不少于10个用户自定义场景模式；内置自动声反馈抑制器、噪声门、DSP数字效果器。</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7D32FF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14B03F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0AD37B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FF0000"/>
                <w:kern w:val="0"/>
                <w:sz w:val="24"/>
                <w:szCs w:val="24"/>
                <w:u w:val="none"/>
                <w:lang w:val="en-US" w:eastAsia="zh-CN" w:bidi="ar"/>
              </w:rPr>
              <w:t>chunqimei、湖山、JBL</w:t>
            </w:r>
          </w:p>
        </w:tc>
      </w:tr>
      <w:tr w14:paraId="024CE837">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B98BDF">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7</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9B63F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LED视频处理器</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0DEB6F7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1.输入接口：≥3个HDMI2.0(4K)，≥1个DP1.2，≥4个HDMI1.3(2K)，≥1个USB2.0，≥1个CONSOLE，≥2个控制网口，≥2个RS485，≥1个LINE IN。</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2.输出接口：≥3个HDMI2.0 Loop，≥1个Line Out，≥20个带载网口，≥1个HDMI1.3(Monitor)，≥4个10G万兆光口，≥1个3D接口。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3.其他接口：前端≥1个USB2.0，≥2路RS485。</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4.性能：支持HDMI2.0环通输出，最大分辨率4096×2160@60Hz。</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5.功能：支持护眼模式；支持Web端查看输入信号源及输出画面的实时网络预览。</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2B59D4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4187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7CDF03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C0C17B">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647FE8">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8</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9AFD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多媒体播控终端</w:t>
            </w:r>
          </w:p>
        </w:tc>
        <w:tc>
          <w:tcPr>
            <w:tcW w:w="2354" w:type="pct"/>
            <w:tcBorders>
              <w:top w:val="single" w:color="000000" w:sz="4" w:space="0"/>
              <w:left w:val="single" w:color="000000" w:sz="4" w:space="0"/>
              <w:bottom w:val="single" w:color="000000" w:sz="4" w:space="0"/>
              <w:right w:val="single" w:color="000000" w:sz="4" w:space="0"/>
            </w:tcBorders>
            <w:noWrap w:val="0"/>
            <w:vAlign w:val="center"/>
          </w:tcPr>
          <w:p w14:paraId="032B4F4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10核16线程/16GB内存/256G NVMe SSD/Quadro RTX A2000 12G显卡/500W电源/塔式机箱；具备有线和无线投屏功能。</w:t>
            </w:r>
          </w:p>
        </w:tc>
        <w:tc>
          <w:tcPr>
            <w:tcW w:w="274" w:type="pct"/>
            <w:tcBorders>
              <w:top w:val="single" w:color="000000" w:sz="4" w:space="0"/>
              <w:left w:val="single" w:color="000000" w:sz="4" w:space="0"/>
              <w:bottom w:val="single" w:color="000000" w:sz="4" w:space="0"/>
              <w:right w:val="single" w:color="000000" w:sz="4" w:space="0"/>
            </w:tcBorders>
            <w:noWrap w:val="0"/>
            <w:vAlign w:val="center"/>
          </w:tcPr>
          <w:p w14:paraId="1DEB85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466" w:type="pct"/>
            <w:tcBorders>
              <w:top w:val="single" w:color="000000" w:sz="4" w:space="0"/>
              <w:left w:val="single" w:color="000000" w:sz="4" w:space="0"/>
              <w:bottom w:val="single" w:color="000000" w:sz="4" w:space="0"/>
              <w:right w:val="single" w:color="000000" w:sz="4" w:space="0"/>
            </w:tcBorders>
            <w:noWrap w:val="0"/>
            <w:vAlign w:val="center"/>
          </w:tcPr>
          <w:p w14:paraId="585F04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745" w:type="pct"/>
            <w:tcBorders>
              <w:top w:val="single" w:color="000000" w:sz="4" w:space="0"/>
              <w:left w:val="single" w:color="000000" w:sz="4" w:space="0"/>
              <w:bottom w:val="single" w:color="000000" w:sz="4" w:space="0"/>
              <w:right w:val="single" w:color="000000" w:sz="4" w:space="0"/>
            </w:tcBorders>
            <w:noWrap w:val="0"/>
            <w:vAlign w:val="center"/>
          </w:tcPr>
          <w:p w14:paraId="58FBC1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FF0000"/>
                <w:kern w:val="0"/>
                <w:sz w:val="24"/>
                <w:szCs w:val="24"/>
                <w:u w:val="none"/>
                <w:lang w:val="en-US" w:eastAsia="zh-CN" w:bidi="ar"/>
              </w:rPr>
              <w:t>联想、DELL、HP</w:t>
            </w:r>
          </w:p>
        </w:tc>
      </w:tr>
      <w:tr w14:paraId="68A821F3">
        <w:tblPrEx>
          <w:tblCellMar>
            <w:top w:w="0" w:type="dxa"/>
            <w:left w:w="108" w:type="dxa"/>
            <w:bottom w:w="0" w:type="dxa"/>
            <w:right w:w="108" w:type="dxa"/>
          </w:tblCellMar>
        </w:tblPrEx>
        <w:trPr>
          <w:trHeight w:val="529" w:hRule="atLeast"/>
          <w:jc w:val="center"/>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7D0B9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仿宋" w:hAnsi="仿宋" w:eastAsia="仿宋" w:cs="仿宋"/>
                <w:i w:val="0"/>
                <w:iCs w:val="0"/>
                <w:strike w:val="0"/>
                <w:dstrike w:val="0"/>
                <w:color w:val="000000"/>
                <w:kern w:val="0"/>
                <w:sz w:val="24"/>
                <w:szCs w:val="24"/>
                <w:lang w:val="en-US" w:eastAsia="zh-CN" w:bidi="ar"/>
              </w:rPr>
            </w:pPr>
            <w:r>
              <w:rPr>
                <w:rFonts w:hint="eastAsia" w:ascii="仿宋" w:hAnsi="仿宋" w:eastAsia="仿宋" w:cs="仿宋"/>
                <w:i w:val="0"/>
                <w:iCs w:val="0"/>
                <w:strike w:val="0"/>
                <w:dstrike w:val="0"/>
                <w:color w:val="000000"/>
                <w:kern w:val="0"/>
                <w:sz w:val="24"/>
                <w:szCs w:val="24"/>
                <w:lang w:val="en-US" w:eastAsia="zh-CN" w:bidi="ar"/>
              </w:rPr>
              <w:t>备注</w:t>
            </w:r>
          </w:p>
        </w:tc>
        <w:tc>
          <w:tcPr>
            <w:tcW w:w="4663" w:type="pct"/>
            <w:gridSpan w:val="5"/>
            <w:tcBorders>
              <w:top w:val="single" w:color="000000" w:sz="4" w:space="0"/>
              <w:left w:val="single" w:color="000000" w:sz="4" w:space="0"/>
              <w:bottom w:val="single" w:color="000000" w:sz="4" w:space="0"/>
              <w:right w:val="single" w:color="000000" w:sz="4" w:space="0"/>
            </w:tcBorders>
            <w:noWrap/>
            <w:vAlign w:val="center"/>
          </w:tcPr>
          <w:p w14:paraId="4109FD2D">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报价包含设备费、综合布线及辅材费、运输费、上门安装调试费、保险费以及质保与上门售后服务等完成本项目所需的一切费用。此外，报价须包含LED显示屏整屏面积3%的备用模组，该备用模组须在项目验收时随同设备无偿移交采购人留存，用于后期维修更换，采购人不再另行支付任何费用。</w:t>
            </w:r>
          </w:p>
        </w:tc>
      </w:tr>
    </w:tbl>
    <w:p w14:paraId="03A23D98">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4C21A976">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0670307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①关于指定品牌：表格内“品牌”栏中以红色字体标注的内容为采购人指定的唯一品牌。报价人必须完全响应该品牌，严禁修改、替换或提供备选品牌。若报价人擅自修改或未按要求响应，将导致其投标被否决（或该项报价无效）。</w:t>
      </w:r>
    </w:p>
    <w:p w14:paraId="7BD8C1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_GB2312" w:eastAsia="仿宋_GB2312"/>
          <w:color w:val="FF0000"/>
          <w:kern w:val="2"/>
          <w:sz w:val="30"/>
          <w:szCs w:val="30"/>
          <w:highlight w:val="none"/>
          <w:lang w:val="en-US" w:eastAsia="zh-CN"/>
        </w:rPr>
        <w:t>②关于非指定品牌：表格内未以红色字体标注的产品，报价人可根据自身产品情况如实填写具体品牌。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5E4F92D7">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210C95F">
      <w:pPr>
        <w:pStyle w:val="2"/>
        <w:rPr>
          <w:rStyle w:val="21"/>
          <w:rFonts w:hint="eastAsia" w:ascii="仿宋" w:hAnsi="仿宋" w:eastAsia="仿宋" w:cs="仿宋"/>
          <w:sz w:val="30"/>
        </w:rPr>
      </w:pPr>
    </w:p>
    <w:p w14:paraId="6B9E8DB4">
      <w:pPr>
        <w:pStyle w:val="2"/>
        <w:rPr>
          <w:rStyle w:val="21"/>
          <w:rFonts w:hint="eastAsia" w:ascii="仿宋" w:hAnsi="仿宋" w:eastAsia="仿宋" w:cs="仿宋"/>
          <w:sz w:val="30"/>
        </w:rPr>
      </w:pPr>
    </w:p>
    <w:p w14:paraId="4A850D04">
      <w:pPr>
        <w:pStyle w:val="2"/>
        <w:rPr>
          <w:rStyle w:val="21"/>
          <w:rFonts w:hint="eastAsia" w:ascii="仿宋" w:hAnsi="仿宋" w:eastAsia="仿宋" w:cs="仿宋"/>
          <w:sz w:val="30"/>
        </w:rPr>
      </w:pPr>
    </w:p>
    <w:p w14:paraId="5C6C80CF">
      <w:pPr>
        <w:pStyle w:val="2"/>
        <w:rPr>
          <w:rStyle w:val="21"/>
          <w:rFonts w:hint="eastAsia" w:ascii="仿宋" w:hAnsi="仿宋" w:eastAsia="仿宋" w:cs="仿宋"/>
          <w:sz w:val="30"/>
        </w:rPr>
      </w:pPr>
    </w:p>
    <w:p w14:paraId="6CB6271A">
      <w:pPr>
        <w:pStyle w:val="2"/>
        <w:ind w:left="0" w:leftChars="0" w:firstLine="0" w:firstLineChars="0"/>
        <w:rPr>
          <w:rStyle w:val="21"/>
          <w:rFonts w:hint="eastAsia" w:ascii="仿宋" w:hAnsi="仿宋" w:eastAsia="仿宋" w:cs="仿宋"/>
          <w:sz w:val="30"/>
        </w:rPr>
      </w:pPr>
    </w:p>
    <w:p w14:paraId="70E55DE4">
      <w:pPr>
        <w:pStyle w:val="2"/>
        <w:ind w:left="0" w:leftChars="0" w:firstLine="0" w:firstLineChars="0"/>
        <w:rPr>
          <w:rStyle w:val="21"/>
          <w:rFonts w:hint="eastAsia" w:ascii="仿宋" w:hAnsi="仿宋" w:eastAsia="仿宋" w:cs="仿宋"/>
          <w:sz w:val="30"/>
        </w:rPr>
      </w:pPr>
    </w:p>
    <w:p w14:paraId="23B80399">
      <w:pPr>
        <w:pStyle w:val="2"/>
        <w:ind w:left="0" w:leftChars="0" w:firstLine="0" w:firstLineChars="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8" w:name="_Toc18885"/>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8"/>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会议室影音设备整体改造 </w:t>
      </w:r>
      <w:r>
        <w:rPr>
          <w:rFonts w:hint="eastAsia" w:ascii="仿宋" w:hAnsi="仿宋" w:eastAsia="仿宋" w:cs="仿宋"/>
          <w:sz w:val="30"/>
          <w:szCs w:val="30"/>
          <w:u w:val="none"/>
          <w:lang w:val="en-US" w:eastAsia="zh-CN"/>
        </w:rPr>
        <w:t>项目。</w:t>
      </w:r>
    </w:p>
    <w:tbl>
      <w:tblPr>
        <w:tblStyle w:val="13"/>
        <w:tblW w:w="5682" w:type="pct"/>
        <w:jc w:val="center"/>
        <w:tblLayout w:type="fixed"/>
        <w:tblCellMar>
          <w:top w:w="0" w:type="dxa"/>
          <w:left w:w="108" w:type="dxa"/>
          <w:bottom w:w="0" w:type="dxa"/>
          <w:right w:w="108" w:type="dxa"/>
        </w:tblCellMar>
      </w:tblPr>
      <w:tblGrid>
        <w:gridCol w:w="607"/>
        <w:gridCol w:w="1282"/>
        <w:gridCol w:w="4727"/>
        <w:gridCol w:w="587"/>
        <w:gridCol w:w="532"/>
        <w:gridCol w:w="872"/>
        <w:gridCol w:w="873"/>
        <w:gridCol w:w="1075"/>
      </w:tblGrid>
      <w:tr w14:paraId="22A2A00A">
        <w:tblPrEx>
          <w:tblCellMar>
            <w:top w:w="0" w:type="dxa"/>
            <w:left w:w="108" w:type="dxa"/>
            <w:bottom w:w="0" w:type="dxa"/>
            <w:right w:w="108" w:type="dxa"/>
          </w:tblCellMar>
        </w:tblPrEx>
        <w:trPr>
          <w:trHeight w:val="467"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C28EB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4C12AD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239" w:type="pct"/>
            <w:tcBorders>
              <w:top w:val="single" w:color="000000" w:sz="4" w:space="0"/>
              <w:left w:val="single" w:color="000000" w:sz="4" w:space="0"/>
              <w:bottom w:val="single" w:color="000000" w:sz="4" w:space="0"/>
              <w:right w:val="single" w:color="000000" w:sz="4" w:space="0"/>
            </w:tcBorders>
            <w:noWrap/>
            <w:vAlign w:val="center"/>
          </w:tcPr>
          <w:p w14:paraId="56D95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9EB89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7EEEF7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6A210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494508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757CA5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6243E509">
        <w:tblPrEx>
          <w:tblCellMar>
            <w:top w:w="0" w:type="dxa"/>
            <w:left w:w="108" w:type="dxa"/>
            <w:bottom w:w="0" w:type="dxa"/>
            <w:right w:w="108" w:type="dxa"/>
          </w:tblCellMar>
        </w:tblPrEx>
        <w:trPr>
          <w:trHeight w:val="5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2B6002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sz w:val="24"/>
                <w:szCs w:val="24"/>
                <w:highlight w:val="none"/>
                <w:u w:val="none"/>
                <w:lang w:val="en-US" w:eastAsia="zh-CN"/>
              </w:rPr>
              <w:t>电子桌牌</w:t>
            </w:r>
          </w:p>
        </w:tc>
      </w:tr>
      <w:tr w14:paraId="7A40CCF5">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ED897D5">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default" w:ascii="仿宋" w:hAnsi="仿宋" w:eastAsia="仿宋" w:cs="仿宋"/>
                <w:i w:val="0"/>
                <w:iCs w:val="0"/>
                <w:strike w:val="0"/>
                <w:dstrike w:val="0"/>
                <w:color w:val="000000"/>
                <w:kern w:val="0"/>
                <w:sz w:val="24"/>
                <w:szCs w:val="24"/>
                <w:lang w:val="en-US" w:eastAsia="zh-CN" w:bidi="ar"/>
              </w:rPr>
              <w:t>1</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6361D4EA">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电子桌牌</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5F07BBC9">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1.尺寸：7.4英寸双面墨水屏。</w:t>
            </w:r>
          </w:p>
          <w:p w14:paraId="3DDBB197">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2.功能：无线后台批量编辑姓名职务，支持手机扫码即改、批量秒发，支持蓝牙/NFC远程改字，双面异显，多模块自由切换。</w:t>
            </w:r>
          </w:p>
          <w:p w14:paraId="46D37BD6">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3.配套：配套管理软件、集中充电收纳盒。</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A27EF82">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4A5A720">
            <w:pPr>
              <w:keepNext w:val="0"/>
              <w:keepLines w:val="0"/>
              <w:widowControl/>
              <w:suppressLineNumbers w:val="0"/>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个</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C6F1A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979566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100DCED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7F4E2A6">
        <w:tblPrEx>
          <w:tblCellMar>
            <w:top w:w="0" w:type="dxa"/>
            <w:left w:w="108" w:type="dxa"/>
            <w:bottom w:w="0" w:type="dxa"/>
            <w:right w:w="108" w:type="dxa"/>
          </w:tblCellMar>
        </w:tblPrEx>
        <w:trPr>
          <w:trHeight w:val="5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2448D16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三楼会议室智慧大屏</w:t>
            </w:r>
          </w:p>
        </w:tc>
      </w:tr>
      <w:tr w14:paraId="1C600CBB">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60F1E43">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2</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44B1FF4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三楼会议室智慧大屏</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03C292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1.规格：120英寸4K防眩光商用液晶电视，Android系统，非拼接屏、非激光电视。</w:t>
            </w:r>
          </w:p>
          <w:p w14:paraId="0259F2D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2.硬件配置：16G运行内存，512G存储空间。</w:t>
            </w:r>
          </w:p>
          <w:p w14:paraId="0130787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3.接口：</w:t>
            </w:r>
          </w:p>
          <w:p w14:paraId="01499FE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-网络：标配有线网口（LAN），支持有线联网、后台管理。</w:t>
            </w:r>
          </w:p>
          <w:p w14:paraId="40DED15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-视频输入：标准HDMI、miniHDMI、DP接口。</w:t>
            </w:r>
          </w:p>
          <w:p w14:paraId="70EBF33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-拓展：Type-C接口（支持视频投屏、文件读取）。</w:t>
            </w:r>
          </w:p>
          <w:p w14:paraId="5720924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-USB：USB3.0、USB2.0接口，支持U盘/移动硬盘本地播放。</w:t>
            </w:r>
          </w:p>
          <w:p w14:paraId="482C218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-音频：同轴音频输出，可外接功放/音响。</w:t>
            </w:r>
          </w:p>
          <w:p w14:paraId="3E167C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4.功能：支持分屏、无线投屏、本地播放。</w:t>
            </w:r>
          </w:p>
          <w:p w14:paraId="39A571C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5.安装：支持壁挂安装，含安装配件。</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731686F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65800D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692A0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D7C34D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6BE5F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446ABB1">
        <w:tblPrEx>
          <w:tblCellMar>
            <w:top w:w="0" w:type="dxa"/>
            <w:left w:w="108" w:type="dxa"/>
            <w:bottom w:w="0" w:type="dxa"/>
            <w:right w:w="108" w:type="dxa"/>
          </w:tblCellMar>
        </w:tblPrEx>
        <w:trPr>
          <w:trHeight w:val="52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C6AEDE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ab/>
            </w:r>
            <w:r>
              <w:rPr>
                <w:rFonts w:hint="eastAsia" w:ascii="仿宋" w:hAnsi="仿宋" w:eastAsia="仿宋" w:cs="仿宋"/>
                <w:i w:val="0"/>
                <w:iCs w:val="0"/>
                <w:color w:val="000000"/>
                <w:kern w:val="0"/>
                <w:sz w:val="24"/>
                <w:szCs w:val="24"/>
                <w:u w:val="none"/>
                <w:lang w:val="en-US" w:eastAsia="zh-CN" w:bidi="ar"/>
              </w:rPr>
              <w:t>二楼会议室LED大屏</w:t>
            </w:r>
          </w:p>
        </w:tc>
      </w:tr>
      <w:tr w14:paraId="7CFCD3A7">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6E0EFDA">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3</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38E18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P1.5 LED显示屏</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3670DE5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1.像素：点间距≤1.538mm，密度≥422,500点/㎡。</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2.亮度/功耗：峰值亮度≥600cd/㎡，峰值功耗≤420W/㎡，平均功耗≤140W/㎡。</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3.控制：支持信源接入状态显示，可通过物理按键、客户端、遥控器、Web浏览器切换信源。</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4.监控：支持Web查看整墙概览、连线状态、接收卡规模及状态（高亮展示、网口号、工作状态等）；可查看接收卡序号、型号、软件版本、Link状态、电压、温度。</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5.护眼：符合GB/T 20145-2006标准，蓝光危害加权辐亮度值(LB)≤100W·m⁻²·sr⁻¹，2.8h内无视网膜蓝光伤害，属无危害类。</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6.认证：需提供首页具有CNAS及CMA标识的第三方检测报告复印件并加盖厂家公章。</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3B97C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701CB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93D75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4523B0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0119AA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利亚德、洲明、艾比森、强力巨彩</w:t>
            </w:r>
          </w:p>
        </w:tc>
      </w:tr>
      <w:tr w14:paraId="3333C774">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0CF2E47">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4</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659FA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LED钢结构框架</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17922E1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LED结构钢架，根据现场实际情况定制，符合国标要求。</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530B52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CE86A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平方米</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13459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6C99DFF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3153D1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068AB0F7">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0B2942D">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5</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23D7F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LED配电箱</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612CE3B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20KW PLC智能配电箱。</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2EBADB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65B200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196D3E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E794DA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FF42F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定制</w:t>
            </w:r>
          </w:p>
        </w:tc>
      </w:tr>
      <w:tr w14:paraId="25C9D766">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9D7539E">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6</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18450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数字影院解码器</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034D2E1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1.输出：10路输出，6个独立XLS平衡输出通道，4路RCA非平衡输出。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2.解码：全面支持DTS 5.1、DOLBY 5.1、HD、DTS解码。</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3.矩阵：3进1出2K HDMI矩阵系统，支持Dolby Vision™,HDR 10,HLG,WCG,扩展色域(sYCC601,Adobe RGB)。</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4.接口：配置光纤和同轴数字音频接口。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5.输入：2组立体声线路输入，2组TRS单通道输入，1组立体声音输出。</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6.DSP处理：每路输入输出均有独立DSP处理器，输入通道48段全数字参量均衡，输出通道30段全数字参量均衡；配置高通、低通、带通、延时、压限DSP处理器。</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7.控制/显示：全彩LCD显示屏，全中文交互式多层菜单；支持传统RS232中控控制。</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8.功能：不少于10个用户自定义场景模式；内置自动声反馈抑制器、噪声门、DSP数字效果器。</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6AF89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768C03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0B39EF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3A81450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4E6B9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chunqimei、湖山、JBL</w:t>
            </w:r>
          </w:p>
        </w:tc>
      </w:tr>
      <w:tr w14:paraId="2900F206">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F2BC797">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7</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1DF308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LED视频处理器</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0FA2F7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1.输入接口：≥3个HDMI2.0(4K)，≥1个DP1.2，≥4个HDMI1.3(2K)，≥1个USB2.0，≥1个CONSOLE，≥2个控制网口，≥2个RS485，≥1个LINE IN。</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2.输出接口：≥3个HDMI2.0 Loop，≥1个Line Out，≥20个带载网口，≥1个HDMI1.3(Monitor)，≥4个10G万兆光口，≥1个3D接口。</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3.其他接口：前端≥1个USB2.0，≥2路RS485。</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4.性能：支持HDMI2.0环通输出，最大分辨率4096×2160@60Hz。</w:t>
            </w:r>
            <w:r>
              <w:rPr>
                <w:rFonts w:hint="default" w:ascii="仿宋" w:hAnsi="仿宋" w:eastAsia="仿宋" w:cs="仿宋"/>
                <w:i w:val="0"/>
                <w:iCs w:val="0"/>
                <w:color w:val="000000"/>
                <w:kern w:val="0"/>
                <w:sz w:val="24"/>
                <w:szCs w:val="24"/>
                <w:u w:val="none"/>
                <w:lang w:val="en-US" w:eastAsia="zh-CN" w:bidi="ar"/>
              </w:rPr>
              <w:br w:type="textWrapping"/>
            </w:r>
            <w:r>
              <w:rPr>
                <w:rFonts w:hint="default" w:ascii="仿宋" w:hAnsi="仿宋" w:eastAsia="仿宋" w:cs="仿宋"/>
                <w:i w:val="0"/>
                <w:iCs w:val="0"/>
                <w:color w:val="000000"/>
                <w:kern w:val="0"/>
                <w:sz w:val="24"/>
                <w:szCs w:val="24"/>
                <w:u w:val="none"/>
                <w:lang w:val="en-US" w:eastAsia="zh-CN" w:bidi="ar"/>
              </w:rPr>
              <w:t>5.功能：支持护眼模式；支持Web端查看输入信号源及输出画面的实时网络预览。</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43B5D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400A0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22BD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CA048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7E2681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2A34B7">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53FB30D">
            <w:pPr>
              <w:keepNext w:val="0"/>
              <w:keepLines w:val="0"/>
              <w:pageBreakBefore w:val="0"/>
              <w:widowControl/>
              <w:numPr>
                <w:ilvl w:val="0"/>
                <w:numId w:val="0"/>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lang w:val="en-US" w:eastAsia="zh-CN" w:bidi="ar"/>
              </w:rPr>
              <w:t>8</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1F4C2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多媒体播控终端</w:t>
            </w:r>
          </w:p>
        </w:tc>
        <w:tc>
          <w:tcPr>
            <w:tcW w:w="2239" w:type="pct"/>
            <w:tcBorders>
              <w:top w:val="single" w:color="000000" w:sz="4" w:space="0"/>
              <w:left w:val="single" w:color="000000" w:sz="4" w:space="0"/>
              <w:bottom w:val="single" w:color="000000" w:sz="4" w:space="0"/>
              <w:right w:val="single" w:color="000000" w:sz="4" w:space="0"/>
            </w:tcBorders>
            <w:noWrap w:val="0"/>
            <w:vAlign w:val="center"/>
          </w:tcPr>
          <w:p w14:paraId="162C468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10核16线程/16GB内存/256G NVMe SSD/Quadro RTX A2000 12G显卡/500W电源/塔式机箱；具备有线和无线投屏功能。</w:t>
            </w:r>
          </w:p>
        </w:tc>
        <w:tc>
          <w:tcPr>
            <w:tcW w:w="278" w:type="pct"/>
            <w:tcBorders>
              <w:top w:val="single" w:color="000000" w:sz="4" w:space="0"/>
              <w:left w:val="single" w:color="000000" w:sz="4" w:space="0"/>
              <w:bottom w:val="single" w:color="000000" w:sz="4" w:space="0"/>
              <w:right w:val="single" w:color="000000" w:sz="4" w:space="0"/>
            </w:tcBorders>
            <w:noWrap w:val="0"/>
            <w:vAlign w:val="center"/>
          </w:tcPr>
          <w:p w14:paraId="0A5B7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14:paraId="188A3A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台</w:t>
            </w: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421698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0"/>
            <w:vAlign w:val="center"/>
          </w:tcPr>
          <w:p w14:paraId="51B74D5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59D462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联想、DELL、HP</w:t>
            </w:r>
          </w:p>
        </w:tc>
      </w:tr>
      <w:tr w14:paraId="4A2164CE">
        <w:tblPrEx>
          <w:tblCellMar>
            <w:top w:w="0" w:type="dxa"/>
            <w:left w:w="108" w:type="dxa"/>
            <w:bottom w:w="0" w:type="dxa"/>
            <w:right w:w="108" w:type="dxa"/>
          </w:tblCellMar>
        </w:tblPrEx>
        <w:trPr>
          <w:trHeight w:val="52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7B261B5">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仿宋" w:hAnsi="仿宋" w:eastAsia="仿宋" w:cs="仿宋"/>
                <w:i w:val="0"/>
                <w:iCs w:val="0"/>
                <w:strike w:val="0"/>
                <w:dstrike w:val="0"/>
                <w:color w:val="000000"/>
                <w:kern w:val="0"/>
                <w:sz w:val="24"/>
                <w:szCs w:val="24"/>
                <w:lang w:val="en-US" w:eastAsia="zh-CN" w:bidi="ar"/>
              </w:rPr>
            </w:pPr>
            <w:r>
              <w:rPr>
                <w:rFonts w:hint="eastAsia" w:ascii="仿宋" w:hAnsi="仿宋" w:eastAsia="仿宋" w:cs="仿宋"/>
                <w:i w:val="0"/>
                <w:iCs w:val="0"/>
                <w:strike w:val="0"/>
                <w:dstrike w:val="0"/>
                <w:color w:val="000000"/>
                <w:kern w:val="0"/>
                <w:sz w:val="24"/>
                <w:szCs w:val="24"/>
                <w:lang w:val="en-US" w:eastAsia="zh-CN" w:bidi="ar"/>
              </w:rPr>
              <w:t>备注</w:t>
            </w:r>
          </w:p>
        </w:tc>
        <w:tc>
          <w:tcPr>
            <w:tcW w:w="4712" w:type="pct"/>
            <w:gridSpan w:val="7"/>
            <w:tcBorders>
              <w:top w:val="single" w:color="000000" w:sz="4" w:space="0"/>
              <w:left w:val="single" w:color="000000" w:sz="4" w:space="0"/>
              <w:bottom w:val="single" w:color="000000" w:sz="4" w:space="0"/>
              <w:right w:val="single" w:color="000000" w:sz="4" w:space="0"/>
            </w:tcBorders>
            <w:noWrap/>
            <w:vAlign w:val="center"/>
          </w:tcPr>
          <w:p w14:paraId="77D07B66">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报价包含设备费、综合布线及辅材费、运输费、上门安装调试费、保险费以及质保与上门售后服务等完成本项目所需的一切费用。此外，报价须包含LED显示屏整屏面积3%的备用模组，该备用模组须在项目验收时随同设备无偿移交采购人留存，用于后期维修更换，采购人不再另行支付任何费用。</w:t>
            </w:r>
          </w:p>
        </w:tc>
      </w:tr>
    </w:tbl>
    <w:p w14:paraId="64C0631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并安装调试完成，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LED显示屏体：质保 3年（灯珠）/1年（整机）；其他设备：整机质保 1年），其履约保证金（合同价的5%）到时（验收合格后）自动转为质保金，质保金于质保期满且无未决质量争议后无息退</w:t>
      </w:r>
      <w:r>
        <w:rPr>
          <w:rFonts w:hint="eastAsia" w:ascii="仿宋" w:hAnsi="仿宋" w:eastAsia="仿宋" w:cs="仿宋"/>
          <w:sz w:val="30"/>
          <w:szCs w:val="30"/>
          <w:highlight w:val="none"/>
          <w:lang w:val="en-US" w:eastAsia="zh-CN"/>
        </w:rPr>
        <w:t>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目采购总金额限价人民币20.5</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2.该采购项目履约保证金为合同价的5%。服务方于合同签订前将履约保证金打入采购人指定账户。项目验收合格后，履约保证金转为质保金。质保期满后，采购人退还质保金（无息）。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预成交公示结束后，服务方在收到采购人拟订合同（所中标项</w:t>
      </w:r>
      <w:r>
        <w:rPr>
          <w:rFonts w:hint="eastAsia" w:ascii="仿宋" w:hAnsi="仿宋" w:eastAsia="仿宋" w:cs="仿宋"/>
          <w:color w:val="auto"/>
          <w:sz w:val="30"/>
          <w:szCs w:val="30"/>
          <w:lang w:val="en-US" w:eastAsia="zh-CN"/>
        </w:rPr>
        <w:t>目）电子版本后，确认无误并签署盖章，2天内邮寄给采购人。合同上的签订时间与采购人实际收到合同时间原则上不超过5天。否则视为服务方自动放弃，采购人有权解除合同。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3204121">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19" w:name="_Toc14352"/>
      <w:bookmarkStart w:id="20" w:name="_Toc108839328"/>
      <w:bookmarkStart w:id="21" w:name="_Toc10316567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19"/>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会议室影音设备整体改造 </w:t>
      </w:r>
      <w:r>
        <w:rPr>
          <w:rFonts w:hint="eastAsia" w:ascii="仿宋" w:hAnsi="仿宋" w:eastAsia="仿宋" w:cs="仿宋"/>
          <w:color w:val="auto"/>
          <w:sz w:val="30"/>
          <w:szCs w:val="30"/>
          <w:u w:val="none"/>
          <w:lang w:val="en-US" w:eastAsia="zh-CN"/>
        </w:rPr>
        <w:t>项目。</w:t>
      </w:r>
    </w:p>
    <w:tbl>
      <w:tblPr>
        <w:tblStyle w:val="13"/>
        <w:tblW w:w="5682" w:type="pct"/>
        <w:jc w:val="center"/>
        <w:tblLayout w:type="fixed"/>
        <w:tblCellMar>
          <w:top w:w="0" w:type="dxa"/>
          <w:left w:w="108" w:type="dxa"/>
          <w:bottom w:w="0" w:type="dxa"/>
          <w:right w:w="108" w:type="dxa"/>
        </w:tblCellMar>
      </w:tblPr>
      <w:tblGrid>
        <w:gridCol w:w="607"/>
        <w:gridCol w:w="1282"/>
        <w:gridCol w:w="4727"/>
        <w:gridCol w:w="587"/>
        <w:gridCol w:w="532"/>
        <w:gridCol w:w="872"/>
        <w:gridCol w:w="873"/>
        <w:gridCol w:w="1075"/>
      </w:tblGrid>
      <w:tr w14:paraId="71C67EC7">
        <w:tblPrEx>
          <w:tblCellMar>
            <w:top w:w="0" w:type="dxa"/>
            <w:left w:w="108" w:type="dxa"/>
            <w:bottom w:w="0" w:type="dxa"/>
            <w:right w:w="108" w:type="dxa"/>
          </w:tblCellMar>
        </w:tblPrEx>
        <w:trPr>
          <w:trHeight w:val="467"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96635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7C5D2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设备名称</w:t>
            </w:r>
          </w:p>
        </w:tc>
        <w:tc>
          <w:tcPr>
            <w:tcW w:w="2239" w:type="pct"/>
            <w:tcBorders>
              <w:top w:val="single" w:color="000000" w:sz="4" w:space="0"/>
              <w:left w:val="single" w:color="000000" w:sz="4" w:space="0"/>
              <w:bottom w:val="single" w:color="000000" w:sz="4" w:space="0"/>
              <w:right w:val="single" w:color="000000" w:sz="4" w:space="0"/>
            </w:tcBorders>
            <w:noWrap/>
            <w:vAlign w:val="center"/>
          </w:tcPr>
          <w:p w14:paraId="52BF2C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详细技术参数</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22733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03371D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A4A56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5C22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C4AF6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1CF0CC7">
        <w:tblPrEx>
          <w:tblCellMar>
            <w:top w:w="0" w:type="dxa"/>
            <w:left w:w="108" w:type="dxa"/>
            <w:bottom w:w="0" w:type="dxa"/>
            <w:right w:w="108" w:type="dxa"/>
          </w:tblCellMar>
        </w:tblPrEx>
        <w:trPr>
          <w:trHeight w:val="739"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F4A38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607" w:type="pct"/>
            <w:tcBorders>
              <w:top w:val="single" w:color="000000" w:sz="4" w:space="0"/>
              <w:left w:val="single" w:color="000000" w:sz="4" w:space="0"/>
              <w:bottom w:val="single" w:color="000000" w:sz="4" w:space="0"/>
              <w:right w:val="single" w:color="000000" w:sz="4" w:space="0"/>
            </w:tcBorders>
            <w:noWrap/>
            <w:vAlign w:val="center"/>
          </w:tcPr>
          <w:p w14:paraId="037440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2239" w:type="pct"/>
            <w:tcBorders>
              <w:top w:val="single" w:color="000000" w:sz="4" w:space="0"/>
              <w:left w:val="single" w:color="000000" w:sz="4" w:space="0"/>
              <w:bottom w:val="single" w:color="000000" w:sz="4" w:space="0"/>
              <w:right w:val="single" w:color="000000" w:sz="4" w:space="0"/>
            </w:tcBorders>
            <w:noWrap/>
            <w:vAlign w:val="center"/>
          </w:tcPr>
          <w:p w14:paraId="5FBF49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0348AA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534F3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2B11A5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noWrap/>
            <w:vAlign w:val="center"/>
          </w:tcPr>
          <w:p w14:paraId="723430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509" w:type="pct"/>
            <w:tcBorders>
              <w:top w:val="single" w:color="000000" w:sz="4" w:space="0"/>
              <w:left w:val="single" w:color="000000" w:sz="4" w:space="0"/>
              <w:bottom w:val="single" w:color="000000" w:sz="4" w:space="0"/>
              <w:right w:val="single" w:color="000000" w:sz="4" w:space="0"/>
            </w:tcBorders>
            <w:noWrap/>
            <w:vAlign w:val="center"/>
          </w:tcPr>
          <w:p w14:paraId="27D420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AF9A56A">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并安装调试完成，经由采购人验收合格后，服务方提供经双方确认的送货清单及等额、合法、有效的增值税专用发票，采购人自收到准确清单和发票且核对无误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三年质保（LED显示屏体：质保 3年（灯珠）/1年（整机）；其他设备：整机质保 1年），其履约保证金（合同价的5%）到时（验收合格后）自动转为质保金，质保金于质保期满且无未决质量争议后无息退</w:t>
      </w:r>
      <w:r>
        <w:rPr>
          <w:rFonts w:hint="eastAsia" w:ascii="仿宋" w:hAnsi="仿宋" w:eastAsia="仿宋" w:cs="仿宋"/>
          <w:color w:val="auto"/>
          <w:sz w:val="30"/>
          <w:szCs w:val="30"/>
          <w:highlight w:val="none"/>
          <w:lang w:val="en-US" w:eastAsia="zh-CN"/>
        </w:rPr>
        <w:t>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C163CDC">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20"/>
    <w:bookmarkEnd w:id="21"/>
    <w:p w14:paraId="6004A5C2">
      <w:pPr>
        <w:jc w:val="left"/>
        <w:outlineLvl w:val="0"/>
        <w:rPr>
          <w:rStyle w:val="21"/>
          <w:rFonts w:hint="eastAsia" w:ascii="仿宋" w:hAnsi="仿宋" w:eastAsia="仿宋" w:cs="仿宋"/>
          <w:sz w:val="30"/>
        </w:rPr>
      </w:pPr>
      <w:bookmarkStart w:id="22" w:name="_Toc28603"/>
      <w:r>
        <w:rPr>
          <w:rStyle w:val="21"/>
          <w:rFonts w:hint="eastAsia" w:ascii="仿宋" w:hAnsi="仿宋" w:eastAsia="仿宋" w:cs="仿宋"/>
          <w:sz w:val="30"/>
        </w:rPr>
        <w:t>附件</w:t>
      </w:r>
      <w:r>
        <w:rPr>
          <w:rStyle w:val="21"/>
          <w:rFonts w:hint="eastAsia" w:ascii="仿宋" w:hAnsi="仿宋" w:eastAsia="仿宋" w:cs="仿宋"/>
          <w:sz w:val="30"/>
          <w:lang w:val="en-US"/>
        </w:rPr>
        <w:t>四</w:t>
      </w:r>
      <w:r>
        <w:rPr>
          <w:rStyle w:val="21"/>
          <w:rFonts w:hint="eastAsia" w:ascii="仿宋" w:hAnsi="仿宋" w:eastAsia="仿宋" w:cs="仿宋"/>
          <w:sz w:val="30"/>
        </w:rPr>
        <w:t>：</w:t>
      </w:r>
      <w:bookmarkEnd w:id="22"/>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会议室影音设备整体改造项目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ADD0A"/>
    <w:multiLevelType w:val="singleLevel"/>
    <w:tmpl w:val="8ACADD0A"/>
    <w:lvl w:ilvl="0" w:tentative="0">
      <w:start w:val="1"/>
      <w:numFmt w:val="decimal"/>
      <w:suff w:val="nothing"/>
      <w:lvlText w:val="%1、"/>
      <w:lvlJc w:val="left"/>
    </w:lvl>
  </w:abstractNum>
  <w:abstractNum w:abstractNumId="1">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2">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5AF6242"/>
    <w:multiLevelType w:val="singleLevel"/>
    <w:tmpl w:val="05AF6242"/>
    <w:lvl w:ilvl="0" w:tentative="0">
      <w:start w:val="5"/>
      <w:numFmt w:val="chineseCounting"/>
      <w:suff w:val="space"/>
      <w:lvlText w:val="第%1条"/>
      <w:lvlJc w:val="left"/>
      <w:rPr>
        <w:rFonts w:hint="eastAsia"/>
      </w:rPr>
    </w:lvl>
  </w:abstractNum>
  <w:abstractNum w:abstractNumId="4">
    <w:nsid w:val="4CC8527C"/>
    <w:multiLevelType w:val="singleLevel"/>
    <w:tmpl w:val="4CC8527C"/>
    <w:lvl w:ilvl="0" w:tentative="0">
      <w:start w:val="6"/>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7619AC"/>
    <w:rsid w:val="02834D04"/>
    <w:rsid w:val="031428FF"/>
    <w:rsid w:val="038D5656"/>
    <w:rsid w:val="03F95A31"/>
    <w:rsid w:val="04531E45"/>
    <w:rsid w:val="04605697"/>
    <w:rsid w:val="04FD1ABF"/>
    <w:rsid w:val="056A79D6"/>
    <w:rsid w:val="05D22118"/>
    <w:rsid w:val="05D355DF"/>
    <w:rsid w:val="06057AB3"/>
    <w:rsid w:val="062B00FD"/>
    <w:rsid w:val="067A3460"/>
    <w:rsid w:val="076328DA"/>
    <w:rsid w:val="07A76692"/>
    <w:rsid w:val="08186607"/>
    <w:rsid w:val="083A3947"/>
    <w:rsid w:val="08F93082"/>
    <w:rsid w:val="093F2ABC"/>
    <w:rsid w:val="097479E0"/>
    <w:rsid w:val="09EF44EC"/>
    <w:rsid w:val="0A0C6ADD"/>
    <w:rsid w:val="0A32752C"/>
    <w:rsid w:val="0A9D29B8"/>
    <w:rsid w:val="0B2C6C02"/>
    <w:rsid w:val="0B8E6D39"/>
    <w:rsid w:val="0BC12699"/>
    <w:rsid w:val="0BCC31F9"/>
    <w:rsid w:val="0C5A16A4"/>
    <w:rsid w:val="0D0A0FCA"/>
    <w:rsid w:val="0DC35837"/>
    <w:rsid w:val="0DE61498"/>
    <w:rsid w:val="0E6109F4"/>
    <w:rsid w:val="110C39D4"/>
    <w:rsid w:val="1297576D"/>
    <w:rsid w:val="12BF4C87"/>
    <w:rsid w:val="12E70A09"/>
    <w:rsid w:val="1325794A"/>
    <w:rsid w:val="14715E69"/>
    <w:rsid w:val="15061C4B"/>
    <w:rsid w:val="15341747"/>
    <w:rsid w:val="164F6705"/>
    <w:rsid w:val="16646293"/>
    <w:rsid w:val="16A83419"/>
    <w:rsid w:val="16FE5921"/>
    <w:rsid w:val="17B042A1"/>
    <w:rsid w:val="187568F0"/>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AD6C0F"/>
    <w:rsid w:val="23D12305"/>
    <w:rsid w:val="24130D0C"/>
    <w:rsid w:val="259E2C64"/>
    <w:rsid w:val="25F323AF"/>
    <w:rsid w:val="26F76768"/>
    <w:rsid w:val="27AC61A6"/>
    <w:rsid w:val="27FE02E6"/>
    <w:rsid w:val="28C57566"/>
    <w:rsid w:val="29084622"/>
    <w:rsid w:val="29F704EF"/>
    <w:rsid w:val="2A0049E3"/>
    <w:rsid w:val="2AC220DE"/>
    <w:rsid w:val="2ADB5E21"/>
    <w:rsid w:val="2ADF08BA"/>
    <w:rsid w:val="2B603075"/>
    <w:rsid w:val="2C305EB2"/>
    <w:rsid w:val="2C4666C4"/>
    <w:rsid w:val="2C980D1B"/>
    <w:rsid w:val="2CD9238D"/>
    <w:rsid w:val="2D023CA7"/>
    <w:rsid w:val="2E003054"/>
    <w:rsid w:val="2E255A7A"/>
    <w:rsid w:val="2E2E1209"/>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94025"/>
    <w:rsid w:val="36ED02B2"/>
    <w:rsid w:val="37DB73A7"/>
    <w:rsid w:val="385E093C"/>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376107"/>
    <w:rsid w:val="42D57A4D"/>
    <w:rsid w:val="436A096E"/>
    <w:rsid w:val="43A970E7"/>
    <w:rsid w:val="43BA0460"/>
    <w:rsid w:val="44322CE6"/>
    <w:rsid w:val="44544A76"/>
    <w:rsid w:val="449544C5"/>
    <w:rsid w:val="44A55070"/>
    <w:rsid w:val="45530393"/>
    <w:rsid w:val="45B33A8F"/>
    <w:rsid w:val="469F7AF8"/>
    <w:rsid w:val="475812CD"/>
    <w:rsid w:val="475D1115"/>
    <w:rsid w:val="478F3581"/>
    <w:rsid w:val="47B96D86"/>
    <w:rsid w:val="47D615F1"/>
    <w:rsid w:val="47D93555"/>
    <w:rsid w:val="48034DA7"/>
    <w:rsid w:val="486F4BB5"/>
    <w:rsid w:val="48A60514"/>
    <w:rsid w:val="48DA44A2"/>
    <w:rsid w:val="48E14418"/>
    <w:rsid w:val="490432DC"/>
    <w:rsid w:val="491635D4"/>
    <w:rsid w:val="49E7480F"/>
    <w:rsid w:val="4AE97537"/>
    <w:rsid w:val="4AF173EE"/>
    <w:rsid w:val="4B0D618C"/>
    <w:rsid w:val="4C2F1B9C"/>
    <w:rsid w:val="4C870D35"/>
    <w:rsid w:val="4D2832EB"/>
    <w:rsid w:val="4DB81983"/>
    <w:rsid w:val="4DF21BF8"/>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B3710B2"/>
    <w:rsid w:val="5B5E63DA"/>
    <w:rsid w:val="5CF528AB"/>
    <w:rsid w:val="5D132301"/>
    <w:rsid w:val="5E970206"/>
    <w:rsid w:val="5ED1360A"/>
    <w:rsid w:val="5F1E1E73"/>
    <w:rsid w:val="612A3DEE"/>
    <w:rsid w:val="614D7B82"/>
    <w:rsid w:val="62B67083"/>
    <w:rsid w:val="64787E17"/>
    <w:rsid w:val="649C599A"/>
    <w:rsid w:val="66B027B6"/>
    <w:rsid w:val="671A2875"/>
    <w:rsid w:val="67241B0B"/>
    <w:rsid w:val="67966EFB"/>
    <w:rsid w:val="67B628F5"/>
    <w:rsid w:val="682119CD"/>
    <w:rsid w:val="69A94E0C"/>
    <w:rsid w:val="6B656B47"/>
    <w:rsid w:val="6B7E1643"/>
    <w:rsid w:val="6C714475"/>
    <w:rsid w:val="6CDB032D"/>
    <w:rsid w:val="6D5149A0"/>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640EC3"/>
    <w:rsid w:val="7A7B08FF"/>
    <w:rsid w:val="7AE21E9E"/>
    <w:rsid w:val="7B027F4F"/>
    <w:rsid w:val="7B09318D"/>
    <w:rsid w:val="7B6004E6"/>
    <w:rsid w:val="7BA8275E"/>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14069</Words>
  <Characters>15537</Characters>
  <Lines>53</Lines>
  <Paragraphs>15</Paragraphs>
  <TotalTime>31</TotalTime>
  <ScaleCrop>false</ScaleCrop>
  <LinksUpToDate>false</LinksUpToDate>
  <CharactersWithSpaces>16908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2026-07-17T06:39:36Z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01D60BCA3433468BA9616D687F558C41_13</vt:lpwstr>
  </property>
  <property fmtid="{D5CDD505-2E9C-101B-9397-08002B2CF9AE}" pid="4" name="KSOTemplateDocerSaveRecord">
    <vt:lpwstr>eyJoZGlkIjoiZDU5ZmYzODUyNjg1MTM3NmE2OTBjZTA2MmE1ZDJlMDUiLCJ1c2VySWQiOiI0MTkyNjk4ODkifQ==</vt:lpwstr>
  </property>
</Properties>
</file>