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highlight w:val="none"/>
        </w:rPr>
      </w:pPr>
      <w:bookmarkStart w:id="0" w:name="_Toc16818"/>
      <w:r>
        <w:rPr>
          <w:rFonts w:hint="eastAsia" w:ascii="仿宋_GB2312" w:hAnsi="宋体" w:eastAsia="仿宋_GB2312"/>
          <w:b/>
          <w:sz w:val="52"/>
          <w:szCs w:val="52"/>
          <w:highlight w:val="none"/>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2026-2027CEMS系统比对项目</w:t>
      </w:r>
    </w:p>
    <w:p w14:paraId="659FFE53">
      <w:pPr>
        <w:jc w:val="center"/>
        <w:rPr>
          <w:rFonts w:hint="eastAsia" w:ascii="仿宋_GB2312" w:hAnsi="宋体" w:eastAsia="仿宋_GB2312"/>
          <w:b/>
          <w:sz w:val="52"/>
          <w:szCs w:val="52"/>
          <w:lang w:eastAsia="zh-CN"/>
        </w:rPr>
      </w:pPr>
      <w:r>
        <w:rPr>
          <w:rFonts w:hint="eastAsia" w:ascii="仿宋_GB2312" w:hAnsi="宋体" w:eastAsia="仿宋_GB2312"/>
          <w:b/>
          <w:sz w:val="52"/>
          <w:szCs w:val="52"/>
          <w:lang w:eastAsia="zh-CN"/>
        </w:rPr>
        <w:t>挂网</w:t>
      </w:r>
      <w:r>
        <w:rPr>
          <w:rFonts w:hint="eastAsia" w:ascii="仿宋_GB2312" w:hAnsi="宋体" w:eastAsia="仿宋_GB2312"/>
          <w:b/>
          <w:sz w:val="52"/>
          <w:szCs w:val="52"/>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SX-ZH-BD-</w:t>
      </w:r>
      <w:bookmarkEnd w:id="1"/>
      <w:r>
        <w:rPr>
          <w:rFonts w:hint="eastAsia" w:ascii="仿宋" w:hAnsi="仿宋" w:eastAsia="仿宋" w:cs="仿宋"/>
          <w:sz w:val="32"/>
          <w:szCs w:val="32"/>
          <w:highlight w:val="none"/>
          <w:u w:val="single"/>
          <w:lang w:val="en-US" w:eastAsia="zh-CN"/>
        </w:rPr>
        <w:t xml:space="preserve">2605018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2026-2027CEMS系统比对项目</w:t>
      </w:r>
    </w:p>
    <w:p w14:paraId="619BC30A">
      <w:pPr>
        <w:rPr>
          <w:rFonts w:hint="eastAsia" w:ascii="仿宋" w:hAnsi="仿宋" w:eastAsia="仿宋" w:cs="仿宋"/>
          <w:sz w:val="84"/>
        </w:rPr>
      </w:pPr>
    </w:p>
    <w:p w14:paraId="379DFA08">
      <w:pPr>
        <w:rPr>
          <w:rFonts w:hint="eastAsia" w:ascii="仿宋" w:hAnsi="仿宋" w:eastAsia="仿宋" w:cs="仿宋"/>
          <w:sz w:val="84"/>
          <w:highlight w:val="none"/>
        </w:rPr>
      </w:pPr>
    </w:p>
    <w:p w14:paraId="5CEDDC98">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highlight w:val="none"/>
          <w:lang w:eastAsia="zh-CN"/>
        </w:rPr>
        <w:t>二〇二六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486168C0">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_Toc16818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_Toc16818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92DC4BC">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_Toc8303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_Toc8303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421089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_Toc14760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8</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3D728F3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_Toc1501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_Toc1501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14848B5">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_Toc28946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 xml:space="preserve">第四部分 </w:t>
      </w:r>
      <w:r>
        <w:rPr>
          <w:rFonts w:hint="eastAsia" w:eastAsia="仿宋" w:cs="Times New Roman"/>
          <w:b w:val="0"/>
          <w:bCs/>
          <w:sz w:val="32"/>
          <w:szCs w:val="32"/>
          <w:lang w:val="en-US" w:eastAsia="zh-CN"/>
        </w:rPr>
        <w:t xml:space="preserve">  </w:t>
      </w:r>
      <w:r>
        <w:rPr>
          <w:rFonts w:hint="eastAsia" w:ascii="Times New Roman" w:hAnsi="Times New Roman" w:eastAsia="仿宋" w:cs="Times New Roman"/>
          <w:b w:val="0"/>
          <w:bCs/>
          <w:sz w:val="32"/>
          <w:szCs w:val="32"/>
          <w:lang w:val="en-US" w:eastAsia="zh-CN"/>
        </w:rPr>
        <w:t>合同主要条款</w:t>
      </w:r>
      <w:r>
        <w:rPr>
          <w:rFonts w:hint="eastAsia" w:eastAsia="仿宋" w:cs="Times New Roman"/>
          <w:b w:val="0"/>
          <w:bCs/>
          <w:sz w:val="32"/>
          <w:szCs w:val="32"/>
          <w:lang w:val="en-US" w:eastAsia="zh-CN"/>
        </w:rPr>
        <w:t>（供参考）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_Toc28946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772432F2">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_Toc14763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_Toc14763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084840C8">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_Toc5159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第</w:t>
      </w:r>
      <w:r>
        <w:rPr>
          <w:rFonts w:hint="eastAsia" w:ascii="Times New Roman" w:hAnsi="Times New Roman" w:eastAsia="仿宋" w:cs="Times New Roman"/>
          <w:b w:val="0"/>
          <w:bCs/>
          <w:sz w:val="32"/>
          <w:szCs w:val="32"/>
          <w:lang w:eastAsia="zh-CN"/>
        </w:rPr>
        <w:t>五</w:t>
      </w:r>
      <w:r>
        <w:rPr>
          <w:rFonts w:hint="eastAsia" w:ascii="Times New Roman" w:hAnsi="Times New Roman" w:eastAsia="仿宋" w:cs="Times New Roman"/>
          <w:b w:val="0"/>
          <w:bCs/>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_Toc5159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8295AB1">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_Toc12044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_Toc12044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6D6DE66D">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_Toc18885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二</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_Toc18885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266B6277">
      <w:pPr>
        <w:pStyle w:val="10"/>
        <w:tabs>
          <w:tab w:val="right" w:leader="dot" w:pos="9072"/>
        </w:tabs>
        <w:rPr>
          <w:rFonts w:hint="eastAsia"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_Toc14352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三</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_Toc14352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1D38388A">
      <w:pPr>
        <w:pStyle w:val="10"/>
        <w:tabs>
          <w:tab w:val="right" w:leader="dot" w:pos="9072"/>
        </w:tabs>
        <w:rPr>
          <w:rFonts w:hint="default" w:ascii="Times New Roman" w:hAnsi="Times New Roman" w:eastAsia="仿宋" w:cs="Times New Roman"/>
          <w:b w:val="0"/>
          <w:bCs/>
          <w:sz w:val="32"/>
          <w:szCs w:val="32"/>
        </w:rPr>
      </w:pP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HYPERLINK \l _Toc28603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附件</w:t>
      </w:r>
      <w:r>
        <w:rPr>
          <w:rFonts w:hint="eastAsia" w:ascii="Times New Roman" w:hAnsi="Times New Roman" w:eastAsia="仿宋" w:cs="Times New Roman"/>
          <w:b w:val="0"/>
          <w:bCs/>
          <w:sz w:val="32"/>
          <w:szCs w:val="32"/>
          <w:lang w:val="en-US"/>
        </w:rPr>
        <w:t>四</w:t>
      </w:r>
      <w:r>
        <w:rPr>
          <w:rFonts w:hint="eastAsia" w:ascii="Times New Roman" w:hAnsi="Times New Roman" w:eastAsia="仿宋" w:cs="Times New Roman"/>
          <w:b w:val="0"/>
          <w:bCs/>
          <w:sz w:val="32"/>
          <w:szCs w:val="32"/>
        </w:rPr>
        <w:t>：</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_Toc28603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Times New Roman" w:hAnsi="Times New Roman" w:eastAsia="仿宋" w:cs="Times New Roman"/>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8303"/>
      <w:bookmarkStart w:id="5" w:name="_Toc530583921"/>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5F7BE8C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val="en-US" w:eastAsia="zh-CN"/>
        </w:rPr>
        <w:t>对2026-2027 CEMS系统比对项目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w:t>
      </w:r>
      <w:r>
        <w:rPr>
          <w:rFonts w:hint="eastAsia" w:ascii="仿宋" w:hAnsi="仿宋" w:eastAsia="仿宋" w:cs="仿宋"/>
          <w:sz w:val="30"/>
          <w:szCs w:val="30"/>
          <w:lang w:eastAsia="zh-CN"/>
        </w:rPr>
        <w:t>（以下简称“报价人”）</w:t>
      </w:r>
      <w:r>
        <w:rPr>
          <w:rFonts w:hint="eastAsia" w:ascii="仿宋" w:hAnsi="仿宋" w:eastAsia="仿宋" w:cs="仿宋"/>
          <w:sz w:val="30"/>
          <w:szCs w:val="30"/>
        </w:rPr>
        <w:t>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SX-ZH-BD-2605018  </w:t>
      </w:r>
    </w:p>
    <w:p w14:paraId="571EEE0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2.内容：</w:t>
      </w:r>
    </w:p>
    <w:tbl>
      <w:tblPr>
        <w:tblStyle w:val="13"/>
        <w:tblW w:w="4329" w:type="pct"/>
        <w:jc w:val="center"/>
        <w:tblLayout w:type="fixed"/>
        <w:tblCellMar>
          <w:top w:w="0" w:type="dxa"/>
          <w:left w:w="108" w:type="dxa"/>
          <w:bottom w:w="0" w:type="dxa"/>
          <w:right w:w="108" w:type="dxa"/>
        </w:tblCellMar>
      </w:tblPr>
      <w:tblGrid>
        <w:gridCol w:w="435"/>
        <w:gridCol w:w="2147"/>
        <w:gridCol w:w="1613"/>
        <w:gridCol w:w="1362"/>
        <w:gridCol w:w="1308"/>
        <w:gridCol w:w="1177"/>
      </w:tblGrid>
      <w:tr w14:paraId="5847A9FC">
        <w:trPr>
          <w:trHeight w:val="467"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7C645A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47" w:type="dxa"/>
            <w:tcBorders>
              <w:top w:val="single" w:color="000000" w:sz="4" w:space="0"/>
              <w:left w:val="single" w:color="000000" w:sz="4" w:space="0"/>
              <w:bottom w:val="single" w:color="000000" w:sz="4" w:space="0"/>
              <w:right w:val="single" w:color="000000" w:sz="4" w:space="0"/>
            </w:tcBorders>
            <w:noWrap/>
            <w:vAlign w:val="center"/>
          </w:tcPr>
          <w:p w14:paraId="6A487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检测因子名称</w:t>
            </w:r>
          </w:p>
        </w:tc>
        <w:tc>
          <w:tcPr>
            <w:tcW w:w="1613" w:type="dxa"/>
            <w:tcBorders>
              <w:top w:val="single" w:color="000000" w:sz="4" w:space="0"/>
              <w:left w:val="single" w:color="000000" w:sz="4" w:space="0"/>
              <w:bottom w:val="single" w:color="000000" w:sz="4" w:space="0"/>
              <w:right w:val="single" w:color="000000" w:sz="4" w:space="0"/>
            </w:tcBorders>
            <w:noWrap/>
            <w:vAlign w:val="center"/>
          </w:tcPr>
          <w:p w14:paraId="546F073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1362" w:type="dxa"/>
            <w:tcBorders>
              <w:top w:val="single" w:color="000000" w:sz="4" w:space="0"/>
              <w:left w:val="single" w:color="000000" w:sz="4" w:space="0"/>
              <w:bottom w:val="single" w:color="000000" w:sz="4" w:space="0"/>
              <w:right w:val="single" w:color="000000" w:sz="4" w:space="0"/>
            </w:tcBorders>
            <w:noWrap/>
            <w:vAlign w:val="center"/>
          </w:tcPr>
          <w:p w14:paraId="69703F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单次检测频次</w:t>
            </w:r>
          </w:p>
        </w:tc>
        <w:tc>
          <w:tcPr>
            <w:tcW w:w="1308" w:type="dxa"/>
            <w:tcBorders>
              <w:top w:val="single" w:color="000000" w:sz="4" w:space="0"/>
              <w:left w:val="single" w:color="000000" w:sz="4" w:space="0"/>
              <w:bottom w:val="single" w:color="000000" w:sz="4" w:space="0"/>
              <w:right w:val="single" w:color="000000" w:sz="4" w:space="0"/>
            </w:tcBorders>
            <w:noWrap/>
            <w:vAlign w:val="center"/>
          </w:tcPr>
          <w:p w14:paraId="02E178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1177" w:type="dxa"/>
            <w:tcBorders>
              <w:top w:val="single" w:color="000000" w:sz="4" w:space="0"/>
              <w:left w:val="single" w:color="000000" w:sz="4" w:space="0"/>
              <w:bottom w:val="single" w:color="000000" w:sz="4" w:space="0"/>
              <w:right w:val="single" w:color="000000" w:sz="4" w:space="0"/>
            </w:tcBorders>
            <w:noWrap/>
            <w:vAlign w:val="center"/>
          </w:tcPr>
          <w:p w14:paraId="35B7EE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总样品数量</w:t>
            </w:r>
          </w:p>
        </w:tc>
      </w:tr>
      <w:tr w14:paraId="06F28791">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14ECB0D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6C6CFDD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43647C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F47270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5A8AF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A485BF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w:t>
            </w:r>
          </w:p>
        </w:tc>
      </w:tr>
      <w:tr w14:paraId="4751852C">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18CD3C4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CDC6F3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氮氧化物</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57851F2">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21301A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AFD5AE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D9E44D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367C324A">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1A6A452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048D3C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二氧化硫</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7B29A1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E96EB8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00923F0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6573F2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700AC729">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45603F1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615681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氯化氢</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03F2FC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B32387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E27558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8E9E83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2E6D15A8">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76D3564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441A5D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一氧化碳</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6A72E7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62F13EB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248933F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3415AF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r w14:paraId="665F523C">
        <w:tblPrEx>
          <w:tblCellMar>
            <w:top w:w="0" w:type="dxa"/>
            <w:left w:w="108" w:type="dxa"/>
            <w:bottom w:w="0" w:type="dxa"/>
            <w:right w:w="108" w:type="dxa"/>
          </w:tblCellMar>
        </w:tblPrEx>
        <w:trPr>
          <w:trHeight w:val="532" w:hRule="atLeast"/>
          <w:jc w:val="center"/>
        </w:trPr>
        <w:tc>
          <w:tcPr>
            <w:tcW w:w="435" w:type="dxa"/>
            <w:tcBorders>
              <w:top w:val="single" w:color="000000" w:sz="4" w:space="0"/>
              <w:left w:val="single" w:color="000000" w:sz="4" w:space="0"/>
              <w:bottom w:val="single" w:color="000000" w:sz="4" w:space="0"/>
              <w:right w:val="single" w:color="000000" w:sz="4" w:space="0"/>
            </w:tcBorders>
            <w:noWrap/>
            <w:vAlign w:val="center"/>
          </w:tcPr>
          <w:p w14:paraId="29FE667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7523142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含氧量、</w:t>
            </w:r>
            <w:r>
              <w:rPr>
                <w:rFonts w:hint="eastAsia" w:ascii="仿宋" w:hAnsi="仿宋" w:eastAsia="仿宋" w:cs="仿宋"/>
                <w:i w:val="0"/>
                <w:iCs w:val="0"/>
                <w:color w:val="000000"/>
                <w:sz w:val="24"/>
                <w:szCs w:val="24"/>
                <w:highlight w:val="none"/>
                <w:u w:val="none"/>
                <w:lang w:eastAsia="zh-CN"/>
              </w:rPr>
              <w:t>烟气湿度、烟气流速、烟气温度</w:t>
            </w:r>
          </w:p>
        </w:tc>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82C104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5E0192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14:paraId="53EA637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9992A2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r>
    </w:tbl>
    <w:p w14:paraId="146E4AD5">
      <w:pPr>
        <w:rPr>
          <w:rFonts w:hint="eastAsia"/>
        </w:rPr>
      </w:pPr>
    </w:p>
    <w:p w14:paraId="2BD289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3.技术要求及工作量：</w:t>
      </w:r>
    </w:p>
    <w:p w14:paraId="31B2D4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：根据《固定污染源烟气（SO2、NOx、颗粒物）排放连续监测技术规范》HJ 75-2017等技术规范的要求，进行样品预处理及分析测试，并在每次比对完成后的15个工作日内向采购人出具生态环境局认可的校验比对报告文件，由采购人对服务成果验收。</w:t>
      </w:r>
    </w:p>
    <w:p w14:paraId="449A3E62">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根据现场生产周期安排，赴现场采样，每间隔90天内比对一次，每次比对三台炉，共计四次，具体时间以采购人通知为准。</w:t>
      </w:r>
    </w:p>
    <w:p w14:paraId="6D05D6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none"/>
          <w:lang w:val="en-US" w:eastAsia="zh-CN" w:bidi="ar-SA"/>
        </w:rPr>
      </w:pPr>
      <w:r>
        <w:rPr>
          <w:rFonts w:hint="eastAsia" w:ascii="仿宋" w:hAnsi="仿宋" w:eastAsia="仿宋" w:cs="仿宋"/>
          <w:kern w:val="2"/>
          <w:sz w:val="30"/>
          <w:szCs w:val="30"/>
          <w:u w:val="none"/>
          <w:lang w:val="en-US" w:eastAsia="zh-CN" w:bidi="ar-SA"/>
        </w:rPr>
        <w:t>检测因子：</w:t>
      </w:r>
    </w:p>
    <w:p w14:paraId="27E08E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u w:val="single"/>
          <w:lang w:val="en-US" w:eastAsia="zh-CN" w:bidi="ar-SA"/>
        </w:rPr>
      </w:pPr>
      <w:r>
        <w:rPr>
          <w:rFonts w:hint="eastAsia" w:ascii="仿宋" w:hAnsi="仿宋" w:eastAsia="仿宋" w:cs="仿宋"/>
          <w:kern w:val="2"/>
          <w:sz w:val="30"/>
          <w:szCs w:val="30"/>
          <w:u w:val="none"/>
          <w:lang w:val="en-US" w:eastAsia="zh-CN" w:bidi="ar-SA"/>
        </w:rPr>
        <w:t>SO2（傅里叶）、NO2（傅里叶）、O2、HCL（傅里叶）、CO（傅里叶）、颗粒物（低浓度）、烟气湿度、烟气流速、烟气温度。</w:t>
      </w:r>
    </w:p>
    <w:p w14:paraId="1F244A8B">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tbl>
      <w:tblPr>
        <w:tblStyle w:val="13"/>
        <w:tblW w:w="11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685"/>
        <w:gridCol w:w="7964"/>
      </w:tblGrid>
      <w:tr w14:paraId="3C5A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blHeader/>
          <w:jc w:val="center"/>
        </w:trPr>
        <w:tc>
          <w:tcPr>
            <w:tcW w:w="1493" w:type="dxa"/>
            <w:vAlign w:val="center"/>
          </w:tcPr>
          <w:p w14:paraId="21BC9BE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 w:hAnsi="仿宋" w:eastAsia="仿宋" w:cs="仿宋"/>
                <w:sz w:val="30"/>
                <w:szCs w:val="30"/>
              </w:rPr>
            </w:pPr>
            <w:r>
              <w:rPr>
                <w:rFonts w:hint="eastAsia" w:ascii="仿宋" w:hAnsi="仿宋" w:eastAsia="仿宋" w:cs="仿宋"/>
                <w:sz w:val="30"/>
                <w:szCs w:val="30"/>
              </w:rPr>
              <w:t>检测项目</w:t>
            </w:r>
          </w:p>
        </w:tc>
        <w:tc>
          <w:tcPr>
            <w:tcW w:w="1685" w:type="dxa"/>
            <w:vAlign w:val="center"/>
          </w:tcPr>
          <w:p w14:paraId="15583F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依据</w:t>
            </w:r>
          </w:p>
        </w:tc>
        <w:tc>
          <w:tcPr>
            <w:tcW w:w="7964" w:type="dxa"/>
            <w:vAlign w:val="center"/>
          </w:tcPr>
          <w:p w14:paraId="699E32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技术要求</w:t>
            </w:r>
          </w:p>
        </w:tc>
      </w:tr>
      <w:tr w14:paraId="52C7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654BE819">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SO2</w:t>
            </w:r>
          </w:p>
        </w:tc>
        <w:tc>
          <w:tcPr>
            <w:tcW w:w="1685" w:type="dxa"/>
            <w:vMerge w:val="restart"/>
            <w:vAlign w:val="center"/>
          </w:tcPr>
          <w:p w14:paraId="00E142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中华人民共和国国家环境保护标准</w:t>
            </w:r>
          </w:p>
          <w:p w14:paraId="400D3E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FE58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排放浓度≥250μmol/mol（715mg/m3）时，相对准确度≤15%</w:t>
            </w:r>
          </w:p>
        </w:tc>
      </w:tr>
      <w:tr w14:paraId="05DA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continue"/>
            <w:vAlign w:val="center"/>
          </w:tcPr>
          <w:p w14:paraId="09029AC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62C11306">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CFECEE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50μmol/mol（143mg/m3）≤排放浓度&lt;250μmol/mol（715mg/m3）时，绝对误差不超过±20μmol/mol（57mg/m3）</w:t>
            </w:r>
          </w:p>
        </w:tc>
      </w:tr>
      <w:tr w14:paraId="2181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23799D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780DFA4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726233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20μmol/mol（57mg/m3）≤排放浓度&lt;50μmol/mol（143mg/m3）时，相对误差不超过±30%</w:t>
            </w:r>
          </w:p>
        </w:tc>
      </w:tr>
      <w:tr w14:paraId="6E67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1493" w:type="dxa"/>
            <w:vMerge w:val="continue"/>
            <w:vAlign w:val="center"/>
          </w:tcPr>
          <w:p w14:paraId="275245D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4321D5B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6EF8C0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排放浓度&lt;20μmol/mol（57mg/m3）时，绝对误差不超过±6μmol/mol（17mg/m3）</w:t>
            </w:r>
          </w:p>
        </w:tc>
      </w:tr>
      <w:tr w14:paraId="63BB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restart"/>
            <w:vAlign w:val="center"/>
          </w:tcPr>
          <w:p w14:paraId="24AD3F1C">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NOx</w:t>
            </w:r>
          </w:p>
        </w:tc>
        <w:tc>
          <w:tcPr>
            <w:tcW w:w="1685" w:type="dxa"/>
            <w:vMerge w:val="restart"/>
            <w:vAlign w:val="center"/>
          </w:tcPr>
          <w:p w14:paraId="5B5A3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AE5F1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排放浓度≥250μmol/mol（513mg/m3）时，相对准确度≤15%</w:t>
            </w:r>
          </w:p>
        </w:tc>
      </w:tr>
      <w:tr w14:paraId="06B7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081BDBA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07E5C36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345B151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50μmol/mol（103mg/m3）≤排放浓度&lt;250μmol/mol（513mg/m3）时，绝对误差不超过±20μmol/mol（41mg/m3）</w:t>
            </w:r>
          </w:p>
        </w:tc>
      </w:tr>
      <w:tr w14:paraId="2365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1852207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322638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C270D6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20μmol/mol（41mg/m3）≤排放浓度&lt;50μmol/mol（103mg/m3）时，相对误差不超过±30%</w:t>
            </w:r>
          </w:p>
        </w:tc>
      </w:tr>
      <w:tr w14:paraId="6F00C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5A7061A7">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635B6272">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F640E4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排放浓度&lt;20μmol/mol（41mg/m3）时，绝对误差不超过±6μmol/mol（12mg/m3）</w:t>
            </w:r>
          </w:p>
        </w:tc>
      </w:tr>
      <w:tr w14:paraId="25C5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restart"/>
            <w:vAlign w:val="center"/>
          </w:tcPr>
          <w:p w14:paraId="1FA0AB62">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default" w:ascii="仿宋" w:hAnsi="仿宋" w:eastAsia="仿宋" w:cs="仿宋"/>
                <w:sz w:val="30"/>
                <w:szCs w:val="30"/>
                <w:vertAlign w:val="baseline"/>
                <w:lang w:val="en-US" w:eastAsia="zh-CN"/>
              </w:rPr>
            </w:pPr>
            <w:r>
              <w:rPr>
                <w:rFonts w:hint="eastAsia" w:ascii="仿宋" w:hAnsi="仿宋" w:eastAsia="仿宋" w:cs="仿宋"/>
                <w:sz w:val="30"/>
                <w:szCs w:val="30"/>
                <w:vertAlign w:val="baseline"/>
                <w:lang w:val="en-US" w:eastAsia="zh-CN"/>
              </w:rPr>
              <w:t>O</w:t>
            </w:r>
            <w:r>
              <w:rPr>
                <w:rFonts w:hint="eastAsia" w:ascii="仿宋" w:hAnsi="仿宋" w:eastAsia="仿宋" w:cs="仿宋"/>
                <w:sz w:val="30"/>
                <w:szCs w:val="30"/>
                <w:vertAlign w:val="subscript"/>
                <w:lang w:val="en-US" w:eastAsia="zh-CN"/>
              </w:rPr>
              <w:t>2</w:t>
            </w:r>
          </w:p>
        </w:tc>
        <w:tc>
          <w:tcPr>
            <w:tcW w:w="1685" w:type="dxa"/>
            <w:vMerge w:val="restart"/>
            <w:vAlign w:val="center"/>
          </w:tcPr>
          <w:p w14:paraId="675FFF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2422175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&gt;5.0%时，相对准确度≤15%</w:t>
            </w:r>
          </w:p>
        </w:tc>
      </w:tr>
      <w:tr w14:paraId="5C66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continue"/>
            <w:vAlign w:val="center"/>
          </w:tcPr>
          <w:p w14:paraId="0D27013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7EA8051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24A22F2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≤5.0%时，绝对误差不超过±1.0%</w:t>
            </w:r>
          </w:p>
        </w:tc>
      </w:tr>
      <w:tr w14:paraId="15BF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7C17B089">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HCL</w:t>
            </w:r>
          </w:p>
        </w:tc>
        <w:tc>
          <w:tcPr>
            <w:tcW w:w="1685" w:type="dxa"/>
            <w:vMerge w:val="restart"/>
            <w:vAlign w:val="center"/>
          </w:tcPr>
          <w:p w14:paraId="76819B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HJC-ZY80-2017</w:t>
            </w:r>
          </w:p>
        </w:tc>
        <w:tc>
          <w:tcPr>
            <w:tcW w:w="7964" w:type="dxa"/>
            <w:vAlign w:val="center"/>
          </w:tcPr>
          <w:p w14:paraId="2B6876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排放浓度≥250μmol/mol（408mg/m3）时，相对准确度≤30%</w:t>
            </w:r>
          </w:p>
        </w:tc>
      </w:tr>
      <w:tr w14:paraId="4F56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7E3422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233D5E9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06DD42E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50μmol/mol（82mg/m3）≤排放浓度&lt;250μmol/mol（408mg/m3）时，相对误差≤30%</w:t>
            </w:r>
          </w:p>
        </w:tc>
      </w:tr>
      <w:tr w14:paraId="0387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A953AF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1685" w:type="dxa"/>
            <w:vMerge w:val="continue"/>
            <w:vAlign w:val="center"/>
          </w:tcPr>
          <w:p w14:paraId="3B6F60F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7964" w:type="dxa"/>
            <w:vAlign w:val="center"/>
          </w:tcPr>
          <w:p w14:paraId="6E3D3CE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排放浓度&lt;50μmol/mol（82mg/m3）时，绝对误差≤15μmol/mol（24mg/m3）</w:t>
            </w:r>
          </w:p>
        </w:tc>
      </w:tr>
      <w:tr w14:paraId="3869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05031206">
            <w:pPr>
              <w:keepNext w:val="0"/>
              <w:keepLines w:val="0"/>
              <w:pageBreakBefore w:val="0"/>
              <w:widowControl w:val="0"/>
              <w:kinsoku/>
              <w:wordWrap/>
              <w:overflowPunct/>
              <w:topLinePunct w:val="0"/>
              <w:autoSpaceDE/>
              <w:autoSpaceDN/>
              <w:bidi w:val="0"/>
              <w:adjustRightInd/>
              <w:snapToGrid w:val="0"/>
              <w:spacing w:line="240" w:lineRule="auto"/>
              <w:ind w:firstLine="300" w:firstLineChars="100"/>
              <w:jc w:val="center"/>
              <w:textAlignment w:val="auto"/>
              <w:rPr>
                <w:rFonts w:hint="eastAsia" w:ascii="仿宋" w:hAnsi="仿宋" w:eastAsia="仿宋" w:cs="仿宋"/>
                <w:sz w:val="30"/>
                <w:szCs w:val="30"/>
              </w:rPr>
            </w:pPr>
            <w:r>
              <w:rPr>
                <w:rFonts w:hint="eastAsia" w:ascii="仿宋" w:hAnsi="仿宋" w:eastAsia="仿宋" w:cs="仿宋"/>
                <w:sz w:val="30"/>
                <w:szCs w:val="30"/>
              </w:rPr>
              <w:t>CO</w:t>
            </w:r>
          </w:p>
        </w:tc>
        <w:tc>
          <w:tcPr>
            <w:tcW w:w="1685" w:type="dxa"/>
            <w:vMerge w:val="restart"/>
            <w:vAlign w:val="center"/>
          </w:tcPr>
          <w:p w14:paraId="7791BC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HJC-ZY80-2017</w:t>
            </w:r>
          </w:p>
        </w:tc>
        <w:tc>
          <w:tcPr>
            <w:tcW w:w="7964" w:type="dxa"/>
            <w:vAlign w:val="center"/>
          </w:tcPr>
          <w:p w14:paraId="6D0E2A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排放浓度≥250μmol/mol（313mg/m3）时，相对准确度≤15%</w:t>
            </w:r>
          </w:p>
        </w:tc>
      </w:tr>
      <w:tr w14:paraId="73E3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453A995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9E76C6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1B897A96">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50μmol/mol（63mg/m3）≤排放浓度&lt;250μmol/mol（313mg/m3）时，绝对误差≤20μmol/mol（25mg/m3）</w:t>
            </w:r>
          </w:p>
        </w:tc>
      </w:tr>
      <w:tr w14:paraId="284E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1E4B4DE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94BD53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B05177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20μmol/mol（25mg/m3）≤排放浓度&lt;50μmol/mol（63mg/m3）时，相对误差≤30%</w:t>
            </w:r>
          </w:p>
        </w:tc>
      </w:tr>
      <w:tr w14:paraId="7073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B444D4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743AA99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1F8B4FD2">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r>
              <w:rPr>
                <w:rFonts w:hint="eastAsia" w:ascii="仿宋" w:hAnsi="仿宋" w:eastAsia="仿宋" w:cs="仿宋"/>
                <w:sz w:val="30"/>
                <w:szCs w:val="30"/>
              </w:rPr>
              <w:t>排放浓度&lt;20μmol/mol（25mg/m3）时，绝对误差≤6μmol/mol（8mg/m3）</w:t>
            </w:r>
          </w:p>
        </w:tc>
      </w:tr>
      <w:tr w14:paraId="368ED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68F194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颗粒物</w:t>
            </w:r>
          </w:p>
        </w:tc>
        <w:tc>
          <w:tcPr>
            <w:tcW w:w="1685" w:type="dxa"/>
            <w:vMerge w:val="restart"/>
            <w:vAlign w:val="center"/>
          </w:tcPr>
          <w:p w14:paraId="45BBCC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4B11C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排放浓度&gt;200mg/m3时，相对误差不超过±15%</w:t>
            </w:r>
          </w:p>
        </w:tc>
      </w:tr>
      <w:tr w14:paraId="23BE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6C102961">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988946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29B17F9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100mg/m3&lt;排放浓度≤200mg/m3时，相对误差不超过±20%</w:t>
            </w:r>
          </w:p>
        </w:tc>
      </w:tr>
      <w:tr w14:paraId="1002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093B33EE">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18FEC0D5">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35C3F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50mg/m3&lt;排放浓度≤100mg/m3时，相对误差不超过±25%</w:t>
            </w:r>
          </w:p>
        </w:tc>
      </w:tr>
      <w:tr w14:paraId="1A4B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755426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3748B4F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55D1F9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20mg/m3&lt;排放浓度≤50mg/m3时，相对误差不超过±30%</w:t>
            </w:r>
          </w:p>
        </w:tc>
      </w:tr>
      <w:tr w14:paraId="1FC6E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537AF71">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0A46733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232750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10mg/m3&lt;排放浓度≤20mg/m3时，绝对误差不超过±6mg/m3</w:t>
            </w:r>
          </w:p>
        </w:tc>
      </w:tr>
      <w:tr w14:paraId="4F9C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701B0948">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1283ECAF">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0D85686C">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排放浓度≤10mg/m3时，绝对误差不超过±5mg/m3</w:t>
            </w:r>
          </w:p>
        </w:tc>
      </w:tr>
      <w:tr w14:paraId="405E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restart"/>
            <w:vAlign w:val="center"/>
          </w:tcPr>
          <w:p w14:paraId="4F7D8C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流速</w:t>
            </w:r>
          </w:p>
        </w:tc>
        <w:tc>
          <w:tcPr>
            <w:tcW w:w="1685" w:type="dxa"/>
            <w:vMerge w:val="restart"/>
            <w:vAlign w:val="center"/>
          </w:tcPr>
          <w:p w14:paraId="744209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1ADC3BBD">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流速&gt;10m/s时，相对误差不超过±10%</w:t>
            </w:r>
          </w:p>
        </w:tc>
      </w:tr>
      <w:tr w14:paraId="115B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B0572AB">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1685" w:type="dxa"/>
            <w:vMerge w:val="continue"/>
            <w:vAlign w:val="center"/>
          </w:tcPr>
          <w:p w14:paraId="10DDDD5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jc w:val="center"/>
              <w:textAlignment w:val="auto"/>
              <w:rPr>
                <w:rFonts w:hint="eastAsia" w:ascii="仿宋" w:hAnsi="仿宋" w:eastAsia="仿宋" w:cs="仿宋"/>
                <w:sz w:val="30"/>
                <w:szCs w:val="30"/>
              </w:rPr>
            </w:pPr>
          </w:p>
        </w:tc>
        <w:tc>
          <w:tcPr>
            <w:tcW w:w="7964" w:type="dxa"/>
            <w:vAlign w:val="center"/>
          </w:tcPr>
          <w:p w14:paraId="64D3FFB0">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流速≤10m/s时，相对误差不超过±12%</w:t>
            </w:r>
          </w:p>
        </w:tc>
      </w:tr>
      <w:tr w14:paraId="6D1F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Align w:val="center"/>
          </w:tcPr>
          <w:p w14:paraId="5A7E8C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温度</w:t>
            </w:r>
          </w:p>
        </w:tc>
        <w:tc>
          <w:tcPr>
            <w:tcW w:w="1685" w:type="dxa"/>
            <w:vAlign w:val="center"/>
          </w:tcPr>
          <w:p w14:paraId="57CDBA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57CC76A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绝对误差不超过±3℃</w:t>
            </w:r>
          </w:p>
        </w:tc>
      </w:tr>
      <w:tr w14:paraId="61C0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93" w:type="dxa"/>
            <w:vMerge w:val="restart"/>
            <w:vAlign w:val="center"/>
          </w:tcPr>
          <w:p w14:paraId="22057B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湿度</w:t>
            </w:r>
          </w:p>
        </w:tc>
        <w:tc>
          <w:tcPr>
            <w:tcW w:w="1685" w:type="dxa"/>
            <w:vMerge w:val="restart"/>
            <w:vAlign w:val="center"/>
          </w:tcPr>
          <w:p w14:paraId="7CFCCF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30"/>
                <w:szCs w:val="30"/>
              </w:rPr>
            </w:pPr>
            <w:r>
              <w:rPr>
                <w:rFonts w:hint="eastAsia" w:ascii="仿宋" w:hAnsi="仿宋" w:eastAsia="仿宋" w:cs="仿宋"/>
                <w:sz w:val="30"/>
                <w:szCs w:val="30"/>
              </w:rPr>
              <w:t>HJ 75-2017</w:t>
            </w:r>
          </w:p>
        </w:tc>
        <w:tc>
          <w:tcPr>
            <w:tcW w:w="7964" w:type="dxa"/>
            <w:vAlign w:val="center"/>
          </w:tcPr>
          <w:p w14:paraId="627371C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烟气湿度&gt;5.0%时，相对误差不超过25%</w:t>
            </w:r>
          </w:p>
        </w:tc>
      </w:tr>
      <w:tr w14:paraId="0E28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93" w:type="dxa"/>
            <w:vMerge w:val="continue"/>
            <w:vAlign w:val="center"/>
          </w:tcPr>
          <w:p w14:paraId="31DEBA93">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1685" w:type="dxa"/>
            <w:vMerge w:val="continue"/>
            <w:vAlign w:val="center"/>
          </w:tcPr>
          <w:p w14:paraId="64CAF484">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p>
        </w:tc>
        <w:tc>
          <w:tcPr>
            <w:tcW w:w="7964" w:type="dxa"/>
            <w:vAlign w:val="center"/>
          </w:tcPr>
          <w:p w14:paraId="2965DED9">
            <w:pPr>
              <w:keepNext w:val="0"/>
              <w:keepLines w:val="0"/>
              <w:pageBreakBefore w:val="0"/>
              <w:widowControl w:val="0"/>
              <w:kinsoku/>
              <w:wordWrap/>
              <w:overflowPunct/>
              <w:topLinePunct w:val="0"/>
              <w:autoSpaceDE/>
              <w:autoSpaceDN/>
              <w:bidi w:val="0"/>
              <w:adjustRightInd/>
              <w:snapToGrid w:val="0"/>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烟气湿度≤5.0%时，绝对误差不超过1.5%</w:t>
            </w:r>
          </w:p>
        </w:tc>
      </w:tr>
    </w:tbl>
    <w:p w14:paraId="540BBE6C">
      <w:pPr>
        <w:pStyle w:val="2"/>
        <w:snapToGrid/>
        <w:spacing w:line="360" w:lineRule="auto"/>
        <w:ind w:left="0" w:leftChars="0" w:firstLine="0" w:firstLineChars="0"/>
        <w:rPr>
          <w:rFonts w:hint="eastAsia" w:ascii="仿宋" w:hAnsi="仿宋" w:eastAsia="仿宋" w:cs="仿宋"/>
          <w:sz w:val="30"/>
          <w:szCs w:val="30"/>
          <w:lang w:val="en-US" w:eastAsia="zh-CN"/>
        </w:rPr>
      </w:pPr>
    </w:p>
    <w:p w14:paraId="7B93CE48">
      <w:pPr>
        <w:pStyle w:val="2"/>
        <w:snapToGrid/>
        <w:spacing w:line="360" w:lineRule="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4.人员要求：必须服从采购人各项规章制度和现场安全管理规范，按监测计划中的监测频次进行规范取样、检测等流程均遵守国家相关法律法规，并及时出具生态环境部门认可的监测报告。项目人数根据采购人实际情况按需配置，每次采样必须确保两人以上，必须确保监测工作正常进行。</w:t>
      </w:r>
    </w:p>
    <w:p w14:paraId="44511B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 w:hAnsi="仿宋" w:eastAsia="仿宋" w:cs="仿宋"/>
          <w:sz w:val="30"/>
          <w:szCs w:val="30"/>
          <w:lang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人民币12.2</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val="en-US" w:eastAsia="zh-CN"/>
        </w:rPr>
        <w:t>整</w:t>
      </w:r>
      <w:r>
        <w:rPr>
          <w:rFonts w:hint="eastAsia" w:ascii="仿宋" w:hAnsi="仿宋" w:eastAsia="仿宋" w:cs="仿宋"/>
          <w:sz w:val="30"/>
          <w:szCs w:val="30"/>
          <w:lang w:eastAsia="zh-CN"/>
        </w:rPr>
        <w:t>，包含所有监测费用、检测费、取样费、人工费（包括住宿费、餐费、交通费）、保险费、税费、设备费及其他包括知识产权在内的一切相关费用。</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二、报价人要求。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r>
        <w:rPr>
          <w:rFonts w:hint="eastAsia" w:ascii="仿宋" w:hAnsi="仿宋" w:eastAsia="仿宋" w:cs="仿宋"/>
          <w:sz w:val="30"/>
          <w:szCs w:val="30"/>
          <w:u w:val="single"/>
          <w:lang w:val="en-US" w:eastAsia="zh-CN"/>
        </w:rPr>
        <w:t>投标单位具有省级及以上质量技术监督局核发的检验检测机构资质认定证书；证书所附的“资质证书附表”必须包含本项目检测因子傅里叶红外检测方式（除颗粒物）</w:t>
      </w:r>
      <w:r>
        <w:rPr>
          <w:rFonts w:hint="eastAsia" w:ascii="仿宋" w:hAnsi="仿宋" w:eastAsia="仿宋" w:cs="仿宋"/>
          <w:sz w:val="30"/>
          <w:szCs w:val="30"/>
          <w:lang w:val="en-US" w:eastAsia="zh-CN"/>
        </w:rPr>
        <w:t>。</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4.本项目不接受联合体报价，不接受分包。</w:t>
      </w:r>
    </w:p>
    <w:p w14:paraId="1ADFA4F5">
      <w:pPr>
        <w:pStyle w:val="2"/>
        <w:snapToGrid/>
        <w:spacing w:line="360" w:lineRule="auto"/>
        <w:rPr>
          <w:rFonts w:hint="default"/>
          <w:color w:val="auto"/>
          <w:highlight w:val="none"/>
          <w:lang w:val="en-US" w:eastAsia="zh-CN"/>
        </w:rPr>
      </w:pPr>
      <w:r>
        <w:rPr>
          <w:rFonts w:hint="eastAsia" w:ascii="仿宋" w:hAnsi="仿宋" w:eastAsia="仿宋" w:cs="仿宋"/>
          <w:color w:val="auto"/>
          <w:sz w:val="30"/>
          <w:szCs w:val="30"/>
          <w:highlight w:val="none"/>
          <w:lang w:val="en-US" w:eastAsia="zh-CN"/>
        </w:rPr>
        <w:t>5.项目负责人具有环境监测与分析专业中级及以上工程师职称证书，并提供所在单位缴纳的社保证明。</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color w:val="auto"/>
          <w:sz w:val="30"/>
          <w:szCs w:val="30"/>
          <w:highlight w:val="none"/>
        </w:rPr>
      </w:pPr>
      <w:bookmarkStart w:id="7" w:name="_Toc530583923"/>
      <w:bookmarkStart w:id="8" w:name="_Toc530583880"/>
      <w:r>
        <w:rPr>
          <w:rFonts w:hint="eastAsia" w:ascii="仿宋_GB2312" w:eastAsia="仿宋_GB2312"/>
          <w:b/>
          <w:bCs/>
          <w:color w:val="auto"/>
          <w:sz w:val="30"/>
          <w:szCs w:val="30"/>
          <w:highlight w:val="none"/>
          <w:lang w:eastAsia="zh-CN"/>
        </w:rPr>
        <w:t>三</w:t>
      </w:r>
      <w:r>
        <w:rPr>
          <w:rFonts w:hint="eastAsia" w:ascii="仿宋_GB2312" w:eastAsia="仿宋_GB2312"/>
          <w:b/>
          <w:bCs/>
          <w:color w:val="auto"/>
          <w:sz w:val="30"/>
          <w:szCs w:val="30"/>
          <w:highlight w:val="none"/>
        </w:rPr>
        <w:t>、</w:t>
      </w:r>
      <w:r>
        <w:rPr>
          <w:rFonts w:hint="eastAsia" w:ascii="仿宋_GB2312" w:eastAsia="仿宋_GB2312"/>
          <w:b/>
          <w:bCs/>
          <w:color w:val="auto"/>
          <w:sz w:val="30"/>
          <w:szCs w:val="30"/>
          <w:highlight w:val="none"/>
          <w:lang w:eastAsia="zh-CN"/>
        </w:rPr>
        <w:t>开标</w:t>
      </w:r>
      <w:r>
        <w:rPr>
          <w:rFonts w:hint="eastAsia" w:ascii="仿宋_GB2312" w:eastAsia="仿宋_GB2312"/>
          <w:b/>
          <w:bCs/>
          <w:color w:val="auto"/>
          <w:sz w:val="30"/>
          <w:szCs w:val="30"/>
          <w:highlight w:val="none"/>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7月3</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3A7894C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本招标文件内有资质要求，报价人需另行分装报价资格一览表，封装方式需与报价文件相同，且需在快递包装上醒目注明报价资格表、项目名称、询价编号，报价人联系人、联系人电话。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7</w:t>
      </w:r>
      <w:r>
        <w:rPr>
          <w:rFonts w:hint="eastAsia" w:ascii="仿宋_GB2312" w:eastAsia="仿宋_GB2312"/>
          <w:sz w:val="30"/>
          <w:szCs w:val="30"/>
        </w:rPr>
        <w:t>月</w:t>
      </w:r>
      <w:r>
        <w:rPr>
          <w:rFonts w:hint="eastAsia" w:ascii="仿宋_GB2312" w:eastAsia="仿宋_GB2312"/>
          <w:sz w:val="30"/>
          <w:szCs w:val="30"/>
          <w:lang w:val="en-US" w:eastAsia="zh-CN"/>
        </w:rPr>
        <w:t>2</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530583879"/>
      <w:bookmarkStart w:id="10" w:name="_Toc530583922"/>
      <w:bookmarkStart w:id="11" w:name="_Toc14760"/>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（四）“服务方”系指向经评审确定为本次询价成交商家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bookmarkStart w:id="24" w:name="_GoBack"/>
      <w:r>
        <w:rPr>
          <w:rFonts w:hint="eastAsia" w:ascii="仿宋_GB2312" w:eastAsia="仿宋_GB2312"/>
          <w:b/>
          <w:bCs/>
          <w:sz w:val="30"/>
          <w:szCs w:val="30"/>
        </w:rPr>
        <w:t>四、报价有效期。</w:t>
      </w:r>
    </w:p>
    <w:bookmarkEnd w:id="24"/>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1501"/>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17A0CA9B">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根据现场生产周期安排，赴现场采样，每间隔90天内比对一次，每次比对三台炉，共计四次，具体时间以采购人通知为准</w:t>
      </w:r>
      <w:r>
        <w:rPr>
          <w:rFonts w:hint="eastAsia" w:ascii="仿宋" w:hAnsi="仿宋" w:eastAsia="仿宋" w:cs="仿宋"/>
          <w:color w:val="auto"/>
          <w:kern w:val="2"/>
          <w:sz w:val="30"/>
          <w:szCs w:val="30"/>
          <w:highlight w:val="none"/>
        </w:rPr>
        <w:t>。</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bookmarkStart w:id="13" w:name="OLE_LINK3"/>
      <w:r>
        <w:rPr>
          <w:rFonts w:hint="eastAsia" w:ascii="仿宋" w:hAnsi="仿宋" w:eastAsia="仿宋" w:cs="仿宋"/>
          <w:color w:val="auto"/>
          <w:kern w:val="2"/>
          <w:sz w:val="30"/>
          <w:szCs w:val="30"/>
          <w:highlight w:val="none"/>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金（合同价的5%）汇至采购人指定账户，于服务完成并出具比对报告后</w:t>
      </w:r>
      <w:bookmarkEnd w:id="13"/>
      <w:r>
        <w:rPr>
          <w:rFonts w:hint="eastAsia" w:ascii="仿宋" w:hAnsi="仿宋" w:eastAsia="仿宋" w:cs="仿宋"/>
          <w:color w:val="auto"/>
          <w:kern w:val="2"/>
          <w:sz w:val="30"/>
          <w:szCs w:val="30"/>
          <w:highlight w:val="none"/>
          <w:lang w:val="en-US" w:eastAsia="zh-CN"/>
        </w:rPr>
        <w:t>无息退还</w:t>
      </w:r>
      <w:r>
        <w:rPr>
          <w:rFonts w:hint="eastAsia" w:ascii="仿宋" w:hAnsi="仿宋" w:eastAsia="仿宋" w:cs="仿宋"/>
          <w:color w:val="auto"/>
          <w:kern w:val="2"/>
          <w:sz w:val="30"/>
          <w:szCs w:val="30"/>
          <w:highlight w:val="none"/>
        </w:rPr>
        <w:t>。</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必须满足采购人售后服务要求。如产品使用过</w:t>
      </w:r>
      <w:r>
        <w:rPr>
          <w:rFonts w:hint="eastAsia" w:ascii="仿宋" w:hAnsi="仿宋" w:eastAsia="仿宋" w:cs="仿宋"/>
          <w:color w:val="auto"/>
          <w:kern w:val="2"/>
          <w:sz w:val="30"/>
          <w:szCs w:val="30"/>
          <w:lang w:eastAsia="zh-CN"/>
        </w:rPr>
        <w:t>程中</w:t>
      </w:r>
      <w:r>
        <w:rPr>
          <w:rFonts w:hint="eastAsia" w:ascii="仿宋" w:hAnsi="仿宋" w:eastAsia="仿宋" w:cs="仿宋"/>
          <w:color w:val="auto"/>
          <w:kern w:val="2"/>
          <w:sz w:val="30"/>
          <w:szCs w:val="30"/>
        </w:rPr>
        <w:t>发生问题，</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highlight w:val="none"/>
          <w:lang w:val="en-US" w:eastAsia="zh-CN"/>
        </w:rPr>
        <w:t>服务方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服务方</w:t>
      </w:r>
      <w:r>
        <w:rPr>
          <w:rFonts w:hint="eastAsia" w:ascii="仿宋" w:hAnsi="仿宋" w:eastAsia="仿宋" w:cs="仿宋"/>
          <w:color w:val="auto"/>
          <w:kern w:val="2"/>
          <w:sz w:val="30"/>
          <w:szCs w:val="30"/>
        </w:rPr>
        <w:t>承担。</w:t>
      </w:r>
    </w:p>
    <w:p w14:paraId="54F100F9">
      <w:pPr>
        <w:pStyle w:val="4"/>
        <w:numPr>
          <w:ilvl w:val="0"/>
          <w:numId w:val="0"/>
        </w:numPr>
        <w:jc w:val="center"/>
        <w:outlineLvl w:val="9"/>
        <w:rPr>
          <w:rFonts w:hint="eastAsia" w:ascii="仿宋" w:hAnsi="仿宋" w:eastAsia="仿宋" w:cs="仿宋"/>
          <w:snapToGrid w:val="0"/>
          <w:sz w:val="30"/>
          <w:szCs w:val="30"/>
        </w:rPr>
      </w:pPr>
      <w:bookmarkStart w:id="14"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5" w:name="_Toc28946"/>
      <w:r>
        <w:rPr>
          <w:rFonts w:hint="eastAsia" w:ascii="仿宋" w:hAnsi="仿宋" w:eastAsia="仿宋" w:cs="仿宋"/>
          <w:snapToGrid w:val="0"/>
          <w:sz w:val="44"/>
          <w:szCs w:val="44"/>
          <w:lang w:val="en-US" w:eastAsia="zh-CN"/>
        </w:rPr>
        <w:t>合同主要条款</w:t>
      </w:r>
      <w:bookmarkEnd w:id="15"/>
      <w:r>
        <w:rPr>
          <w:rFonts w:hint="eastAsia" w:ascii="仿宋" w:hAnsi="仿宋" w:eastAsia="仿宋" w:cs="仿宋"/>
          <w:snapToGrid w:val="0"/>
          <w:sz w:val="44"/>
          <w:szCs w:val="44"/>
          <w:lang w:val="en-US" w:eastAsia="zh-CN"/>
        </w:rPr>
        <w:t>（供参考）</w:t>
      </w:r>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10565" w:type="dxa"/>
        <w:jc w:val="center"/>
        <w:tblLayout w:type="fixed"/>
        <w:tblCellMar>
          <w:top w:w="0" w:type="dxa"/>
          <w:left w:w="108" w:type="dxa"/>
          <w:bottom w:w="0" w:type="dxa"/>
          <w:right w:w="108" w:type="dxa"/>
        </w:tblCellMar>
      </w:tblPr>
      <w:tblGrid>
        <w:gridCol w:w="751"/>
        <w:gridCol w:w="1439"/>
        <w:gridCol w:w="1699"/>
        <w:gridCol w:w="1440"/>
        <w:gridCol w:w="945"/>
        <w:gridCol w:w="1230"/>
        <w:gridCol w:w="811"/>
        <w:gridCol w:w="1080"/>
        <w:gridCol w:w="1170"/>
      </w:tblGrid>
      <w:tr w14:paraId="4B6B9B69">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439" w:type="dxa"/>
            <w:tcBorders>
              <w:top w:val="single" w:color="auto" w:sz="4" w:space="0"/>
              <w:left w:val="nil"/>
              <w:bottom w:val="single" w:color="auto" w:sz="4" w:space="0"/>
              <w:right w:val="single" w:color="auto" w:sz="4" w:space="0"/>
            </w:tcBorders>
            <w:noWrap w:val="0"/>
            <w:vAlign w:val="center"/>
          </w:tcPr>
          <w:p w14:paraId="62F442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检测因子名称</w:t>
            </w:r>
          </w:p>
        </w:tc>
        <w:tc>
          <w:tcPr>
            <w:tcW w:w="1699" w:type="dxa"/>
            <w:tcBorders>
              <w:top w:val="single" w:color="auto" w:sz="4" w:space="0"/>
              <w:left w:val="nil"/>
              <w:bottom w:val="single" w:color="auto" w:sz="4" w:space="0"/>
              <w:right w:val="single" w:color="auto" w:sz="4" w:space="0"/>
            </w:tcBorders>
            <w:noWrap w:val="0"/>
            <w:vAlign w:val="center"/>
          </w:tcPr>
          <w:p w14:paraId="49F54B8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点位数量</w:t>
            </w:r>
          </w:p>
        </w:tc>
        <w:tc>
          <w:tcPr>
            <w:tcW w:w="1440" w:type="dxa"/>
            <w:tcBorders>
              <w:top w:val="single" w:color="auto" w:sz="4" w:space="0"/>
              <w:left w:val="nil"/>
              <w:bottom w:val="single" w:color="auto" w:sz="4" w:space="0"/>
              <w:right w:val="single" w:color="auto" w:sz="4" w:space="0"/>
            </w:tcBorders>
            <w:noWrap w:val="0"/>
            <w:vAlign w:val="center"/>
          </w:tcPr>
          <w:p w14:paraId="15113C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sz w:val="24"/>
                <w:szCs w:val="24"/>
                <w:highlight w:val="none"/>
                <w:u w:val="none"/>
                <w:lang w:val="en-US" w:eastAsia="zh-CN"/>
              </w:rPr>
              <w:t>单次检测频次</w:t>
            </w:r>
          </w:p>
        </w:tc>
        <w:tc>
          <w:tcPr>
            <w:tcW w:w="945" w:type="dxa"/>
            <w:tcBorders>
              <w:top w:val="single" w:color="auto" w:sz="4" w:space="0"/>
              <w:left w:val="nil"/>
              <w:bottom w:val="single" w:color="auto" w:sz="4" w:space="0"/>
              <w:right w:val="single" w:color="auto" w:sz="4" w:space="0"/>
            </w:tcBorders>
            <w:noWrap w:val="0"/>
            <w:vAlign w:val="center"/>
          </w:tcPr>
          <w:p w14:paraId="19A2C2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年度检测频次</w:t>
            </w:r>
          </w:p>
        </w:tc>
        <w:tc>
          <w:tcPr>
            <w:tcW w:w="1230" w:type="dxa"/>
            <w:tcBorders>
              <w:top w:val="single" w:color="auto" w:sz="4" w:space="0"/>
              <w:left w:val="nil"/>
              <w:bottom w:val="single" w:color="auto" w:sz="4" w:space="0"/>
              <w:right w:val="single" w:color="auto" w:sz="4" w:space="0"/>
            </w:tcBorders>
            <w:noWrap w:val="0"/>
            <w:vAlign w:val="center"/>
          </w:tcPr>
          <w:p w14:paraId="31AAB6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sz w:val="24"/>
                <w:szCs w:val="24"/>
                <w:highlight w:val="none"/>
                <w:u w:val="none"/>
                <w:lang w:val="en-US" w:eastAsia="zh-CN"/>
              </w:rPr>
              <w:t>总样品数量</w:t>
            </w:r>
          </w:p>
        </w:tc>
        <w:tc>
          <w:tcPr>
            <w:tcW w:w="811" w:type="dxa"/>
            <w:tcBorders>
              <w:top w:val="single" w:color="auto" w:sz="4" w:space="0"/>
              <w:left w:val="nil"/>
              <w:bottom w:val="single" w:color="auto" w:sz="4" w:space="0"/>
              <w:right w:val="single" w:color="auto" w:sz="4" w:space="0"/>
            </w:tcBorders>
            <w:noWrap w:val="0"/>
            <w:vAlign w:val="center"/>
          </w:tcPr>
          <w:p w14:paraId="79E9F2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b/>
                <w:bCs/>
                <w:sz w:val="24"/>
                <w:szCs w:val="24"/>
              </w:rPr>
            </w:pPr>
            <w:r>
              <w:rPr>
                <w:rFonts w:hint="eastAsia" w:ascii="仿宋" w:hAnsi="仿宋" w:eastAsia="仿宋" w:cs="仿宋"/>
                <w:b/>
                <w:bCs/>
                <w:i w:val="0"/>
                <w:iCs w:val="0"/>
                <w:color w:val="000000"/>
                <w:sz w:val="24"/>
                <w:szCs w:val="24"/>
                <w:highlight w:val="none"/>
                <w:u w:val="none"/>
                <w:lang w:val="en-US" w:eastAsia="zh-CN"/>
              </w:rPr>
              <w:t>单位</w:t>
            </w:r>
          </w:p>
        </w:tc>
        <w:tc>
          <w:tcPr>
            <w:tcW w:w="1080" w:type="dxa"/>
            <w:tcBorders>
              <w:top w:val="single" w:color="auto" w:sz="4" w:space="0"/>
              <w:left w:val="nil"/>
              <w:bottom w:val="single" w:color="auto" w:sz="4" w:space="0"/>
              <w:right w:val="single" w:color="auto" w:sz="4" w:space="0"/>
            </w:tcBorders>
            <w:noWrap w:val="0"/>
            <w:vAlign w:val="center"/>
          </w:tcPr>
          <w:p w14:paraId="5F19DCF5">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单价</w:t>
            </w:r>
          </w:p>
          <w:p w14:paraId="226EFB8C">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c>
          <w:tcPr>
            <w:tcW w:w="1170" w:type="dxa"/>
            <w:tcBorders>
              <w:top w:val="single" w:color="auto" w:sz="4" w:space="0"/>
              <w:left w:val="nil"/>
              <w:bottom w:val="single" w:color="auto" w:sz="4" w:space="0"/>
              <w:right w:val="single" w:color="auto" w:sz="4" w:space="0"/>
            </w:tcBorders>
            <w:noWrap w:val="0"/>
            <w:vAlign w:val="center"/>
          </w:tcPr>
          <w:p w14:paraId="2AAC24B2">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金额</w:t>
            </w:r>
          </w:p>
          <w:p w14:paraId="05F73334">
            <w:pPr>
              <w:adjustRightInd/>
              <w:snapToGrid/>
              <w:spacing w:after="0"/>
              <w:jc w:val="center"/>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（元）</w:t>
            </w:r>
          </w:p>
        </w:tc>
      </w:tr>
      <w:tr w14:paraId="086A54A9">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rPr>
            </w:pPr>
          </w:p>
        </w:tc>
        <w:tc>
          <w:tcPr>
            <w:tcW w:w="1699"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rPr>
            </w:pPr>
          </w:p>
        </w:tc>
        <w:tc>
          <w:tcPr>
            <w:tcW w:w="1440"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rPr>
            </w:pPr>
          </w:p>
        </w:tc>
        <w:tc>
          <w:tcPr>
            <w:tcW w:w="945"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rPr>
            </w:pPr>
          </w:p>
        </w:tc>
        <w:tc>
          <w:tcPr>
            <w:tcW w:w="1230"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rPr>
            </w:pPr>
          </w:p>
        </w:tc>
        <w:tc>
          <w:tcPr>
            <w:tcW w:w="811" w:type="dxa"/>
            <w:tcBorders>
              <w:top w:val="nil"/>
              <w:left w:val="nil"/>
              <w:bottom w:val="single" w:color="auto" w:sz="4" w:space="0"/>
              <w:right w:val="single" w:color="auto" w:sz="4" w:space="0"/>
            </w:tcBorders>
            <w:noWrap w:val="0"/>
            <w:vAlign w:val="center"/>
          </w:tcPr>
          <w:p w14:paraId="38360370">
            <w:pPr>
              <w:adjustRightInd/>
              <w:snapToGrid/>
              <w:spacing w:after="0"/>
              <w:jc w:val="center"/>
              <w:rPr>
                <w:rFonts w:hint="eastAsia" w:ascii="Times New Roman" w:hAnsi="Times New Roman" w:eastAsia="方正仿宋_GBK" w:cs="Times New Roman"/>
                <w:b/>
                <w:bCs/>
                <w:sz w:val="24"/>
                <w:szCs w:val="24"/>
              </w:rPr>
            </w:pPr>
          </w:p>
        </w:tc>
        <w:tc>
          <w:tcPr>
            <w:tcW w:w="1080" w:type="dxa"/>
            <w:tcBorders>
              <w:top w:val="nil"/>
              <w:left w:val="nil"/>
              <w:bottom w:val="single" w:color="auto" w:sz="4" w:space="0"/>
              <w:right w:val="single" w:color="auto" w:sz="4" w:space="0"/>
            </w:tcBorders>
            <w:noWrap w:val="0"/>
            <w:vAlign w:val="center"/>
          </w:tcPr>
          <w:p w14:paraId="7BB16101">
            <w:pPr>
              <w:adjustRightInd/>
              <w:snapToGrid/>
              <w:spacing w:after="0"/>
              <w:jc w:val="center"/>
              <w:rPr>
                <w:rFonts w:hint="eastAsia" w:ascii="Times New Roman" w:hAnsi="Times New Roman" w:eastAsia="方正仿宋_GBK" w:cs="Times New Roman"/>
                <w:b/>
                <w:bCs/>
                <w:sz w:val="24"/>
                <w:szCs w:val="24"/>
              </w:rPr>
            </w:pPr>
          </w:p>
        </w:tc>
        <w:tc>
          <w:tcPr>
            <w:tcW w:w="1170" w:type="dxa"/>
            <w:tcBorders>
              <w:top w:val="nil"/>
              <w:left w:val="nil"/>
              <w:bottom w:val="single" w:color="auto" w:sz="4" w:space="0"/>
              <w:right w:val="single" w:color="auto" w:sz="4" w:space="0"/>
            </w:tcBorders>
            <w:noWrap w:val="0"/>
            <w:vAlign w:val="center"/>
          </w:tcPr>
          <w:p w14:paraId="4C8CE285">
            <w:pPr>
              <w:adjustRightInd/>
              <w:snapToGrid/>
              <w:spacing w:after="0"/>
              <w:jc w:val="center"/>
              <w:rPr>
                <w:rFonts w:hint="eastAsia" w:ascii="Times New Roman" w:hAnsi="Times New Roman" w:eastAsia="方正仿宋_GBK" w:cs="Times New Roman"/>
                <w:b/>
                <w:bCs/>
                <w:sz w:val="24"/>
                <w:szCs w:val="24"/>
              </w:rPr>
            </w:pPr>
          </w:p>
        </w:tc>
      </w:tr>
      <w:tr w14:paraId="7B4DB0BD">
        <w:tblPrEx>
          <w:tblCellMar>
            <w:top w:w="0" w:type="dxa"/>
            <w:left w:w="108" w:type="dxa"/>
            <w:bottom w:w="0" w:type="dxa"/>
            <w:right w:w="108" w:type="dxa"/>
          </w:tblCellMar>
        </w:tblPrEx>
        <w:trPr>
          <w:trHeight w:val="836" w:hRule="atLeast"/>
          <w:jc w:val="center"/>
        </w:trPr>
        <w:tc>
          <w:tcPr>
            <w:tcW w:w="8315" w:type="dxa"/>
            <w:gridSpan w:val="7"/>
            <w:tcBorders>
              <w:top w:val="nil"/>
              <w:left w:val="single" w:color="auto" w:sz="4" w:space="0"/>
              <w:bottom w:val="single" w:color="auto" w:sz="4" w:space="0"/>
              <w:right w:val="single" w:color="auto" w:sz="4" w:space="0"/>
            </w:tcBorders>
            <w:noWrap w:val="0"/>
            <w:vAlign w:val="center"/>
          </w:tcPr>
          <w:p w14:paraId="2EA7D187">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250" w:type="dxa"/>
            <w:gridSpan w:val="2"/>
            <w:tcBorders>
              <w:top w:val="nil"/>
              <w:left w:val="single" w:color="auto" w:sz="4" w:space="0"/>
              <w:bottom w:val="single" w:color="auto" w:sz="4" w:space="0"/>
              <w:right w:val="single" w:color="auto" w:sz="4" w:space="0"/>
            </w:tcBorders>
            <w:noWrap w:val="0"/>
            <w:vAlign w:val="center"/>
          </w:tcPr>
          <w:p w14:paraId="2F8B318D">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38D2AE18">
        <w:tblPrEx>
          <w:tblCellMar>
            <w:top w:w="0" w:type="dxa"/>
            <w:left w:w="108" w:type="dxa"/>
            <w:bottom w:w="0" w:type="dxa"/>
            <w:right w:w="108" w:type="dxa"/>
          </w:tblCellMar>
        </w:tblPrEx>
        <w:trPr>
          <w:trHeight w:val="716" w:hRule="atLeast"/>
          <w:jc w:val="center"/>
        </w:trPr>
        <w:tc>
          <w:tcPr>
            <w:tcW w:w="10565" w:type="dxa"/>
            <w:gridSpan w:val="9"/>
            <w:tcBorders>
              <w:top w:val="nil"/>
              <w:left w:val="single" w:color="auto" w:sz="4" w:space="0"/>
              <w:bottom w:val="single" w:color="auto" w:sz="4" w:space="0"/>
              <w:right w:val="single" w:color="auto" w:sz="4" w:space="0"/>
            </w:tcBorders>
            <w:noWrap w:val="0"/>
            <w:vAlign w:val="center"/>
          </w:tcPr>
          <w:p w14:paraId="558FB661">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val="en-US" w:eastAsia="zh-CN"/>
        </w:rPr>
        <w:t>服务</w:t>
      </w:r>
      <w:r>
        <w:rPr>
          <w:rFonts w:hint="eastAsia" w:ascii="黑体" w:hAnsi="黑体" w:eastAsia="黑体" w:cs="黑体"/>
          <w:sz w:val="28"/>
          <w:szCs w:val="28"/>
        </w:rPr>
        <w:t>时间、地点</w:t>
      </w:r>
    </w:p>
    <w:p w14:paraId="5375B587">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根据现场生产周期安排，赴现场采样</w:t>
      </w:r>
      <w:r>
        <w:rPr>
          <w:rFonts w:hint="eastAsia" w:ascii="方正仿宋_GBK" w:hAnsi="方正仿宋_GBK" w:eastAsia="方正仿宋_GBK" w:cs="方正仿宋_GBK"/>
          <w:sz w:val="28"/>
          <w:szCs w:val="28"/>
          <w:highlight w:val="none"/>
          <w:lang w:val="en-US" w:eastAsia="zh-CN"/>
        </w:rPr>
        <w:t>，每间隔90天内比对一次，每次比对三台炉，共计四次，具体时间以采购人通知为准</w:t>
      </w:r>
      <w:r>
        <w:rPr>
          <w:rFonts w:hint="eastAsia" w:ascii="方正仿宋_GBK" w:hAnsi="方正仿宋_GBK" w:eastAsia="方正仿宋_GBK" w:cs="方正仿宋_GBK"/>
          <w:sz w:val="28"/>
          <w:szCs w:val="28"/>
          <w:highlight w:val="none"/>
        </w:rPr>
        <w:t>。</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val="en-US" w:eastAsia="zh-CN"/>
        </w:rPr>
        <w:t>服务</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rPr>
        <w:t>第三</w:t>
      </w:r>
      <w:r>
        <w:rPr>
          <w:rFonts w:hint="eastAsia" w:ascii="黑体" w:hAnsi="黑体" w:eastAsia="黑体" w:cs="黑体"/>
          <w:sz w:val="28"/>
          <w:szCs w:val="28"/>
          <w:highlight w:val="none"/>
        </w:rPr>
        <w:t>条 技术要求</w:t>
      </w:r>
      <w:r>
        <w:rPr>
          <w:rFonts w:hint="eastAsia" w:ascii="黑体" w:hAnsi="黑体" w:eastAsia="黑体" w:cs="黑体"/>
          <w:sz w:val="28"/>
          <w:szCs w:val="28"/>
          <w:highlight w:val="none"/>
          <w:lang w:val="en-US" w:eastAsia="zh-CN"/>
        </w:rPr>
        <w:t>及工作量</w:t>
      </w:r>
    </w:p>
    <w:p w14:paraId="237C4486">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w:t>
      </w:r>
    </w:p>
    <w:p w14:paraId="218B95A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元整，本合同为固定总价合同，金额包含包装费、运费、税金、保险费等， 供需双方不能因市场价格变化而调整合同价。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金（合同价的5%）汇至采购人指定账户，于服务完成并出具比对报告后无息退还</w:t>
      </w:r>
      <w:r>
        <w:rPr>
          <w:rFonts w:hint="eastAsia" w:ascii="仿宋" w:hAnsi="仿宋" w:eastAsia="仿宋" w:cs="仿宋"/>
          <w:color w:val="auto"/>
          <w:kern w:val="2"/>
          <w:sz w:val="30"/>
          <w:szCs w:val="30"/>
          <w:highlight w:val="none"/>
          <w:lang w:eastAsia="zh-CN"/>
        </w:rPr>
        <w:t>。</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highlight w:val="none"/>
        </w:rPr>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若发现质量不合格者，采购方有权拒收，并视为材料并未到场。供方应无条件将不合格货品运出现场，由此产生的相关费用及给采购方造成的一切损失由服务方承担。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highlight w:val="none"/>
        </w:rPr>
      </w:pPr>
      <w:r>
        <w:rPr>
          <w:rFonts w:hint="eastAsia" w:ascii="黑体" w:hAnsi="黑体" w:eastAsia="黑体" w:cs="黑体"/>
          <w:kern w:val="2"/>
          <w:sz w:val="28"/>
          <w:szCs w:val="28"/>
          <w:highlight w:val="none"/>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val="en-US" w:eastAsia="zh-CN"/>
        </w:rPr>
        <w:t>供方所交付的货品必须包装完整，并采取防潮、防湿、防震、防锈、防腐蚀等措施，以保证在长途运输中经受多次搬运和装卸后，货物完好无损，安全到达目的地。由于采用不充分</w:t>
      </w:r>
      <w:r>
        <w:rPr>
          <w:rFonts w:hint="eastAsia" w:ascii="方正仿宋_GBK" w:hAnsi="方正仿宋_GBK" w:eastAsia="方正仿宋_GBK" w:cs="方正仿宋_GBK"/>
          <w:sz w:val="28"/>
          <w:szCs w:val="28"/>
          <w:lang w:val="en-US" w:eastAsia="zh-CN"/>
        </w:rPr>
        <w:t>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汽车运输到指定地点，运输费用由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 xml:space="preserve">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lang w:eastAsia="zh-CN"/>
        </w:rPr>
        <w:t>按照《中华人民共和国民法典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服务方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6" w:name="_Toc14763"/>
      <w:r>
        <w:rPr>
          <w:rFonts w:hint="eastAsia" w:ascii="Times New Roman" w:hAnsi="Times New Roman" w:eastAsia="方正仿宋_GBK" w:cs="Times New Roman"/>
          <w:b/>
          <w:bCs/>
          <w:sz w:val="28"/>
          <w:szCs w:val="28"/>
          <w:highlight w:val="none"/>
          <w:lang w:val="en-US" w:eastAsia="zh-CN"/>
        </w:rPr>
        <w:t>附件：</w:t>
      </w:r>
      <w:bookmarkEnd w:id="16"/>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2026-2027CEMS系统比对项目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7" w:name="_Toc5159"/>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4"/>
      <w:bookmarkEnd w:id="17"/>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rPr>
      </w:pPr>
    </w:p>
    <w:p w14:paraId="43F07FC2">
      <w:pPr>
        <w:rPr>
          <w:rFonts w:hint="eastAsia" w:ascii="仿宋" w:hAnsi="仿宋" w:eastAsia="仿宋" w:cs="仿宋"/>
          <w:sz w:val="44"/>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2026-2027CEMS系统比对项目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SX-ZH-BD-2605018</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47FAE966">
      <w:pPr>
        <w:adjustRightInd w:val="0"/>
        <w:snapToGrid w:val="0"/>
        <w:spacing w:line="360" w:lineRule="auto"/>
        <w:ind w:right="480"/>
        <w:jc w:val="left"/>
        <w:rPr>
          <w:rFonts w:hint="eastAsia" w:ascii="仿宋" w:hAnsi="仿宋" w:eastAsia="仿宋" w:cs="仿宋"/>
          <w:sz w:val="30"/>
        </w:rPr>
      </w:pPr>
      <w:r>
        <w:rPr>
          <w:rStyle w:val="21"/>
          <w:rFonts w:hint="eastAsia" w:ascii="仿宋" w:hAnsi="仿宋" w:eastAsia="仿宋" w:cs="仿宋"/>
          <w:sz w:val="30"/>
        </w:rPr>
        <w:br w:type="page"/>
      </w:r>
    </w:p>
    <w:p w14:paraId="378D472C">
      <w:pPr>
        <w:jc w:val="left"/>
        <w:outlineLvl w:val="0"/>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23E69E62">
      <w:pPr>
        <w:jc w:val="left"/>
        <w:outlineLvl w:val="0"/>
        <w:rPr>
          <w:rStyle w:val="21"/>
          <w:rFonts w:hint="eastAsia" w:ascii="仿宋" w:hAnsi="仿宋" w:eastAsia="仿宋" w:cs="仿宋"/>
          <w:sz w:val="30"/>
        </w:rPr>
      </w:pPr>
      <w:bookmarkStart w:id="18" w:name="_Toc12044"/>
      <w:r>
        <w:rPr>
          <w:rStyle w:val="21"/>
          <w:rFonts w:hint="eastAsia" w:ascii="仿宋" w:hAnsi="仿宋" w:eastAsia="仿宋" w:cs="仿宋"/>
          <w:sz w:val="30"/>
        </w:rPr>
        <w:t>附件一：</w:t>
      </w:r>
      <w:bookmarkEnd w:id="18"/>
    </w:p>
    <w:p w14:paraId="7B642CA0">
      <w:pPr>
        <w:jc w:val="left"/>
        <w:outlineLvl w:val="0"/>
        <w:rPr>
          <w:rStyle w:val="21"/>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highlight w:val="none"/>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绍兴市再生能源发展有限公司</w:t>
      </w:r>
      <w:r>
        <w:rPr>
          <w:rFonts w:hint="eastAsia" w:ascii="仿宋" w:hAnsi="仿宋" w:eastAsia="仿宋" w:cs="仿宋"/>
          <w:sz w:val="30"/>
          <w:szCs w:val="30"/>
          <w:highlight w:val="none"/>
          <w:u w:val="single"/>
          <w:lang w:val="en-US" w:eastAsia="zh-CN"/>
        </w:rPr>
        <w:t>2026-2027CEMS系统比对</w:t>
      </w:r>
      <w:r>
        <w:rPr>
          <w:rFonts w:hint="eastAsia" w:ascii="仿宋" w:hAnsi="仿宋" w:eastAsia="仿宋" w:cs="仿宋"/>
          <w:sz w:val="30"/>
          <w:szCs w:val="30"/>
          <w:highlight w:val="none"/>
          <w:u w:val="none"/>
          <w:lang w:val="en-US" w:eastAsia="zh-CN"/>
        </w:rPr>
        <w:t>项目。</w:t>
      </w:r>
    </w:p>
    <w:tbl>
      <w:tblPr>
        <w:tblStyle w:val="13"/>
        <w:tblW w:w="9999" w:type="dxa"/>
        <w:jc w:val="center"/>
        <w:tblLayout w:type="fixed"/>
        <w:tblCellMar>
          <w:top w:w="0" w:type="dxa"/>
          <w:left w:w="108" w:type="dxa"/>
          <w:bottom w:w="0" w:type="dxa"/>
          <w:right w:w="108" w:type="dxa"/>
        </w:tblCellMar>
      </w:tblPr>
      <w:tblGrid>
        <w:gridCol w:w="578"/>
        <w:gridCol w:w="1755"/>
        <w:gridCol w:w="3780"/>
        <w:gridCol w:w="1980"/>
        <w:gridCol w:w="1906"/>
      </w:tblGrid>
      <w:tr w14:paraId="47F5FD2C">
        <w:tblPrEx>
          <w:tblCellMar>
            <w:top w:w="0" w:type="dxa"/>
            <w:left w:w="108" w:type="dxa"/>
            <w:bottom w:w="0" w:type="dxa"/>
            <w:right w:w="108" w:type="dxa"/>
          </w:tblCellMar>
        </w:tblPrEx>
        <w:trPr>
          <w:trHeight w:val="1177"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72C2BF4">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序号</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B70D0AF">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评审项目</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7474ABFC">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资格要求详情</w:t>
            </w:r>
          </w:p>
        </w:tc>
        <w:tc>
          <w:tcPr>
            <w:tcW w:w="1980" w:type="dxa"/>
            <w:tcBorders>
              <w:top w:val="single" w:color="auto" w:sz="6" w:space="0"/>
              <w:left w:val="single" w:color="auto" w:sz="6" w:space="0"/>
              <w:bottom w:val="single" w:color="auto" w:sz="6" w:space="0"/>
              <w:right w:val="single" w:color="auto" w:sz="6" w:space="0"/>
            </w:tcBorders>
            <w:noWrap w:val="0"/>
            <w:vAlign w:val="center"/>
          </w:tcPr>
          <w:p w14:paraId="71F1A212">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投标人响应情况</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（请填写：满足/不满足）</w:t>
            </w:r>
          </w:p>
        </w:tc>
        <w:tc>
          <w:tcPr>
            <w:tcW w:w="1906" w:type="dxa"/>
            <w:tcBorders>
              <w:top w:val="single" w:color="auto" w:sz="6" w:space="0"/>
              <w:left w:val="single" w:color="auto" w:sz="6" w:space="0"/>
              <w:bottom w:val="single" w:color="auto" w:sz="6" w:space="0"/>
              <w:right w:val="single" w:color="auto" w:sz="6" w:space="0"/>
            </w:tcBorders>
            <w:noWrap w:val="0"/>
            <w:vAlign w:val="center"/>
          </w:tcPr>
          <w:p w14:paraId="4969EE37">
            <w:pPr>
              <w:keepNext w:val="0"/>
              <w:keepLines w:val="0"/>
              <w:widowControl/>
              <w:suppressLineNumbers w:val="0"/>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kern w:val="0"/>
                <w:sz w:val="24"/>
                <w:szCs w:val="24"/>
                <w:lang w:val="en-US" w:eastAsia="zh-CN" w:bidi="ar"/>
              </w:rPr>
              <w:t>证明材料索引</w:t>
            </w:r>
            <w:r>
              <w:rPr>
                <w:rFonts w:hint="eastAsia" w:ascii="仿宋" w:hAnsi="仿宋" w:eastAsia="仿宋" w:cs="仿宋"/>
                <w:b w:val="0"/>
                <w:bCs w:val="0"/>
                <w:kern w:val="0"/>
                <w:sz w:val="24"/>
                <w:szCs w:val="24"/>
                <w:lang w:val="en-US" w:eastAsia="zh-CN" w:bidi="ar"/>
              </w:rPr>
              <w:br w:type="textWrapping"/>
            </w:r>
            <w:r>
              <w:rPr>
                <w:rFonts w:hint="eastAsia" w:ascii="仿宋" w:hAnsi="仿宋" w:eastAsia="仿宋" w:cs="仿宋"/>
                <w:b w:val="0"/>
                <w:bCs w:val="0"/>
                <w:kern w:val="0"/>
                <w:sz w:val="24"/>
                <w:szCs w:val="24"/>
                <w:lang w:val="en-US" w:eastAsia="zh-CN" w:bidi="ar"/>
              </w:rPr>
              <w:t>（请填写证明文件所在的页码）</w:t>
            </w:r>
          </w:p>
        </w:tc>
      </w:tr>
      <w:tr w14:paraId="0E9667DD">
        <w:tblPrEx>
          <w:tblCellMar>
            <w:top w:w="0" w:type="dxa"/>
            <w:left w:w="108" w:type="dxa"/>
            <w:bottom w:w="0" w:type="dxa"/>
            <w:right w:w="108" w:type="dxa"/>
          </w:tblCellMar>
        </w:tblPrEx>
        <w:trPr>
          <w:trHeight w:val="132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0DAB7B9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1</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51F5D60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资质要求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1C13146">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具备省级及以上质量技术监督局核发的《检验检测机构资质认定证书》（CMA证书）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4460A7E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55B9DD8F">
            <w:pPr>
              <w:autoSpaceDE w:val="0"/>
              <w:autoSpaceDN w:val="0"/>
              <w:spacing w:line="360" w:lineRule="auto"/>
              <w:jc w:val="center"/>
              <w:rPr>
                <w:rFonts w:hint="eastAsia" w:ascii="仿宋" w:hAnsi="仿宋" w:eastAsia="仿宋" w:cs="仿宋"/>
                <w:color w:val="auto"/>
                <w:sz w:val="24"/>
                <w:szCs w:val="24"/>
                <w:highlight w:val="none"/>
              </w:rPr>
            </w:pPr>
          </w:p>
        </w:tc>
      </w:tr>
      <w:tr w14:paraId="0A1451B8">
        <w:tblPrEx>
          <w:tblCellMar>
            <w:top w:w="0" w:type="dxa"/>
            <w:left w:w="108" w:type="dxa"/>
            <w:bottom w:w="0" w:type="dxa"/>
            <w:right w:w="108" w:type="dxa"/>
          </w:tblCellMar>
        </w:tblPrEx>
        <w:trPr>
          <w:trHeight w:val="1233"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1A1FA35F">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2</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083C774">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检测能力要求</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433ADD9E">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证书所附“资质证书附表”包含本项目检测因子傅里叶红外检测方式（除颗粒物）</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598F43AF">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3539EF3">
            <w:pPr>
              <w:autoSpaceDE w:val="0"/>
              <w:autoSpaceDN w:val="0"/>
              <w:spacing w:line="360" w:lineRule="auto"/>
              <w:jc w:val="center"/>
              <w:rPr>
                <w:rFonts w:hint="eastAsia" w:ascii="仿宋" w:hAnsi="仿宋" w:eastAsia="仿宋" w:cs="仿宋"/>
                <w:color w:val="auto"/>
                <w:sz w:val="24"/>
                <w:szCs w:val="24"/>
                <w:highlight w:val="none"/>
              </w:rPr>
            </w:pPr>
          </w:p>
        </w:tc>
      </w:tr>
      <w:tr w14:paraId="1FC82D05">
        <w:tblPrEx>
          <w:tblCellMar>
            <w:top w:w="0" w:type="dxa"/>
            <w:left w:w="108" w:type="dxa"/>
            <w:bottom w:w="0" w:type="dxa"/>
            <w:right w:w="108" w:type="dxa"/>
          </w:tblCellMar>
        </w:tblPrEx>
        <w:trPr>
          <w:trHeight w:val="1098"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37A4D0B4">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3</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75603D1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项目负责人资格</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5583564B">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具有环境监测与分析专业中级及以上工程师职称证书</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06BA4777">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69D77EE8">
            <w:pPr>
              <w:autoSpaceDE w:val="0"/>
              <w:autoSpaceDN w:val="0"/>
              <w:spacing w:line="360" w:lineRule="auto"/>
              <w:jc w:val="center"/>
              <w:rPr>
                <w:rFonts w:hint="eastAsia" w:ascii="仿宋" w:hAnsi="仿宋" w:eastAsia="仿宋" w:cs="仿宋"/>
                <w:color w:val="auto"/>
                <w:sz w:val="24"/>
                <w:szCs w:val="24"/>
                <w:highlight w:val="none"/>
              </w:rPr>
            </w:pPr>
          </w:p>
        </w:tc>
      </w:tr>
      <w:tr w14:paraId="77E85D28">
        <w:tblPrEx>
          <w:tblCellMar>
            <w:top w:w="0" w:type="dxa"/>
            <w:left w:w="108" w:type="dxa"/>
            <w:bottom w:w="0" w:type="dxa"/>
            <w:right w:w="108" w:type="dxa"/>
          </w:tblCellMar>
        </w:tblPrEx>
        <w:trPr>
          <w:trHeight w:val="1338" w:hRule="atLeast"/>
          <w:jc w:val="center"/>
        </w:trPr>
        <w:tc>
          <w:tcPr>
            <w:tcW w:w="578" w:type="dxa"/>
            <w:tcBorders>
              <w:top w:val="single" w:color="auto" w:sz="6" w:space="0"/>
              <w:left w:val="single" w:color="auto" w:sz="6" w:space="0"/>
              <w:bottom w:val="single" w:color="auto" w:sz="6" w:space="0"/>
              <w:right w:val="single" w:color="auto" w:sz="6" w:space="0"/>
            </w:tcBorders>
            <w:noWrap w:val="0"/>
            <w:vAlign w:val="center"/>
          </w:tcPr>
          <w:p w14:paraId="7061EC4D">
            <w:pPr>
              <w:keepNext w:val="0"/>
              <w:keepLines w:val="0"/>
              <w:widowControl/>
              <w:suppressLineNumbers w:val="0"/>
              <w:jc w:val="center"/>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kern w:val="0"/>
                <w:sz w:val="24"/>
                <w:szCs w:val="24"/>
                <w:lang w:val="en-US" w:eastAsia="zh-CN" w:bidi="ar"/>
              </w:rPr>
              <w:t>4</w:t>
            </w:r>
          </w:p>
        </w:tc>
        <w:tc>
          <w:tcPr>
            <w:tcW w:w="1755" w:type="dxa"/>
            <w:tcBorders>
              <w:top w:val="single" w:color="auto" w:sz="6" w:space="0"/>
              <w:left w:val="single" w:color="auto" w:sz="6" w:space="0"/>
              <w:bottom w:val="single" w:color="auto" w:sz="6" w:space="0"/>
              <w:right w:val="single" w:color="auto" w:sz="6" w:space="0"/>
            </w:tcBorders>
            <w:noWrap w:val="0"/>
            <w:vAlign w:val="center"/>
          </w:tcPr>
          <w:p w14:paraId="19681F66">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社保证明</w:t>
            </w:r>
          </w:p>
        </w:tc>
        <w:tc>
          <w:tcPr>
            <w:tcW w:w="3780" w:type="dxa"/>
            <w:tcBorders>
              <w:top w:val="single" w:color="auto" w:sz="6" w:space="0"/>
              <w:left w:val="single" w:color="auto" w:sz="6" w:space="0"/>
              <w:bottom w:val="single" w:color="auto" w:sz="6" w:space="0"/>
              <w:right w:val="single" w:color="auto" w:sz="6" w:space="0"/>
            </w:tcBorders>
            <w:noWrap w:val="0"/>
            <w:vAlign w:val="center"/>
          </w:tcPr>
          <w:p w14:paraId="62CA1605">
            <w:pPr>
              <w:keepNext w:val="0"/>
              <w:keepLines w:val="0"/>
              <w:widowControl/>
              <w:suppressLineNumbers w:val="0"/>
              <w:jc w:val="left"/>
              <w:rPr>
                <w:rFonts w:hint="eastAsia" w:ascii="仿宋" w:hAnsi="仿宋" w:eastAsia="仿宋" w:cs="仿宋"/>
                <w:b w:val="0"/>
                <w:bCs w:val="0"/>
                <w:i w:val="0"/>
                <w:iCs w:val="0"/>
                <w:kern w:val="0"/>
                <w:sz w:val="24"/>
                <w:szCs w:val="24"/>
                <w:lang w:val="en-US" w:eastAsia="zh-CN" w:bidi="ar"/>
              </w:rPr>
            </w:pPr>
            <w:r>
              <w:rPr>
                <w:rFonts w:hint="eastAsia" w:ascii="仿宋" w:hAnsi="仿宋" w:eastAsia="仿宋" w:cs="仿宋"/>
                <w:b w:val="0"/>
                <w:bCs w:val="0"/>
                <w:i w:val="0"/>
                <w:iCs w:val="0"/>
                <w:kern w:val="0"/>
                <w:sz w:val="24"/>
                <w:szCs w:val="24"/>
                <w:lang w:val="en-US" w:eastAsia="zh-CN" w:bidi="ar"/>
              </w:rPr>
              <w:t>提供项目负责人所在单位缴纳的社保证明</w:t>
            </w:r>
          </w:p>
        </w:tc>
        <w:tc>
          <w:tcPr>
            <w:tcW w:w="1980" w:type="dxa"/>
            <w:tcBorders>
              <w:top w:val="single" w:color="auto" w:sz="6" w:space="0"/>
              <w:left w:val="single" w:color="auto" w:sz="6" w:space="0"/>
              <w:bottom w:val="single" w:color="auto" w:sz="6" w:space="0"/>
              <w:right w:val="single" w:color="auto" w:sz="6" w:space="0"/>
            </w:tcBorders>
            <w:noWrap w:val="0"/>
            <w:vAlign w:val="top"/>
          </w:tcPr>
          <w:p w14:paraId="1528C83B">
            <w:pPr>
              <w:autoSpaceDE w:val="0"/>
              <w:autoSpaceDN w:val="0"/>
              <w:spacing w:line="360" w:lineRule="auto"/>
              <w:jc w:val="center"/>
              <w:rPr>
                <w:rFonts w:hint="eastAsia" w:ascii="仿宋" w:hAnsi="仿宋" w:eastAsia="仿宋" w:cs="仿宋"/>
                <w:color w:val="auto"/>
                <w:sz w:val="24"/>
                <w:szCs w:val="24"/>
                <w:highlight w:val="none"/>
              </w:rPr>
            </w:pPr>
          </w:p>
        </w:tc>
        <w:tc>
          <w:tcPr>
            <w:tcW w:w="1906" w:type="dxa"/>
            <w:tcBorders>
              <w:top w:val="single" w:color="auto" w:sz="6" w:space="0"/>
              <w:left w:val="single" w:color="auto" w:sz="6" w:space="0"/>
              <w:bottom w:val="single" w:color="auto" w:sz="6" w:space="0"/>
              <w:right w:val="single" w:color="auto" w:sz="6" w:space="0"/>
            </w:tcBorders>
            <w:noWrap w:val="0"/>
            <w:vAlign w:val="top"/>
          </w:tcPr>
          <w:p w14:paraId="0B824A87">
            <w:pPr>
              <w:autoSpaceDE w:val="0"/>
              <w:autoSpaceDN w:val="0"/>
              <w:spacing w:line="360" w:lineRule="auto"/>
              <w:jc w:val="center"/>
              <w:rPr>
                <w:rFonts w:hint="eastAsia" w:ascii="仿宋" w:hAnsi="仿宋" w:eastAsia="仿宋" w:cs="仿宋"/>
                <w:color w:val="auto"/>
                <w:sz w:val="24"/>
                <w:szCs w:val="24"/>
                <w:highlight w:val="none"/>
              </w:rPr>
            </w:pPr>
          </w:p>
        </w:tc>
      </w:tr>
    </w:tbl>
    <w:p w14:paraId="7EA60A3D">
      <w:pPr>
        <w:pStyle w:val="20"/>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28"/>
          <w:szCs w:val="28"/>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8DA88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2115B25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2、须随表提交相应的证明材料，装订成册。</w:t>
      </w:r>
    </w:p>
    <w:p w14:paraId="4A5B8B1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70CF1B39">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2ECE39BF">
      <w:pPr>
        <w:jc w:val="left"/>
        <w:outlineLvl w:val="0"/>
        <w:rPr>
          <w:rStyle w:val="21"/>
          <w:rFonts w:hint="eastAsia" w:ascii="仿宋" w:hAnsi="仿宋" w:eastAsia="仿宋" w:cs="仿宋"/>
          <w:sz w:val="30"/>
        </w:rPr>
      </w:pPr>
    </w:p>
    <w:p w14:paraId="4A931E0D">
      <w:pPr>
        <w:jc w:val="left"/>
        <w:outlineLvl w:val="0"/>
        <w:rPr>
          <w:rStyle w:val="21"/>
          <w:rFonts w:hint="eastAsia" w:ascii="仿宋" w:hAnsi="仿宋" w:eastAsia="仿宋" w:cs="仿宋"/>
          <w:sz w:val="30"/>
        </w:rPr>
      </w:pPr>
    </w:p>
    <w:p w14:paraId="289347F0">
      <w:pPr>
        <w:jc w:val="left"/>
        <w:outlineLvl w:val="0"/>
        <w:rPr>
          <w:rStyle w:val="21"/>
          <w:rFonts w:hint="eastAsia" w:ascii="仿宋" w:hAnsi="仿宋" w:eastAsia="仿宋" w:cs="仿宋"/>
          <w:sz w:val="30"/>
        </w:rPr>
      </w:pPr>
    </w:p>
    <w:p w14:paraId="714DA679">
      <w:pPr>
        <w:jc w:val="left"/>
        <w:outlineLvl w:val="0"/>
        <w:rPr>
          <w:rStyle w:val="21"/>
          <w:rFonts w:hint="eastAsia" w:ascii="仿宋" w:hAnsi="仿宋" w:eastAsia="仿宋" w:cs="仿宋"/>
          <w:sz w:val="30"/>
        </w:rPr>
      </w:pPr>
    </w:p>
    <w:p w14:paraId="5F2355C8">
      <w:pPr>
        <w:jc w:val="left"/>
        <w:outlineLvl w:val="0"/>
        <w:rPr>
          <w:rStyle w:val="21"/>
          <w:rFonts w:hint="eastAsia" w:ascii="仿宋" w:hAnsi="仿宋" w:eastAsia="仿宋" w:cs="仿宋"/>
          <w:sz w:val="30"/>
        </w:rPr>
      </w:pPr>
    </w:p>
    <w:p w14:paraId="41836E8B">
      <w:pPr>
        <w:jc w:val="left"/>
        <w:outlineLvl w:val="0"/>
        <w:rPr>
          <w:rStyle w:val="21"/>
          <w:rFonts w:hint="eastAsia" w:ascii="仿宋" w:hAnsi="仿宋" w:eastAsia="仿宋" w:cs="仿宋"/>
          <w:sz w:val="30"/>
        </w:rPr>
      </w:pPr>
    </w:p>
    <w:p w14:paraId="5E6F0AB0">
      <w:pPr>
        <w:jc w:val="left"/>
        <w:outlineLvl w:val="0"/>
        <w:rPr>
          <w:rStyle w:val="21"/>
          <w:rFonts w:hint="eastAsia" w:ascii="仿宋" w:hAnsi="仿宋" w:eastAsia="仿宋" w:cs="仿宋"/>
          <w:sz w:val="30"/>
        </w:rPr>
      </w:pPr>
    </w:p>
    <w:p w14:paraId="2A6C9D94">
      <w:pPr>
        <w:jc w:val="left"/>
        <w:outlineLvl w:val="0"/>
        <w:rPr>
          <w:rStyle w:val="21"/>
          <w:rFonts w:hint="eastAsia" w:ascii="仿宋" w:hAnsi="仿宋" w:eastAsia="仿宋" w:cs="仿宋"/>
          <w:sz w:val="30"/>
        </w:rPr>
      </w:pPr>
    </w:p>
    <w:p w14:paraId="49FC582B">
      <w:pPr>
        <w:jc w:val="left"/>
        <w:outlineLvl w:val="0"/>
        <w:rPr>
          <w:rStyle w:val="21"/>
          <w:rFonts w:hint="eastAsia" w:ascii="仿宋" w:hAnsi="仿宋" w:eastAsia="仿宋" w:cs="仿宋"/>
          <w:sz w:val="30"/>
        </w:rPr>
      </w:pPr>
    </w:p>
    <w:p w14:paraId="48887529">
      <w:pPr>
        <w:jc w:val="left"/>
        <w:outlineLvl w:val="0"/>
        <w:rPr>
          <w:rStyle w:val="21"/>
          <w:rFonts w:hint="eastAsia" w:ascii="仿宋" w:hAnsi="仿宋" w:eastAsia="仿宋" w:cs="仿宋"/>
          <w:sz w:val="30"/>
        </w:rPr>
      </w:pPr>
    </w:p>
    <w:p w14:paraId="764599F8">
      <w:pPr>
        <w:jc w:val="left"/>
        <w:outlineLvl w:val="0"/>
        <w:rPr>
          <w:rStyle w:val="21"/>
          <w:rFonts w:hint="eastAsia" w:ascii="仿宋" w:hAnsi="仿宋" w:eastAsia="仿宋" w:cs="仿宋"/>
          <w:sz w:val="30"/>
        </w:rPr>
      </w:pPr>
    </w:p>
    <w:p w14:paraId="60289D8E">
      <w:pPr>
        <w:jc w:val="left"/>
        <w:outlineLvl w:val="0"/>
        <w:rPr>
          <w:rStyle w:val="21"/>
          <w:rFonts w:hint="eastAsia" w:ascii="仿宋" w:hAnsi="仿宋" w:eastAsia="仿宋" w:cs="仿宋"/>
          <w:sz w:val="30"/>
        </w:rPr>
      </w:pPr>
    </w:p>
    <w:p w14:paraId="0FC3E4AF">
      <w:pPr>
        <w:jc w:val="left"/>
        <w:outlineLvl w:val="0"/>
        <w:rPr>
          <w:rStyle w:val="21"/>
          <w:rFonts w:hint="eastAsia" w:ascii="仿宋" w:hAnsi="仿宋" w:eastAsia="仿宋" w:cs="仿宋"/>
          <w:sz w:val="30"/>
        </w:rPr>
      </w:pPr>
    </w:p>
    <w:p w14:paraId="2C9A322D">
      <w:pPr>
        <w:jc w:val="left"/>
        <w:outlineLvl w:val="0"/>
        <w:rPr>
          <w:rStyle w:val="21"/>
          <w:rFonts w:hint="eastAsia" w:ascii="仿宋" w:hAnsi="仿宋" w:eastAsia="仿宋" w:cs="仿宋"/>
          <w:sz w:val="30"/>
        </w:rPr>
      </w:pPr>
    </w:p>
    <w:p w14:paraId="566F031E">
      <w:pPr>
        <w:jc w:val="left"/>
        <w:outlineLvl w:val="0"/>
        <w:rPr>
          <w:rStyle w:val="21"/>
          <w:rFonts w:hint="eastAsia" w:ascii="仿宋" w:hAnsi="仿宋" w:eastAsia="仿宋" w:cs="仿宋"/>
          <w:sz w:val="30"/>
        </w:rPr>
      </w:pPr>
    </w:p>
    <w:p w14:paraId="0272915C">
      <w:pPr>
        <w:jc w:val="left"/>
        <w:outlineLvl w:val="0"/>
        <w:rPr>
          <w:rStyle w:val="21"/>
          <w:rFonts w:hint="eastAsia" w:ascii="仿宋" w:hAnsi="仿宋" w:eastAsia="仿宋" w:cs="仿宋"/>
          <w:sz w:val="30"/>
        </w:rPr>
      </w:pPr>
    </w:p>
    <w:p w14:paraId="657D6C18">
      <w:pPr>
        <w:jc w:val="left"/>
        <w:outlineLvl w:val="0"/>
        <w:rPr>
          <w:rStyle w:val="21"/>
          <w:rFonts w:hint="eastAsia" w:ascii="仿宋" w:hAnsi="仿宋" w:eastAsia="仿宋" w:cs="仿宋"/>
          <w:sz w:val="30"/>
        </w:rPr>
      </w:pPr>
    </w:p>
    <w:p w14:paraId="0DF354F1">
      <w:pPr>
        <w:jc w:val="left"/>
        <w:outlineLvl w:val="0"/>
        <w:rPr>
          <w:rStyle w:val="21"/>
          <w:rFonts w:hint="eastAsia" w:ascii="仿宋" w:hAnsi="仿宋" w:eastAsia="仿宋" w:cs="仿宋"/>
          <w:sz w:val="30"/>
        </w:rPr>
      </w:pPr>
    </w:p>
    <w:p w14:paraId="748C5A06">
      <w:pPr>
        <w:jc w:val="left"/>
        <w:outlineLvl w:val="0"/>
        <w:rPr>
          <w:rStyle w:val="21"/>
          <w:rFonts w:hint="eastAsia" w:ascii="仿宋" w:hAnsi="仿宋" w:eastAsia="仿宋" w:cs="仿宋"/>
          <w:sz w:val="30"/>
        </w:rPr>
      </w:pPr>
    </w:p>
    <w:p w14:paraId="4B91D774">
      <w:pPr>
        <w:jc w:val="left"/>
        <w:outlineLvl w:val="0"/>
        <w:rPr>
          <w:rStyle w:val="21"/>
          <w:rFonts w:hint="eastAsia" w:ascii="仿宋" w:hAnsi="仿宋" w:eastAsia="仿宋" w:cs="仿宋"/>
          <w:sz w:val="30"/>
        </w:rPr>
      </w:pPr>
    </w:p>
    <w:p w14:paraId="045C7AB0">
      <w:pPr>
        <w:jc w:val="left"/>
        <w:outlineLvl w:val="0"/>
        <w:rPr>
          <w:rStyle w:val="21"/>
          <w:rFonts w:hint="eastAsia" w:ascii="仿宋" w:hAnsi="仿宋" w:eastAsia="仿宋" w:cs="仿宋"/>
          <w:sz w:val="30"/>
        </w:rPr>
      </w:pPr>
    </w:p>
    <w:p w14:paraId="2BBCBD9C">
      <w:pPr>
        <w:jc w:val="left"/>
        <w:outlineLvl w:val="0"/>
        <w:rPr>
          <w:rStyle w:val="21"/>
          <w:rFonts w:hint="eastAsia" w:ascii="仿宋" w:hAnsi="仿宋" w:eastAsia="仿宋" w:cs="仿宋"/>
          <w:sz w:val="30"/>
        </w:rPr>
      </w:pPr>
    </w:p>
    <w:p w14:paraId="679AED15">
      <w:pPr>
        <w:jc w:val="left"/>
        <w:outlineLvl w:val="0"/>
        <w:rPr>
          <w:rStyle w:val="21"/>
          <w:rFonts w:hint="eastAsia" w:ascii="仿宋" w:hAnsi="仿宋" w:eastAsia="仿宋" w:cs="仿宋"/>
          <w:sz w:val="30"/>
        </w:rPr>
      </w:pPr>
    </w:p>
    <w:p w14:paraId="04507092">
      <w:pPr>
        <w:jc w:val="left"/>
        <w:outlineLvl w:val="0"/>
        <w:rPr>
          <w:rStyle w:val="21"/>
          <w:rFonts w:hint="eastAsia" w:ascii="仿宋" w:hAnsi="仿宋" w:eastAsia="仿宋" w:cs="仿宋"/>
          <w:sz w:val="30"/>
        </w:rPr>
      </w:pPr>
    </w:p>
    <w:p w14:paraId="76DD92E9">
      <w:pPr>
        <w:jc w:val="left"/>
        <w:outlineLvl w:val="0"/>
        <w:rPr>
          <w:rStyle w:val="21"/>
          <w:rFonts w:hint="eastAsia" w:ascii="仿宋" w:hAnsi="仿宋" w:eastAsia="仿宋" w:cs="仿宋"/>
          <w:sz w:val="30"/>
        </w:rPr>
      </w:pPr>
    </w:p>
    <w:p w14:paraId="72F2DC62">
      <w:pPr>
        <w:jc w:val="left"/>
        <w:outlineLvl w:val="0"/>
        <w:rPr>
          <w:rStyle w:val="21"/>
          <w:rFonts w:hint="eastAsia" w:ascii="仿宋" w:hAnsi="仿宋" w:eastAsia="仿宋" w:cs="仿宋"/>
          <w:sz w:val="30"/>
        </w:rPr>
      </w:pPr>
    </w:p>
    <w:p w14:paraId="08CA967B">
      <w:pPr>
        <w:jc w:val="left"/>
        <w:outlineLvl w:val="0"/>
        <w:rPr>
          <w:rStyle w:val="21"/>
          <w:rFonts w:hint="eastAsia" w:ascii="仿宋" w:hAnsi="仿宋" w:eastAsia="仿宋" w:cs="仿宋"/>
          <w:sz w:val="30"/>
        </w:rPr>
      </w:pPr>
      <w:bookmarkStart w:id="19" w:name="_Toc18885"/>
      <w:r>
        <w:rPr>
          <w:rStyle w:val="21"/>
          <w:rFonts w:hint="eastAsia" w:ascii="仿宋" w:hAnsi="仿宋" w:eastAsia="仿宋" w:cs="仿宋"/>
          <w:sz w:val="30"/>
        </w:rPr>
        <w:t>附件</w:t>
      </w:r>
      <w:r>
        <w:rPr>
          <w:rStyle w:val="21"/>
          <w:rFonts w:hint="eastAsia" w:ascii="仿宋" w:hAnsi="仿宋" w:eastAsia="仿宋" w:cs="仿宋"/>
          <w:sz w:val="30"/>
          <w:lang w:val="en-US"/>
        </w:rPr>
        <w:t>二</w:t>
      </w:r>
      <w:r>
        <w:rPr>
          <w:rStyle w:val="21"/>
          <w:rFonts w:hint="eastAsia" w:ascii="仿宋" w:hAnsi="仿宋" w:eastAsia="仿宋" w:cs="仿宋"/>
          <w:sz w:val="30"/>
        </w:rPr>
        <w:t>：</w:t>
      </w:r>
      <w:bookmarkEnd w:id="19"/>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2026-2027CEMS系统比对 </w:t>
      </w:r>
      <w:r>
        <w:rPr>
          <w:rFonts w:hint="eastAsia" w:ascii="仿宋" w:hAnsi="仿宋" w:eastAsia="仿宋" w:cs="仿宋"/>
          <w:sz w:val="30"/>
          <w:szCs w:val="30"/>
          <w:u w:val="none"/>
          <w:lang w:val="en-US" w:eastAsia="zh-CN"/>
        </w:rPr>
        <w:t>项目。</w:t>
      </w:r>
    </w:p>
    <w:tbl>
      <w:tblPr>
        <w:tblStyle w:val="13"/>
        <w:tblW w:w="5948" w:type="pct"/>
        <w:jc w:val="center"/>
        <w:tblLayout w:type="fixed"/>
        <w:tblCellMar>
          <w:top w:w="0" w:type="dxa"/>
          <w:left w:w="108" w:type="dxa"/>
          <w:bottom w:w="0" w:type="dxa"/>
          <w:right w:w="108" w:type="dxa"/>
        </w:tblCellMar>
      </w:tblPr>
      <w:tblGrid>
        <w:gridCol w:w="435"/>
        <w:gridCol w:w="2147"/>
        <w:gridCol w:w="1613"/>
        <w:gridCol w:w="1362"/>
        <w:gridCol w:w="1308"/>
        <w:gridCol w:w="1177"/>
        <w:gridCol w:w="583"/>
        <w:gridCol w:w="1249"/>
        <w:gridCol w:w="1176"/>
      </w:tblGrid>
      <w:tr w14:paraId="28432433">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4C684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970" w:type="dxa"/>
            <w:tcBorders>
              <w:top w:val="single" w:color="000000" w:sz="4" w:space="0"/>
              <w:left w:val="single" w:color="000000" w:sz="4" w:space="0"/>
              <w:bottom w:val="single" w:color="000000" w:sz="4" w:space="0"/>
              <w:right w:val="single" w:color="000000" w:sz="4" w:space="0"/>
            </w:tcBorders>
            <w:noWrap/>
            <w:vAlign w:val="center"/>
          </w:tcPr>
          <w:p w14:paraId="49CD9D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检测因子名称</w:t>
            </w:r>
          </w:p>
        </w:tc>
        <w:tc>
          <w:tcPr>
            <w:tcW w:w="1480" w:type="dxa"/>
            <w:tcBorders>
              <w:top w:val="single" w:color="000000" w:sz="4" w:space="0"/>
              <w:left w:val="single" w:color="000000" w:sz="4" w:space="0"/>
              <w:bottom w:val="single" w:color="000000" w:sz="4" w:space="0"/>
              <w:right w:val="single" w:color="000000" w:sz="4" w:space="0"/>
            </w:tcBorders>
            <w:noWrap/>
            <w:vAlign w:val="center"/>
          </w:tcPr>
          <w:p w14:paraId="5E7A61F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1250" w:type="dxa"/>
            <w:tcBorders>
              <w:top w:val="single" w:color="000000" w:sz="4" w:space="0"/>
              <w:left w:val="single" w:color="000000" w:sz="4" w:space="0"/>
              <w:bottom w:val="single" w:color="000000" w:sz="4" w:space="0"/>
              <w:right w:val="single" w:color="000000" w:sz="4" w:space="0"/>
            </w:tcBorders>
            <w:noWrap/>
            <w:vAlign w:val="center"/>
          </w:tcPr>
          <w:p w14:paraId="34C4EC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单次检测频次</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6B6B6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5F5B6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总样品数量</w:t>
            </w:r>
          </w:p>
        </w:tc>
        <w:tc>
          <w:tcPr>
            <w:tcW w:w="535" w:type="dxa"/>
            <w:tcBorders>
              <w:top w:val="single" w:color="000000" w:sz="4" w:space="0"/>
              <w:left w:val="single" w:color="000000" w:sz="4" w:space="0"/>
              <w:bottom w:val="single" w:color="000000" w:sz="4" w:space="0"/>
              <w:right w:val="single" w:color="000000" w:sz="4" w:space="0"/>
            </w:tcBorders>
            <w:noWrap/>
            <w:vAlign w:val="center"/>
          </w:tcPr>
          <w:p w14:paraId="3E609CF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单位</w:t>
            </w:r>
          </w:p>
        </w:tc>
        <w:tc>
          <w:tcPr>
            <w:tcW w:w="1146" w:type="dxa"/>
            <w:tcBorders>
              <w:top w:val="single" w:color="000000" w:sz="4" w:space="0"/>
              <w:left w:val="single" w:color="000000" w:sz="4" w:space="0"/>
              <w:bottom w:val="single" w:color="000000" w:sz="4" w:space="0"/>
              <w:right w:val="single" w:color="000000" w:sz="4" w:space="0"/>
            </w:tcBorders>
            <w:noWrap/>
            <w:vAlign w:val="center"/>
          </w:tcPr>
          <w:p w14:paraId="72298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79" w:type="dxa"/>
            <w:tcBorders>
              <w:top w:val="single" w:color="000000" w:sz="4" w:space="0"/>
              <w:left w:val="single" w:color="000000" w:sz="4" w:space="0"/>
              <w:bottom w:val="single" w:color="000000" w:sz="4" w:space="0"/>
              <w:right w:val="single" w:color="000000" w:sz="4" w:space="0"/>
            </w:tcBorders>
            <w:noWrap/>
            <w:vAlign w:val="center"/>
          </w:tcPr>
          <w:p w14:paraId="1E5202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10373F50">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1A9A9A7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488EF61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颗粒物</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6A0C81A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230094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E3A998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62DA29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60</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30D974B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E5B24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705AD4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55C39FD">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45434E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9CA5CE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氮氧化物</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D70BED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E4620B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F1437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2CD1C49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2DE66C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4DED7F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48EA83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FC0B5C2">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7A1134B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B96C5E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二氧化硫</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2D8CAFC7">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B95F8EE">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47E03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8C95F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4241F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2AF1C4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22BCA8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AB976A4">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416A2ABA">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7587A56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氯化氢</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57A86A48">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283A176">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E917C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1425B06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1991D9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6EECD2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7A3AA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1CDDC03">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32BEA15">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0A10A27F">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一氧化碳</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119897C4">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3F7C6FB">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B9FE87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453B7B91">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A2A1527">
            <w:pPr>
              <w:keepNext w:val="0"/>
              <w:keepLines w:val="0"/>
              <w:widowControl/>
              <w:suppressLineNumbers w:val="0"/>
              <w:jc w:val="center"/>
              <w:textAlignment w:val="center"/>
              <w:rPr>
                <w:rFonts w:hint="default" w:ascii="仿宋" w:hAnsi="仿宋" w:eastAsia="仿宋" w:cs="仿宋"/>
                <w:i w:val="0"/>
                <w:iCs w:val="0"/>
                <w:color w:val="000000"/>
                <w:kern w:val="2"/>
                <w:sz w:val="24"/>
                <w:szCs w:val="24"/>
                <w:highlight w:val="none"/>
                <w:u w:val="none"/>
                <w:lang w:val="en-US" w:eastAsia="zh-CN" w:bidi="ar-SA"/>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0088A6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39C39FF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3B80EEF">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3511C97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w:t>
            </w:r>
          </w:p>
        </w:tc>
        <w:tc>
          <w:tcPr>
            <w:tcW w:w="1970" w:type="dxa"/>
            <w:tcBorders>
              <w:top w:val="single" w:color="000000" w:sz="4" w:space="0"/>
              <w:left w:val="single" w:color="000000" w:sz="4" w:space="0"/>
              <w:bottom w:val="single" w:color="000000" w:sz="4" w:space="0"/>
              <w:right w:val="single" w:color="000000" w:sz="4" w:space="0"/>
            </w:tcBorders>
            <w:noWrap w:val="0"/>
            <w:vAlign w:val="center"/>
          </w:tcPr>
          <w:p w14:paraId="20C5BC2D">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含氧量、</w:t>
            </w:r>
            <w:r>
              <w:rPr>
                <w:rFonts w:hint="eastAsia" w:ascii="仿宋" w:hAnsi="仿宋" w:eastAsia="仿宋" w:cs="仿宋"/>
                <w:i w:val="0"/>
                <w:iCs w:val="0"/>
                <w:color w:val="000000"/>
                <w:sz w:val="24"/>
                <w:szCs w:val="24"/>
                <w:highlight w:val="none"/>
                <w:u w:val="none"/>
                <w:lang w:eastAsia="zh-CN"/>
              </w:rPr>
              <w:t>烟气湿度、烟气流速、烟气温度</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84BBEFC">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3C69C69">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D31460">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14:paraId="5DDCDD53">
            <w:pPr>
              <w:keepNext w:val="0"/>
              <w:keepLines w:val="0"/>
              <w:widowControl/>
              <w:suppressLineNumbers w:val="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108</w:t>
            </w:r>
          </w:p>
        </w:tc>
        <w:tc>
          <w:tcPr>
            <w:tcW w:w="535" w:type="dxa"/>
            <w:tcBorders>
              <w:top w:val="single" w:color="000000" w:sz="4" w:space="0"/>
              <w:left w:val="single" w:color="000000" w:sz="4" w:space="0"/>
              <w:bottom w:val="single" w:color="000000" w:sz="4" w:space="0"/>
              <w:right w:val="single" w:color="000000" w:sz="4" w:space="0"/>
            </w:tcBorders>
            <w:noWrap w:val="0"/>
            <w:vAlign w:val="center"/>
          </w:tcPr>
          <w:p w14:paraId="0E4C7A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次</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14:paraId="140AEF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14:paraId="6EE347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5F5F2CB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w:t>
      </w:r>
      <w:r>
        <w:rPr>
          <w:rFonts w:hint="eastAsia" w:ascii="仿宋" w:hAnsi="仿宋" w:eastAsia="仿宋" w:cs="仿宋"/>
          <w:sz w:val="30"/>
          <w:szCs w:val="30"/>
          <w:highlight w:val="none"/>
          <w:lang w:val="en-US" w:eastAsia="zh-CN"/>
        </w:rPr>
        <w:t>金（合同价的5%）汇至采购人指定账户，于服务完成并出具比对报告后无息退还</w:t>
      </w:r>
      <w:r>
        <w:rPr>
          <w:rFonts w:hint="eastAsia" w:ascii="仿宋" w:hAnsi="仿宋" w:eastAsia="仿宋" w:cs="仿宋"/>
          <w:color w:val="auto"/>
          <w:kern w:val="2"/>
          <w:sz w:val="30"/>
          <w:szCs w:val="30"/>
          <w:highlight w:val="none"/>
        </w:rPr>
        <w:t>。</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none"/>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highlight w:val="none"/>
          <w:lang w:eastAsia="zh-CN"/>
        </w:rPr>
        <w:t>目采购总金额限价人民币12.2</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r>
        <w:rPr>
          <w:rFonts w:hint="eastAsia" w:ascii="仿宋" w:hAnsi="仿宋" w:eastAsia="仿宋" w:cs="仿宋"/>
          <w:sz w:val="30"/>
          <w:szCs w:val="30"/>
          <w:highlight w:val="none"/>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2、该采购项目履约保证金为合同价的5%。中标人于合同签订前将履约保证金打入招标人指定账户。服务完成并出具比对报告后无息退还。</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highlight w:val="none"/>
          <w:lang w:val="en-US" w:eastAsia="zh-CN"/>
        </w:rPr>
        <w:t>3、</w:t>
      </w:r>
      <w:r>
        <w:rPr>
          <w:rFonts w:hint="eastAsia" w:ascii="仿宋" w:hAnsi="仿宋" w:eastAsia="仿宋" w:cs="仿宋"/>
          <w:color w:val="auto"/>
          <w:sz w:val="30"/>
          <w:szCs w:val="30"/>
          <w:highlight w:val="none"/>
          <w:lang w:val="en-US" w:eastAsia="zh-CN"/>
        </w:rPr>
        <w:t>预成交公示结束后，中标人在收到招标人拟订合同（所中标项</w:t>
      </w:r>
      <w:r>
        <w:rPr>
          <w:rFonts w:hint="eastAsia" w:ascii="仿宋" w:hAnsi="仿宋" w:eastAsia="仿宋" w:cs="仿宋"/>
          <w:color w:val="auto"/>
          <w:sz w:val="30"/>
          <w:szCs w:val="30"/>
          <w:lang w:val="en-US" w:eastAsia="zh-CN"/>
        </w:rPr>
        <w:t>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5369577">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3E1333BF">
      <w:pPr>
        <w:jc w:val="left"/>
        <w:outlineLvl w:val="0"/>
        <w:rPr>
          <w:rStyle w:val="21"/>
          <w:rFonts w:hint="eastAsia" w:ascii="仿宋" w:hAnsi="仿宋" w:eastAsia="仿宋" w:cs="仿宋"/>
          <w:sz w:val="30"/>
        </w:rPr>
      </w:pPr>
      <w:bookmarkStart w:id="20" w:name="_Toc14352"/>
      <w:bookmarkStart w:id="21" w:name="_Toc108839328"/>
      <w:bookmarkStart w:id="22" w:name="_Toc103165678"/>
      <w:r>
        <w:rPr>
          <w:rStyle w:val="21"/>
          <w:rFonts w:hint="eastAsia" w:ascii="仿宋" w:hAnsi="仿宋" w:eastAsia="仿宋" w:cs="仿宋"/>
          <w:sz w:val="30"/>
        </w:rPr>
        <w:t>附件</w:t>
      </w:r>
      <w:r>
        <w:rPr>
          <w:rStyle w:val="21"/>
          <w:rFonts w:hint="eastAsia" w:ascii="仿宋" w:hAnsi="仿宋" w:eastAsia="仿宋" w:cs="仿宋"/>
          <w:sz w:val="30"/>
          <w:lang w:val="en-US"/>
        </w:rPr>
        <w:t>三</w:t>
      </w:r>
      <w:r>
        <w:rPr>
          <w:rStyle w:val="21"/>
          <w:rFonts w:hint="eastAsia" w:ascii="仿宋" w:hAnsi="仿宋" w:eastAsia="仿宋" w:cs="仿宋"/>
          <w:sz w:val="30"/>
        </w:rPr>
        <w:t>：</w:t>
      </w:r>
      <w:bookmarkEnd w:id="20"/>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2026-2027CEMS系统比对 </w:t>
      </w:r>
      <w:r>
        <w:rPr>
          <w:rFonts w:hint="eastAsia" w:ascii="仿宋" w:hAnsi="仿宋" w:eastAsia="仿宋" w:cs="仿宋"/>
          <w:color w:val="auto"/>
          <w:sz w:val="30"/>
          <w:szCs w:val="30"/>
          <w:u w:val="none"/>
          <w:lang w:val="en-US" w:eastAsia="zh-CN"/>
        </w:rPr>
        <w:t>项目。</w:t>
      </w:r>
    </w:p>
    <w:tbl>
      <w:tblPr>
        <w:tblStyle w:val="13"/>
        <w:tblW w:w="5839" w:type="pct"/>
        <w:jc w:val="center"/>
        <w:tblLayout w:type="fixed"/>
        <w:tblCellMar>
          <w:top w:w="0" w:type="dxa"/>
          <w:left w:w="108" w:type="dxa"/>
          <w:bottom w:w="0" w:type="dxa"/>
          <w:right w:w="108" w:type="dxa"/>
        </w:tblCellMar>
      </w:tblPr>
      <w:tblGrid>
        <w:gridCol w:w="399"/>
        <w:gridCol w:w="1694"/>
        <w:gridCol w:w="1395"/>
        <w:gridCol w:w="1483"/>
        <w:gridCol w:w="1560"/>
        <w:gridCol w:w="1290"/>
        <w:gridCol w:w="857"/>
        <w:gridCol w:w="1095"/>
        <w:gridCol w:w="1074"/>
      </w:tblGrid>
      <w:tr w14:paraId="473C2AEE">
        <w:tblPrEx>
          <w:tblCellMar>
            <w:top w:w="0" w:type="dxa"/>
            <w:left w:w="108" w:type="dxa"/>
            <w:bottom w:w="0" w:type="dxa"/>
            <w:right w:w="108" w:type="dxa"/>
          </w:tblCellMar>
        </w:tblPrEx>
        <w:trPr>
          <w:trHeight w:val="467"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694"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检测因子名称</w:t>
            </w:r>
          </w:p>
        </w:tc>
        <w:tc>
          <w:tcPr>
            <w:tcW w:w="1395"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点位数量</w:t>
            </w:r>
          </w:p>
        </w:tc>
        <w:tc>
          <w:tcPr>
            <w:tcW w:w="1483"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单次检测频次</w:t>
            </w:r>
          </w:p>
        </w:tc>
        <w:tc>
          <w:tcPr>
            <w:tcW w:w="1560"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年度检测频次</w:t>
            </w: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0A9E0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总样品数量</w:t>
            </w:r>
          </w:p>
        </w:tc>
        <w:tc>
          <w:tcPr>
            <w:tcW w:w="857" w:type="dxa"/>
            <w:tcBorders>
              <w:top w:val="single" w:color="000000" w:sz="4" w:space="0"/>
              <w:left w:val="single" w:color="000000" w:sz="4" w:space="0"/>
              <w:bottom w:val="single" w:color="000000" w:sz="4" w:space="0"/>
              <w:right w:val="single" w:color="000000" w:sz="4" w:space="0"/>
            </w:tcBorders>
            <w:noWrap/>
            <w:vAlign w:val="center"/>
          </w:tcPr>
          <w:p w14:paraId="509F1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sz w:val="24"/>
                <w:szCs w:val="24"/>
                <w:highlight w:val="none"/>
                <w:u w:val="none"/>
                <w:lang w:val="en-US" w:eastAsia="zh-CN"/>
              </w:rPr>
              <w:t>单位</w:t>
            </w:r>
          </w:p>
        </w:tc>
        <w:tc>
          <w:tcPr>
            <w:tcW w:w="1095" w:type="dxa"/>
            <w:tcBorders>
              <w:top w:val="single" w:color="000000" w:sz="4" w:space="0"/>
              <w:left w:val="single" w:color="000000" w:sz="4" w:space="0"/>
              <w:bottom w:val="single" w:color="000000" w:sz="4" w:space="0"/>
              <w:right w:val="single" w:color="000000" w:sz="4" w:space="0"/>
            </w:tcBorders>
            <w:noWrap/>
            <w:vAlign w:val="center"/>
          </w:tcPr>
          <w:p w14:paraId="06A519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074" w:type="dxa"/>
            <w:tcBorders>
              <w:top w:val="single" w:color="000000" w:sz="4" w:space="0"/>
              <w:left w:val="single" w:color="000000" w:sz="4" w:space="0"/>
              <w:bottom w:val="single" w:color="000000" w:sz="4" w:space="0"/>
              <w:right w:val="single" w:color="000000" w:sz="4" w:space="0"/>
            </w:tcBorders>
            <w:noWrap/>
            <w:vAlign w:val="center"/>
          </w:tcPr>
          <w:p w14:paraId="00095C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金额（元）</w:t>
            </w:r>
          </w:p>
        </w:tc>
      </w:tr>
      <w:tr w14:paraId="6ECF89AB">
        <w:tblPrEx>
          <w:tblCellMar>
            <w:top w:w="0" w:type="dxa"/>
            <w:left w:w="108" w:type="dxa"/>
            <w:bottom w:w="0" w:type="dxa"/>
            <w:right w:w="108" w:type="dxa"/>
          </w:tblCellMar>
        </w:tblPrEx>
        <w:trPr>
          <w:trHeight w:val="532" w:hRule="atLeast"/>
          <w:jc w:val="center"/>
        </w:trPr>
        <w:tc>
          <w:tcPr>
            <w:tcW w:w="399"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1</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lang w:eastAsia="zh-CN"/>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857" w:type="dxa"/>
            <w:tcBorders>
              <w:top w:val="single" w:color="000000" w:sz="4" w:space="0"/>
              <w:left w:val="single" w:color="000000" w:sz="4" w:space="0"/>
              <w:bottom w:val="single" w:color="000000" w:sz="4" w:space="0"/>
              <w:right w:val="single" w:color="000000" w:sz="4" w:space="0"/>
            </w:tcBorders>
            <w:noWrap w:val="0"/>
            <w:vAlign w:val="center"/>
          </w:tcPr>
          <w:p w14:paraId="17823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E833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c>
          <w:tcPr>
            <w:tcW w:w="1074" w:type="dxa"/>
            <w:tcBorders>
              <w:top w:val="single" w:color="000000" w:sz="4" w:space="0"/>
              <w:left w:val="single" w:color="000000" w:sz="4" w:space="0"/>
              <w:bottom w:val="single" w:color="000000" w:sz="4" w:space="0"/>
              <w:right w:val="single" w:color="000000" w:sz="4" w:space="0"/>
            </w:tcBorders>
            <w:noWrap w:val="0"/>
            <w:vAlign w:val="center"/>
          </w:tcPr>
          <w:p w14:paraId="0B0F4B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auto"/>
                <w:kern w:val="0"/>
                <w:sz w:val="24"/>
                <w:szCs w:val="24"/>
                <w:highlight w:val="none"/>
                <w:u w:val="none"/>
                <w:lang w:val="en-US" w:eastAsia="zh-CN" w:bidi="ar"/>
              </w:rPr>
            </w:pPr>
          </w:p>
        </w:tc>
      </w:tr>
    </w:tbl>
    <w:p w14:paraId="410BE382">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每次比对服务完成后，服务方出具生态环境局认可的报告文件并提供经双方确认的增值税专用发票，采购人自收到报告文件和发票后，于次二月完成款项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在合同签订前将履约保证金（合同价的5%）汇至采购人指定账户，于服务完成并出具比对报告后无息退还</w:t>
      </w:r>
      <w:r>
        <w:rPr>
          <w:rFonts w:hint="eastAsia" w:ascii="仿宋" w:hAnsi="仿宋" w:eastAsia="仿宋" w:cs="仿宋"/>
          <w:color w:val="auto"/>
          <w:kern w:val="2"/>
          <w:sz w:val="30"/>
          <w:szCs w:val="30"/>
          <w:highlight w:val="none"/>
          <w:lang w:eastAsia="zh-CN"/>
        </w:rPr>
        <w:t>。</w:t>
      </w:r>
    </w:p>
    <w:p w14:paraId="7D027474">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1D11ABE">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bookmarkEnd w:id="21"/>
    <w:bookmarkEnd w:id="22"/>
    <w:p w14:paraId="6004A5C2">
      <w:pPr>
        <w:jc w:val="left"/>
        <w:outlineLvl w:val="0"/>
        <w:rPr>
          <w:rStyle w:val="21"/>
          <w:rFonts w:hint="eastAsia" w:ascii="仿宋" w:hAnsi="仿宋" w:eastAsia="仿宋" w:cs="仿宋"/>
          <w:sz w:val="30"/>
        </w:rPr>
      </w:pPr>
      <w:bookmarkStart w:id="23" w:name="_Toc28603"/>
      <w:r>
        <w:rPr>
          <w:rStyle w:val="21"/>
          <w:rFonts w:hint="eastAsia" w:ascii="仿宋" w:hAnsi="仿宋" w:eastAsia="仿宋" w:cs="仿宋"/>
          <w:sz w:val="30"/>
        </w:rPr>
        <w:t>附件</w:t>
      </w:r>
      <w:r>
        <w:rPr>
          <w:rStyle w:val="21"/>
          <w:rFonts w:hint="eastAsia" w:ascii="仿宋" w:hAnsi="仿宋" w:eastAsia="仿宋" w:cs="仿宋"/>
          <w:sz w:val="30"/>
          <w:lang w:val="en-US"/>
        </w:rPr>
        <w:t>四</w:t>
      </w:r>
      <w:r>
        <w:rPr>
          <w:rStyle w:val="21"/>
          <w:rFonts w:hint="eastAsia" w:ascii="仿宋" w:hAnsi="仿宋" w:eastAsia="仿宋" w:cs="仿宋"/>
          <w:sz w:val="30"/>
        </w:rPr>
        <w:t>：</w:t>
      </w:r>
      <w:bookmarkEnd w:id="23"/>
    </w:p>
    <w:p w14:paraId="6DD8282D">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2026-2027CEMS系统比对项目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ACADD0A"/>
    <w:multiLevelType w:val="singleLevel"/>
    <w:tmpl w:val="8ACADD0A"/>
    <w:lvl w:ilvl="0" w:tentative="0">
      <w:start w:val="1"/>
      <w:numFmt w:val="decimal"/>
      <w:suff w:val="nothing"/>
      <w:lvlText w:val="%1、"/>
      <w:lvlJc w:val="left"/>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5AF6242"/>
    <w:multiLevelType w:val="singleLevel"/>
    <w:tmpl w:val="05AF6242"/>
    <w:lvl w:ilvl="0" w:tentative="0">
      <w:start w:val="5"/>
      <w:numFmt w:val="chineseCounting"/>
      <w:suff w:val="space"/>
      <w:lvlText w:val="第%1条"/>
      <w:lvlJc w:val="left"/>
      <w:rPr>
        <w:rFonts w:hint="eastAsia"/>
      </w:rPr>
    </w:lvl>
  </w:abstractNum>
  <w:abstractNum w:abstractNumId="6">
    <w:nsid w:val="4CC8527C"/>
    <w:multiLevelType w:val="singleLevel"/>
    <w:tmpl w:val="4CC8527C"/>
    <w:lvl w:ilvl="0" w:tentative="0">
      <w:start w:val="6"/>
      <w:numFmt w:val="chineseCounting"/>
      <w:suff w:val="nothing"/>
      <w:lvlText w:val="%1、"/>
      <w:lvlJc w:val="left"/>
      <w:rPr>
        <w:rFonts w:hint="eastAsia"/>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C782EF0"/>
    <w:rsid w:val="0DC35837"/>
    <w:rsid w:val="0DE61498"/>
    <w:rsid w:val="110C39D4"/>
    <w:rsid w:val="1297576D"/>
    <w:rsid w:val="12BF4C87"/>
    <w:rsid w:val="12E70A09"/>
    <w:rsid w:val="1325794A"/>
    <w:rsid w:val="15061C4B"/>
    <w:rsid w:val="15341747"/>
    <w:rsid w:val="164F6705"/>
    <w:rsid w:val="16646293"/>
    <w:rsid w:val="16A83419"/>
    <w:rsid w:val="16FE5921"/>
    <w:rsid w:val="17B042A1"/>
    <w:rsid w:val="186A6E09"/>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03547D"/>
    <w:rsid w:val="23AD6C0F"/>
    <w:rsid w:val="23D12305"/>
    <w:rsid w:val="24130D0C"/>
    <w:rsid w:val="259E2C64"/>
    <w:rsid w:val="26F76768"/>
    <w:rsid w:val="27AC61A6"/>
    <w:rsid w:val="27FE02E6"/>
    <w:rsid w:val="28C57566"/>
    <w:rsid w:val="28F829FE"/>
    <w:rsid w:val="29084622"/>
    <w:rsid w:val="29F704EF"/>
    <w:rsid w:val="2A0049E3"/>
    <w:rsid w:val="2AC220DE"/>
    <w:rsid w:val="2ADB5E21"/>
    <w:rsid w:val="2ADF08BA"/>
    <w:rsid w:val="2B603075"/>
    <w:rsid w:val="2C305EB2"/>
    <w:rsid w:val="2C4666C4"/>
    <w:rsid w:val="2C980D1B"/>
    <w:rsid w:val="2CD9238D"/>
    <w:rsid w:val="2D023CA7"/>
    <w:rsid w:val="2E003054"/>
    <w:rsid w:val="2E255A7A"/>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6216F0D"/>
    <w:rsid w:val="36316A75"/>
    <w:rsid w:val="3667119D"/>
    <w:rsid w:val="36ED02B2"/>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9544C5"/>
    <w:rsid w:val="44A55070"/>
    <w:rsid w:val="45530393"/>
    <w:rsid w:val="469F7AF8"/>
    <w:rsid w:val="475812CD"/>
    <w:rsid w:val="475D1115"/>
    <w:rsid w:val="478F3581"/>
    <w:rsid w:val="47B96D86"/>
    <w:rsid w:val="47D615F1"/>
    <w:rsid w:val="47D93555"/>
    <w:rsid w:val="48034DA7"/>
    <w:rsid w:val="486F4BB5"/>
    <w:rsid w:val="48A60514"/>
    <w:rsid w:val="48DA44A2"/>
    <w:rsid w:val="48E14418"/>
    <w:rsid w:val="490432DC"/>
    <w:rsid w:val="491635D4"/>
    <w:rsid w:val="499A4535"/>
    <w:rsid w:val="49E7480F"/>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8C27322"/>
    <w:rsid w:val="5950112B"/>
    <w:rsid w:val="59C3293C"/>
    <w:rsid w:val="5A1C766A"/>
    <w:rsid w:val="5B3710B2"/>
    <w:rsid w:val="5CF02E9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A105D6B"/>
    <w:rsid w:val="6B656B47"/>
    <w:rsid w:val="6B7E1643"/>
    <w:rsid w:val="6C714475"/>
    <w:rsid w:val="6CDB032D"/>
    <w:rsid w:val="6DB2110D"/>
    <w:rsid w:val="6DBD736C"/>
    <w:rsid w:val="6DF45A5A"/>
    <w:rsid w:val="6E1F7DD2"/>
    <w:rsid w:val="6E5526FF"/>
    <w:rsid w:val="6F2B1820"/>
    <w:rsid w:val="6F412F7A"/>
    <w:rsid w:val="707E74C2"/>
    <w:rsid w:val="70CC0A36"/>
    <w:rsid w:val="710D0440"/>
    <w:rsid w:val="71C5585F"/>
    <w:rsid w:val="720E79AF"/>
    <w:rsid w:val="73A1381E"/>
    <w:rsid w:val="73E21E46"/>
    <w:rsid w:val="7459468D"/>
    <w:rsid w:val="749131D7"/>
    <w:rsid w:val="756F240E"/>
    <w:rsid w:val="759D3BC6"/>
    <w:rsid w:val="779817DA"/>
    <w:rsid w:val="77D476E8"/>
    <w:rsid w:val="782A7918"/>
    <w:rsid w:val="79715756"/>
    <w:rsid w:val="7A500C84"/>
    <w:rsid w:val="7A640EC3"/>
    <w:rsid w:val="7A7B08FF"/>
    <w:rsid w:val="7AE21E9E"/>
    <w:rsid w:val="7B027F4F"/>
    <w:rsid w:val="7B09318D"/>
    <w:rsid w:val="7B6004E6"/>
    <w:rsid w:val="7B7A176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27</Pages>
  <Words>9989</Words>
  <Characters>11050</Characters>
  <Lines>53</Lines>
  <Paragraphs>15</Paragraphs>
  <TotalTime>7</TotalTime>
  <ScaleCrop>false</ScaleCrop>
  <LinksUpToDate>false</LinksUpToDate>
  <CharactersWithSpaces>12066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2025-06-16T02:26:00Z</cp:lastPrinted>
  <dcterms:modified xsi:type="dcterms:W3CDTF">2026-06-26T08:04:15Z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D7897D4C76034DBFB88B991A8CFAC32B_13</vt:lpwstr>
  </property>
  <property fmtid="{D5CDD505-2E9C-101B-9397-08002B2CF9AE}" pid="4" name="KSOTemplateDocerSaveRecord">
    <vt:lpwstr>eyJoZGlkIjoiZDU5ZmYzODUyNjg1MTM3NmE2OTBjZTA2MmE1ZDJlMDUiLCJ1c2VySWQiOiI0MTkyNjk4ODkifQ==</vt:lpwstr>
  </property>
</Properties>
</file>