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highlight w:val="none"/>
        </w:rPr>
      </w:pPr>
      <w:bookmarkStart w:id="0" w:name="_Toc13330"/>
      <w:r>
        <w:rPr>
          <w:rFonts w:hint="eastAsia" w:ascii="仿宋_GB2312" w:hAnsi="宋体" w:eastAsia="仿宋_GB2312"/>
          <w:b/>
          <w:sz w:val="52"/>
          <w:szCs w:val="52"/>
          <w:highlight w:val="none"/>
          <w:lang w:eastAsia="zh-CN"/>
        </w:rPr>
        <w:t>绍兴市再生能源发展有限公司</w:t>
      </w:r>
      <w:bookmarkEnd w:id="0"/>
    </w:p>
    <w:p w14:paraId="2A157F01">
      <w:pPr>
        <w:pStyle w:val="12"/>
        <w:rPr>
          <w:highlight w:val="none"/>
        </w:rPr>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厂区篮球场改造</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SX-GC-LQ-</w:t>
      </w:r>
      <w:bookmarkEnd w:id="1"/>
      <w:r>
        <w:rPr>
          <w:rFonts w:hint="eastAsia" w:ascii="仿宋" w:hAnsi="仿宋" w:eastAsia="仿宋" w:cs="仿宋"/>
          <w:sz w:val="32"/>
          <w:szCs w:val="32"/>
          <w:highlight w:val="none"/>
          <w:u w:val="single"/>
          <w:lang w:val="en-US" w:eastAsia="zh-CN"/>
        </w:rPr>
        <w:t xml:space="preserve">2604001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厂区篮球场改造项目</w:t>
      </w:r>
    </w:p>
    <w:p w14:paraId="66E005F2">
      <w:pPr>
        <w:rPr>
          <w:rFonts w:hint="eastAsia" w:ascii="仿宋" w:hAnsi="仿宋" w:eastAsia="仿宋" w:cs="仿宋"/>
          <w:sz w:val="84"/>
        </w:rPr>
      </w:pPr>
    </w:p>
    <w:p w14:paraId="685ED436">
      <w:pPr>
        <w:rPr>
          <w:rFonts w:hint="eastAsia" w:ascii="仿宋" w:hAnsi="仿宋" w:eastAsia="仿宋" w:cs="仿宋"/>
          <w:sz w:val="84"/>
        </w:rPr>
      </w:pPr>
    </w:p>
    <w:p w14:paraId="685A8F95">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bookmarkStart w:id="24" w:name="_GoBack"/>
      <w:bookmarkEnd w:id="24"/>
      <w:r>
        <w:rPr>
          <w:rFonts w:hint="eastAsia" w:ascii="仿宋" w:hAnsi="仿宋" w:eastAsia="仿宋" w:cs="仿宋"/>
          <w:sz w:val="32"/>
          <w:szCs w:val="32"/>
        </w:rPr>
        <w:br w:type="page"/>
      </w:r>
      <w:r>
        <w:rPr>
          <w:rFonts w:hint="eastAsia" w:ascii="仿宋" w:hAnsi="仿宋" w:eastAsia="仿宋" w:cs="仿宋"/>
          <w:sz w:val="52"/>
          <w:szCs w:val="32"/>
        </w:rPr>
        <w:t>目录</w:t>
      </w:r>
    </w:p>
    <w:p w14:paraId="48722607">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_Toc13330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_Toc13330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DB5759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_Toc17392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_Toc17392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7A8EE92">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_Toc13041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_Toc13041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2A6DEF2">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_Toc13197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_Toc13197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8C670D3">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_Toc3218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_Toc3218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7AC95A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_Toc26087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_Toc26087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3A09F9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_Toc3557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_Toc3557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28</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9266EE6">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_Toc5734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_Toc5734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29</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CC5F1A5">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_Toc26148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_Toc26148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2EBD5F6">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_Toc15132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_Toc15132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2879D5D">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_Toc12236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_Toc12236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CB8FEBC">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17392"/>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厂区篮球场改造项目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SX-GC-LQ-2604001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4"/>
        <w:tblW w:w="5510" w:type="pct"/>
        <w:jc w:val="center"/>
        <w:tblLayout w:type="fixed"/>
        <w:tblCellMar>
          <w:top w:w="0" w:type="dxa"/>
          <w:left w:w="108" w:type="dxa"/>
          <w:bottom w:w="0" w:type="dxa"/>
          <w:right w:w="108" w:type="dxa"/>
        </w:tblCellMar>
      </w:tblPr>
      <w:tblGrid>
        <w:gridCol w:w="672"/>
        <w:gridCol w:w="2145"/>
        <w:gridCol w:w="5376"/>
        <w:gridCol w:w="204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5376"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0D170546">
        <w:tblPrEx>
          <w:tblCellMar>
            <w:top w:w="0" w:type="dxa"/>
            <w:left w:w="108" w:type="dxa"/>
            <w:bottom w:w="0" w:type="dxa"/>
            <w:right w:w="108" w:type="dxa"/>
          </w:tblCellMar>
        </w:tblPrEx>
        <w:trPr>
          <w:trHeight w:val="3021"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厂区篮球场改造</w:t>
            </w:r>
          </w:p>
        </w:tc>
        <w:tc>
          <w:tcPr>
            <w:tcW w:w="5376" w:type="dxa"/>
            <w:tcBorders>
              <w:top w:val="single" w:color="000000" w:sz="4" w:space="0"/>
              <w:left w:val="single" w:color="000000" w:sz="4" w:space="0"/>
              <w:bottom w:val="single" w:color="000000" w:sz="4" w:space="0"/>
              <w:right w:val="single" w:color="000000" w:sz="4" w:space="0"/>
            </w:tcBorders>
            <w:noWrap w:val="0"/>
            <w:vAlign w:val="center"/>
          </w:tcPr>
          <w:p w14:paraId="1037E4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1、旧地面铲除与清运1000㎡含原地面破损塑胶层铲除、垃圾装车外运</w:t>
            </w:r>
          </w:p>
          <w:p w14:paraId="25B812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2、基础打磨与修补1000㎡含水泥基础打磨、裂缝填补、局部找平</w:t>
            </w:r>
          </w:p>
          <w:p w14:paraId="1FBCD4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3、6mm厚硅PU弹性层铺1000㎡包含弹性层、加强层，分层施工</w:t>
            </w:r>
          </w:p>
          <w:p w14:paraId="6F32A8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4、硅PU面层施工1000㎡包含耐磨防滑面层</w:t>
            </w:r>
          </w:p>
          <w:p w14:paraId="5DF45D7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5、球场标准划线按标准篮球场尺寸（含三秒区、中圈等）</w:t>
            </w:r>
          </w:p>
          <w:p w14:paraId="1DBA20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6、场地养护与清理施工完成后成品保护与场地清洁</w:t>
            </w:r>
          </w:p>
          <w:p w14:paraId="032EEAA7">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7、户外休闲椅换新共计四把</w:t>
            </w:r>
          </w:p>
          <w:p w14:paraId="1E0E83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8、围网换新550㎡（包含原围网拆除）</w:t>
            </w:r>
          </w:p>
          <w:p w14:paraId="529E50C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rPr>
              <w:t>9、篮球架2个（包含原篮球架拆除）</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详见询价文件</w:t>
            </w:r>
          </w:p>
        </w:tc>
      </w:tr>
    </w:tbl>
    <w:p w14:paraId="69BFD6C9">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w:t>
      </w:r>
    </w:p>
    <w:p w14:paraId="07AF0A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为确保工程质量，所有材料及施工必须符合以下要求。</w:t>
      </w:r>
    </w:p>
    <w:p w14:paraId="71EED7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（一）地面材料要求</w:t>
      </w:r>
    </w:p>
    <w:p w14:paraId="7C9FEF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▲球场材料规格：6mm厚硅PU球场材料</w:t>
      </w:r>
    </w:p>
    <w:p w14:paraId="622CB4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▲技术参数及要求：</w:t>
      </w:r>
    </w:p>
    <w:p w14:paraId="1BD8D9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1）环保认证要求</w:t>
      </w:r>
    </w:p>
    <w:p w14:paraId="29427D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硅PU产品需获得中国环境标志产品认证证书（十环认证），提供相关资料复印件及在国家认监委网站查询截图。</w:t>
      </w:r>
    </w:p>
    <w:p w14:paraId="2511B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2）耐候性能要求</w:t>
      </w:r>
    </w:p>
    <w:p w14:paraId="786F8F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硅PU球场所采用面漆耐人工气候老化性能≥2000小时以上，通过国家级检测中心检测，符合GB/T 16422.2-2021或GB/T 22374-2018检测要求，提供具有"CMA"或"CNAS"章的合格检测报告。</w:t>
      </w:r>
    </w:p>
    <w:p w14:paraId="388C7A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3）基础环保标准</w:t>
      </w:r>
    </w:p>
    <w:p w14:paraId="7067AB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所有材料及成品必须符合强制性国家标准GB 36246-2018《中小学合成材料面层运动场地》中关于有害物质限量及气味等级的规定。</w:t>
      </w:r>
    </w:p>
    <w:p w14:paraId="68C3B4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（二）物理及化学性能指标</w:t>
      </w:r>
    </w:p>
    <w:p w14:paraId="54ECD9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▲物理性能符合GB 36246-2018要求（球类场地）</w:t>
      </w:r>
    </w:p>
    <w:tbl>
      <w:tblPr>
        <w:tblStyle w:val="14"/>
        <w:tblW w:w="6463" w:type="dxa"/>
        <w:jc w:val="center"/>
        <w:tblLayout w:type="autofit"/>
        <w:tblCellMar>
          <w:top w:w="0" w:type="dxa"/>
          <w:left w:w="108" w:type="dxa"/>
          <w:bottom w:w="0" w:type="dxa"/>
          <w:right w:w="108" w:type="dxa"/>
        </w:tblCellMar>
      </w:tblPr>
      <w:tblGrid>
        <w:gridCol w:w="3560"/>
        <w:gridCol w:w="2903"/>
      </w:tblGrid>
      <w:tr w14:paraId="51E62EB1">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48DE56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项目</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40A8282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技术要求</w:t>
            </w:r>
          </w:p>
        </w:tc>
      </w:tr>
      <w:tr w14:paraId="62F3819E">
        <w:tblPrEx>
          <w:tblCellMar>
            <w:top w:w="0" w:type="dxa"/>
            <w:left w:w="108" w:type="dxa"/>
            <w:bottom w:w="0" w:type="dxa"/>
            <w:right w:w="108" w:type="dxa"/>
          </w:tblCellMar>
        </w:tblPrEx>
        <w:trPr>
          <w:trHeight w:val="491"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712B923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冲击吸收/%</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26CEE856">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20</w:t>
            </w:r>
          </w:p>
        </w:tc>
      </w:tr>
      <w:tr w14:paraId="1A4C1FE3">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65A48ED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垂直变形/mm</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3284158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0.6~3.0</w:t>
            </w:r>
          </w:p>
        </w:tc>
      </w:tr>
      <w:tr w14:paraId="6715FAA1">
        <w:tblPrEx>
          <w:tblCellMar>
            <w:top w:w="0" w:type="dxa"/>
            <w:left w:w="108" w:type="dxa"/>
            <w:bottom w:w="0" w:type="dxa"/>
            <w:right w:w="108" w:type="dxa"/>
          </w:tblCellMar>
        </w:tblPrEx>
        <w:trPr>
          <w:trHeight w:val="440"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14:paraId="493334CA">
            <w:pPr>
              <w:keepNext w:val="0"/>
              <w:keepLines w:val="0"/>
              <w:widowControl/>
              <w:suppressLineNumbers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抗滑值（20℃）/ BPN</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14:paraId="0F988FDB">
            <w:pPr>
              <w:keepNext w:val="0"/>
              <w:keepLines w:val="0"/>
              <w:widowControl/>
              <w:suppressLineNumbers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47（湿测）</w:t>
            </w:r>
          </w:p>
        </w:tc>
      </w:tr>
      <w:tr w14:paraId="563946F4">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0C05AD2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拉伸强度/MPa</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6387653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≥0.5</w:t>
            </w:r>
          </w:p>
        </w:tc>
      </w:tr>
      <w:tr w14:paraId="3FBEF137">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026924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拉断伸长率/%</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677334F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≥40</w:t>
            </w:r>
          </w:p>
        </w:tc>
      </w:tr>
      <w:tr w14:paraId="26B6389A">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8D105D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阻燃性能/级</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3C3E4DB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Ⅰ</w:t>
            </w:r>
          </w:p>
        </w:tc>
      </w:tr>
    </w:tbl>
    <w:p w14:paraId="712F05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▲化学性能符合GB 36246-2018要求</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140"/>
        <w:gridCol w:w="4140"/>
      </w:tblGrid>
      <w:tr w14:paraId="4B2D3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E12ECD8">
            <w:pPr>
              <w:keepNext w:val="0"/>
              <w:keepLines w:val="0"/>
              <w:widowControl/>
              <w:suppressLineNumbers w:val="0"/>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项目</w:t>
            </w:r>
          </w:p>
        </w:tc>
        <w:tc>
          <w:tcPr>
            <w:tcW w:w="4140" w:type="dxa"/>
            <w:vAlign w:val="center"/>
          </w:tcPr>
          <w:p w14:paraId="5AEB1A5C">
            <w:pPr>
              <w:keepNext w:val="0"/>
              <w:keepLines w:val="0"/>
              <w:widowControl/>
              <w:suppressLineNumbers w:val="0"/>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技术要求</w:t>
            </w:r>
          </w:p>
        </w:tc>
      </w:tr>
      <w:tr w14:paraId="622C68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7DAFFADC">
            <w:pPr>
              <w:keepNext w:val="0"/>
              <w:keepLines w:val="0"/>
              <w:widowControl/>
              <w:suppressLineNumbers w:val="0"/>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3种邻苯二甲酸酯类化合物总和 (DBP, BBP, DEHP) / (g/kg)</w:t>
            </w:r>
          </w:p>
        </w:tc>
        <w:tc>
          <w:tcPr>
            <w:tcW w:w="4140" w:type="dxa"/>
            <w:vAlign w:val="center"/>
          </w:tcPr>
          <w:p w14:paraId="4DD2A946">
            <w:pPr>
              <w:keepNext w:val="0"/>
              <w:keepLines w:val="0"/>
              <w:widowControl/>
              <w:suppressLineNumbers w:val="0"/>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2483E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662F3B3">
            <w:pPr>
              <w:keepNext w:val="0"/>
              <w:keepLines w:val="0"/>
              <w:widowControl/>
              <w:suppressLineNumbers w:val="0"/>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3种邻苯二甲酸酯类化合物总和 (DNOP, DINP, DIDP) / (g/kg)</w:t>
            </w:r>
          </w:p>
        </w:tc>
        <w:tc>
          <w:tcPr>
            <w:tcW w:w="4140" w:type="dxa"/>
            <w:vAlign w:val="center"/>
          </w:tcPr>
          <w:p w14:paraId="29769521">
            <w:pPr>
              <w:keepNext w:val="0"/>
              <w:keepLines w:val="0"/>
              <w:widowControl/>
              <w:suppressLineNumbers w:val="0"/>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01FDD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0DA8BED0">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18种多环芳烃总和 / (mg/kg)</w:t>
            </w:r>
          </w:p>
        </w:tc>
        <w:tc>
          <w:tcPr>
            <w:tcW w:w="4140" w:type="dxa"/>
            <w:vAlign w:val="center"/>
          </w:tcPr>
          <w:p w14:paraId="0BC623C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50</w:t>
            </w:r>
          </w:p>
        </w:tc>
      </w:tr>
      <w:tr w14:paraId="07F35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E303D1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苯并[a]芘 / (mg/kg)</w:t>
            </w:r>
          </w:p>
        </w:tc>
        <w:tc>
          <w:tcPr>
            <w:tcW w:w="4140" w:type="dxa"/>
            <w:vAlign w:val="center"/>
          </w:tcPr>
          <w:p w14:paraId="448FC6A1">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302B2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1355089">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短链氯化石蜡 (C10-C13) / (g/kg)</w:t>
            </w:r>
          </w:p>
        </w:tc>
        <w:tc>
          <w:tcPr>
            <w:tcW w:w="4140" w:type="dxa"/>
            <w:vAlign w:val="center"/>
          </w:tcPr>
          <w:p w14:paraId="245418C8">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1.5</w:t>
            </w:r>
          </w:p>
        </w:tc>
      </w:tr>
      <w:tr w14:paraId="7DAE3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7843B16A">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4,4'-二氨基-3,3'-二氯二苯甲烷 (MOCA) / (g/kg)</w:t>
            </w:r>
          </w:p>
        </w:tc>
        <w:tc>
          <w:tcPr>
            <w:tcW w:w="4140" w:type="dxa"/>
            <w:vAlign w:val="center"/>
          </w:tcPr>
          <w:p w14:paraId="7EEE0BC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0.05</w:t>
            </w:r>
          </w:p>
        </w:tc>
      </w:tr>
      <w:tr w14:paraId="6CA87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102AC3CC">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游离甲苯二异氰酸酯 (TDI)和游离六亚甲基二异氰酸酯 (HDI)总和 / (g/kg)</w:t>
            </w:r>
          </w:p>
        </w:tc>
        <w:tc>
          <w:tcPr>
            <w:tcW w:w="4140" w:type="dxa"/>
            <w:vAlign w:val="center"/>
          </w:tcPr>
          <w:p w14:paraId="248C192E">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0.2</w:t>
            </w:r>
          </w:p>
        </w:tc>
      </w:tr>
      <w:tr w14:paraId="18A8D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4C7579B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游离二苯基甲烷二异氰酸酯 (MDI) / (g/kg)</w:t>
            </w:r>
          </w:p>
        </w:tc>
        <w:tc>
          <w:tcPr>
            <w:tcW w:w="4140" w:type="dxa"/>
            <w:vAlign w:val="center"/>
          </w:tcPr>
          <w:p w14:paraId="5360519B">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1ECF0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30069ABC">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可溶性铅 / (mg/kg)</w:t>
            </w:r>
          </w:p>
        </w:tc>
        <w:tc>
          <w:tcPr>
            <w:tcW w:w="4140" w:type="dxa"/>
            <w:vAlign w:val="center"/>
          </w:tcPr>
          <w:p w14:paraId="1A77EEB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50</w:t>
            </w:r>
          </w:p>
        </w:tc>
      </w:tr>
      <w:tr w14:paraId="61952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4BDB14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可溶性镉 / (mg/kg)</w:t>
            </w:r>
          </w:p>
        </w:tc>
        <w:tc>
          <w:tcPr>
            <w:tcW w:w="4140" w:type="dxa"/>
            <w:vAlign w:val="center"/>
          </w:tcPr>
          <w:p w14:paraId="737DFE1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1C087C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815610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可溶性铬 / (mg/kg)</w:t>
            </w:r>
          </w:p>
        </w:tc>
        <w:tc>
          <w:tcPr>
            <w:tcW w:w="4140" w:type="dxa"/>
            <w:vAlign w:val="center"/>
          </w:tcPr>
          <w:p w14:paraId="57A47987">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7733F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076234C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可溶性汞 / (mg/kg)</w:t>
            </w:r>
          </w:p>
        </w:tc>
        <w:tc>
          <w:tcPr>
            <w:tcW w:w="4140" w:type="dxa"/>
            <w:vAlign w:val="center"/>
          </w:tcPr>
          <w:p w14:paraId="780E9B6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2</w:t>
            </w:r>
          </w:p>
        </w:tc>
      </w:tr>
      <w:tr w14:paraId="74C38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096223F0">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总挥发性有机化合物 (TVOC) / [mg/(㎡·d)]</w:t>
            </w:r>
          </w:p>
        </w:tc>
        <w:tc>
          <w:tcPr>
            <w:tcW w:w="4140" w:type="dxa"/>
            <w:vAlign w:val="center"/>
          </w:tcPr>
          <w:p w14:paraId="1687F136">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5.0</w:t>
            </w:r>
          </w:p>
        </w:tc>
      </w:tr>
      <w:tr w14:paraId="3B0CE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33AE7E5">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甲醛 / [mg/(㎡·d)]</w:t>
            </w:r>
          </w:p>
        </w:tc>
        <w:tc>
          <w:tcPr>
            <w:tcW w:w="4140" w:type="dxa"/>
            <w:vAlign w:val="center"/>
          </w:tcPr>
          <w:p w14:paraId="432062EA">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0.4</w:t>
            </w:r>
          </w:p>
        </w:tc>
      </w:tr>
      <w:tr w14:paraId="63515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777DC339">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苯 / [mg/(㎡·d)]</w:t>
            </w:r>
          </w:p>
        </w:tc>
        <w:tc>
          <w:tcPr>
            <w:tcW w:w="4140" w:type="dxa"/>
            <w:vAlign w:val="center"/>
          </w:tcPr>
          <w:p w14:paraId="74651489">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0.1</w:t>
            </w:r>
          </w:p>
        </w:tc>
      </w:tr>
      <w:tr w14:paraId="23F55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638185A">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甲苯、二甲苯和乙苯总和 / [mg/(㎡·d)]</w:t>
            </w:r>
          </w:p>
        </w:tc>
        <w:tc>
          <w:tcPr>
            <w:tcW w:w="4140" w:type="dxa"/>
            <w:vAlign w:val="center"/>
          </w:tcPr>
          <w:p w14:paraId="784BA880">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1.0</w:t>
            </w:r>
          </w:p>
        </w:tc>
      </w:tr>
      <w:tr w14:paraId="189AC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3F8D8051">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二硫化碳 / [mg/(㎡·d)]</w:t>
            </w:r>
          </w:p>
        </w:tc>
        <w:tc>
          <w:tcPr>
            <w:tcW w:w="4140" w:type="dxa"/>
            <w:vAlign w:val="center"/>
          </w:tcPr>
          <w:p w14:paraId="043B9A21">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7.0</w:t>
            </w:r>
          </w:p>
        </w:tc>
      </w:tr>
      <w:tr w14:paraId="0B288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42E9E55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气味等级 / 级</w:t>
            </w:r>
          </w:p>
        </w:tc>
        <w:tc>
          <w:tcPr>
            <w:tcW w:w="4140" w:type="dxa"/>
            <w:vAlign w:val="center"/>
          </w:tcPr>
          <w:p w14:paraId="38430F0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 3</w:t>
            </w:r>
          </w:p>
        </w:tc>
      </w:tr>
    </w:tbl>
    <w:p w14:paraId="7709BF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（三)基础处理要求</w:t>
      </w:r>
    </w:p>
    <w:p w14:paraId="1AE4BD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▲基础状态：水泥基础需坚固、干燥（含水率≤5%）、平整。用3m直尺测量，误差≤3mm。</w:t>
      </w:r>
    </w:p>
    <w:p w14:paraId="7A929F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▲裂缝处理：所有裂缝需切割扩宽后填补，防止后期反射开裂。</w:t>
      </w:r>
    </w:p>
    <w:p w14:paraId="02EC1B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▲施工环境：施工温度不低于5℃，空气相对湿度不大于85%。每一层必须完全干固后才能进行下一道涂刮。完工后养护期不少于5天（视天气情况适当延长）。</w:t>
      </w:r>
    </w:p>
    <w:p w14:paraId="4905DB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(四）篮球架要求</w:t>
      </w:r>
    </w:p>
    <w:p w14:paraId="6336DD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▲篮板：1800×1050mm国际通用尺寸，配12mm厚高强度安全钢化玻璃，下沿及侧面有高密度海绵保护条。</w:t>
      </w:r>
    </w:p>
    <w:p w14:paraId="3DC8CB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▲主立柱：□180×180×4mm优质大圆角方管，圆角R≥40mm，兼顾美观与安全。</w:t>
      </w:r>
    </w:p>
    <w:p w14:paraId="677DA8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▲伸臂：采用δ≥3mm优质钢板一次冲压成型并折边，关键部位采用冲压成型后焊接内置螺母，避免焊接外露伤人。</w:t>
      </w:r>
    </w:p>
    <w:p w14:paraId="5EFF6E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▲拉杆：上拉杆为Φ48×2mm圆管，后拉杆为□50×40×3mm方管，均通过弯管机一次成型，无焊接隐患，可调节篮板平面度与篮圈平行度。</w:t>
      </w:r>
    </w:p>
    <w:p w14:paraId="08EF53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▲篮圈：φ17mm实心圆钢制作，圈下焊有12段均匀分布的圆弧形网钩，配高强丙纶篮网。</w:t>
      </w:r>
    </w:p>
    <w:p w14:paraId="2A3446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（五）新装围网要求</w:t>
      </w:r>
    </w:p>
    <w:p w14:paraId="14AA85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管材材质：立杆与横杆采用Q235热镀锌圆钢管，立柱直径不小于76mm，壁厚不小于2.0mm；横杆直径不小于60mm，壁厚不小于2.0mm。围网高度4米，单片宽度3米，日字型结构。立柱采用直埋固定方式，表面工艺采用纯聚酯静电粉末喷涂，防腐防锈能力强。</w:t>
      </w:r>
    </w:p>
    <w:p w14:paraId="12D1C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▲扣件材料：采用精钢冲压而成，贴抱式设计，将立杆与横杆紧密连接，稳定性强，灵活组装。</w:t>
      </w:r>
    </w:p>
    <w:p w14:paraId="53B6EB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▲PE包塑围网：采用优质低碳镀锌铁丝，内径2.3±0.05mm，包塑后外径3.6±0.15mm，网孔尺寸为45×45±2mm。包塑层使用高密度进口PE原料，并添加抗UV助剂，耐腐蚀能力强，颜色持久。</w:t>
      </w:r>
    </w:p>
    <w:p w14:paraId="60D030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▲压网条材质：采用高密度扁铝条（规格18x3.8mm），抗腐蚀能力强，有效提升围网与立、横杆的贴合稳固性。</w:t>
      </w:r>
    </w:p>
    <w:p w14:paraId="787DB5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▲螺丝：采用国标304不锈钢螺丝与防盗尾钻螺丝固定，安装牢固，防腐蚀能力强。</w:t>
      </w:r>
    </w:p>
    <w:p w14:paraId="651A64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（六）检测报告要求：</w:t>
      </w:r>
    </w:p>
    <w:p w14:paraId="6FEE15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PE包塑围网需提供具有CMA或CNAS标志的氙灯老化试验报告，符合GB/T 16422.2-2022标准要求，通过≥1000h氙灯老化试验后，检测结果样品变色等级≤2级，粉化等级≤1级，无开裂、起泡、生锈、剥落现象。</w:t>
      </w:r>
    </w:p>
    <w:p w14:paraId="3374D4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为保证产品的安全性，连接件需提供具有CMA或CNAS标志的检测报告，证明其力学性能符合相关国家标准。</w:t>
      </w:r>
    </w:p>
    <w:p w14:paraId="7DB2FF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为保证运动场地使用材料的安全环保性，产品表面所用聚酯粉末需提供具有CMA或CNAS标志的挥发性有机物VOCs含量检测报告，符合GB/T 34682-2017标准要求，检测结果VOCs含量≤15g/L。</w:t>
      </w:r>
    </w:p>
    <w:p w14:paraId="782345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（七）质保明细</w:t>
      </w:r>
    </w:p>
    <w:p w14:paraId="3088A4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▲硅PU面层（弹性层+面层）：5年（非人为质量问题）</w:t>
      </w:r>
    </w:p>
    <w:p w14:paraId="6E4390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▲蓝球架5年、围网：5年</w:t>
      </w:r>
    </w:p>
    <w:p w14:paraId="2BAE3A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lang w:val="en-US" w:eastAsia="zh-CN" w:bidi="ar-SA"/>
        </w:rPr>
        <w:t>（八）</w:t>
      </w:r>
      <w:r>
        <w:rPr>
          <w:rFonts w:hint="eastAsia" w:ascii="仿宋" w:hAnsi="仿宋" w:eastAsia="仿宋" w:cs="仿宋"/>
          <w:kern w:val="2"/>
          <w:sz w:val="30"/>
          <w:szCs w:val="30"/>
          <w:u w:val="none"/>
          <w:lang w:val="en-US" w:eastAsia="zh-CN" w:bidi="ar-SA"/>
        </w:rPr>
        <w:t>验收及其他要求</w:t>
      </w:r>
    </w:p>
    <w:p w14:paraId="1001DD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本工程竣工后，施工方须委托具备CMA/CNAS资质的第三方检测机构，按 GB 36246-2018 对硅PU面层进行物理性能、有害物质、气味评定全项检测。检测结果全部达标方可验收；若气味＞3级或环保指标超标，施工方须无条件铲除重做，并承担全部检测及返工费用。检测报告须提供原件，无CMA章报告无效。</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人民币28.7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60B52E59">
      <w:pPr>
        <w:pStyle w:val="13"/>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具备以下资质（1）具备有效的安全生产许可证。（2）具备体育场地设施工程施工资质（3）进场前需要提供所有进场施工人员相对应的保险明细①身故/伤残保额不低于100万元/人②意外医疗保额不低于5万元/人，若未按要求提供保险证明，或保险保额不足，甲方有权取消中标资格，且履约保证金不予退还。</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bookmarkStart w:id="8" w:name="_Toc530583923"/>
      <w:bookmarkStart w:id="9"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w:t>
      </w:r>
      <w:r>
        <w:rPr>
          <w:rFonts w:hint="eastAsia" w:ascii="仿宋_GB2312" w:eastAsia="仿宋_GB2312"/>
          <w:b/>
          <w:bCs/>
          <w:sz w:val="30"/>
          <w:szCs w:val="30"/>
          <w:highlight w:val="none"/>
        </w:rPr>
        <w:t>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时间：202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6月10</w:t>
      </w:r>
      <w:r>
        <w:rPr>
          <w:rFonts w:hint="eastAsia" w:ascii="仿宋_GB2312" w:eastAsia="仿宋_GB2312"/>
          <w:sz w:val="30"/>
          <w:szCs w:val="30"/>
          <w:highlight w:val="none"/>
        </w:rPr>
        <w:t>日</w:t>
      </w:r>
      <w:r>
        <w:rPr>
          <w:rFonts w:hint="eastAsia" w:ascii="仿宋_GB2312" w:eastAsia="仿宋_GB2312"/>
          <w:sz w:val="30"/>
          <w:szCs w:val="30"/>
        </w:rPr>
        <w:t>。</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9</w:t>
      </w:r>
      <w:r>
        <w:rPr>
          <w:rFonts w:hint="eastAsia" w:ascii="仿宋_GB2312" w:eastAsia="仿宋_GB2312"/>
          <w:color w:val="auto"/>
          <w:sz w:val="30"/>
          <w:szCs w:val="30"/>
          <w:highlight w:val="none"/>
        </w:rPr>
        <w:t>日，</w:t>
      </w:r>
      <w:r>
        <w:rPr>
          <w:rFonts w:hint="eastAsia" w:ascii="仿宋_GB2312" w:eastAsia="仿宋_GB2312"/>
          <w:sz w:val="30"/>
          <w:szCs w:val="30"/>
          <w:highlight w:val="none"/>
        </w:rPr>
        <w:t>以</w:t>
      </w:r>
      <w:r>
        <w:rPr>
          <w:rFonts w:hint="eastAsia" w:ascii="仿宋_GB2312" w:eastAsia="仿宋_GB2312"/>
          <w:sz w:val="30"/>
          <w:szCs w:val="30"/>
        </w:rPr>
        <w:t>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5C51CA6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w:t>
      </w:r>
      <w:r>
        <w:rPr>
          <w:rFonts w:hint="eastAsia" w:ascii="仿宋_GB2312" w:eastAsia="仿宋_GB2312"/>
          <w:sz w:val="30"/>
          <w:szCs w:val="30"/>
          <w:highlight w:val="none"/>
          <w:lang w:val="en-US" w:eastAsia="zh-CN"/>
        </w:rPr>
        <w:t>2</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10" w:name="_Toc530583879"/>
      <w:bookmarkStart w:id="11" w:name="_Toc530583922"/>
      <w:bookmarkStart w:id="12" w:name="_Toc13041"/>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3"/>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3"/>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3"/>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2"/>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5"/>
        <w:rPr>
          <w:rFonts w:hint="eastAsia" w:ascii="仿宋" w:hAnsi="仿宋" w:eastAsia="仿宋" w:cs="仿宋"/>
          <w:snapToGrid w:val="0"/>
          <w:sz w:val="44"/>
          <w:szCs w:val="44"/>
        </w:rPr>
      </w:pPr>
    </w:p>
    <w:p w14:paraId="1CB310D2">
      <w:pPr>
        <w:pStyle w:val="2"/>
        <w:numPr>
          <w:ilvl w:val="0"/>
          <w:numId w:val="0"/>
        </w:numPr>
        <w:jc w:val="both"/>
        <w:rPr>
          <w:rFonts w:hint="eastAsia" w:ascii="仿宋" w:hAnsi="仿宋" w:eastAsia="仿宋" w:cs="仿宋"/>
          <w:snapToGrid w:val="0"/>
          <w:sz w:val="44"/>
          <w:szCs w:val="44"/>
        </w:rPr>
      </w:pPr>
    </w:p>
    <w:p w14:paraId="255BB6B6">
      <w:pPr>
        <w:rPr>
          <w:rFonts w:hint="eastAsia" w:ascii="仿宋" w:hAnsi="仿宋" w:eastAsia="仿宋" w:cs="仿宋"/>
          <w:snapToGrid w:val="0"/>
          <w:sz w:val="44"/>
          <w:szCs w:val="44"/>
        </w:rPr>
      </w:pPr>
    </w:p>
    <w:p w14:paraId="4B4E91A6">
      <w:pPr>
        <w:pStyle w:val="13"/>
        <w:rPr>
          <w:rFonts w:hint="eastAsia"/>
        </w:rPr>
      </w:pPr>
    </w:p>
    <w:p w14:paraId="3EBB21A5">
      <w:pPr>
        <w:pStyle w:val="13"/>
        <w:rPr>
          <w:rFonts w:hint="eastAsia"/>
        </w:rPr>
      </w:pPr>
    </w:p>
    <w:p w14:paraId="409C3F53">
      <w:pPr>
        <w:pStyle w:val="13"/>
        <w:rPr>
          <w:rFonts w:hint="eastAsia"/>
        </w:rPr>
      </w:pPr>
    </w:p>
    <w:p w14:paraId="6B1F2CE2">
      <w:pPr>
        <w:pStyle w:val="13"/>
        <w:rPr>
          <w:rFonts w:hint="eastAsia"/>
        </w:rPr>
      </w:pPr>
    </w:p>
    <w:p w14:paraId="6DD629C6">
      <w:pPr>
        <w:pStyle w:val="2"/>
        <w:numPr>
          <w:ilvl w:val="0"/>
          <w:numId w:val="0"/>
        </w:numPr>
        <w:jc w:val="center"/>
        <w:rPr>
          <w:rFonts w:hint="eastAsia" w:ascii="仿宋" w:hAnsi="仿宋" w:eastAsia="仿宋" w:cs="仿宋"/>
          <w:b w:val="0"/>
          <w:bCs/>
          <w:snapToGrid w:val="0"/>
          <w:sz w:val="44"/>
        </w:rPr>
      </w:pPr>
      <w:bookmarkStart w:id="13" w:name="_Toc13197"/>
      <w:r>
        <w:rPr>
          <w:rFonts w:hint="eastAsia" w:ascii="仿宋" w:hAnsi="仿宋" w:eastAsia="仿宋" w:cs="仿宋"/>
          <w:snapToGrid w:val="0"/>
          <w:sz w:val="44"/>
          <w:szCs w:val="44"/>
        </w:rPr>
        <w:t>第三部分   询价内容</w:t>
      </w:r>
      <w:bookmarkEnd w:id="8"/>
      <w:bookmarkEnd w:id="9"/>
      <w:bookmarkEnd w:id="13"/>
    </w:p>
    <w:p w14:paraId="6BB5C9D1">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本项目服务期为20天。服务方需在接到采购人进场通知后5天内响应并进场，确保在20天内完成全部项目内容</w:t>
      </w:r>
      <w:r>
        <w:rPr>
          <w:rFonts w:hint="eastAsia" w:ascii="仿宋" w:hAnsi="仿宋" w:eastAsia="仿宋" w:cs="仿宋"/>
          <w:color w:val="auto"/>
          <w:kern w:val="2"/>
          <w:sz w:val="30"/>
          <w:szCs w:val="30"/>
        </w:rPr>
        <w:t>。</w:t>
      </w:r>
    </w:p>
    <w:p w14:paraId="2549B5B5">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93621B5">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rPr>
        <w:t>。</w:t>
      </w:r>
    </w:p>
    <w:p w14:paraId="3B2867B7">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05EBF0DD">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56522A2F">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218"/>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6"/>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4"/>
        <w:tblW w:w="9571" w:type="dxa"/>
        <w:jc w:val="center"/>
        <w:tblLayout w:type="fixed"/>
        <w:tblCellMar>
          <w:top w:w="0" w:type="dxa"/>
          <w:left w:w="108" w:type="dxa"/>
          <w:bottom w:w="0" w:type="dxa"/>
          <w:right w:w="108" w:type="dxa"/>
        </w:tblCellMar>
      </w:tblPr>
      <w:tblGrid>
        <w:gridCol w:w="751"/>
        <w:gridCol w:w="1439"/>
        <w:gridCol w:w="4121"/>
        <w:gridCol w:w="3260"/>
      </w:tblGrid>
      <w:tr w14:paraId="61FB989E">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4121"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c>
          <w:tcPr>
            <w:tcW w:w="3260" w:type="dxa"/>
            <w:tcBorders>
              <w:top w:val="single" w:color="auto" w:sz="4" w:space="0"/>
              <w:left w:val="nil"/>
              <w:bottom w:val="single" w:color="auto" w:sz="4" w:space="0"/>
              <w:right w:val="single" w:color="auto" w:sz="4" w:space="0"/>
            </w:tcBorders>
            <w:noWrap w:val="0"/>
            <w:vAlign w:val="center"/>
          </w:tcPr>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sz w:val="24"/>
                <w:szCs w:val="24"/>
                <w:highlight w:val="none"/>
                <w:u w:val="none"/>
                <w:lang w:eastAsia="zh-CN"/>
              </w:rPr>
              <w:t>技术要求</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4121" w:type="dxa"/>
            <w:tcBorders>
              <w:top w:val="nil"/>
              <w:left w:val="nil"/>
              <w:bottom w:val="single" w:color="auto" w:sz="4" w:space="0"/>
              <w:right w:val="single" w:color="auto" w:sz="4" w:space="0"/>
            </w:tcBorders>
            <w:shd w:val="clear" w:color="000000" w:fill="FFFFFF"/>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3260"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6311" w:type="dxa"/>
            <w:gridSpan w:val="3"/>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6"/>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E4E2527">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本项目服务期为20天。服务方需在接到采购人进场通知后5天内响应并进场，确保在20天内完成全部项目内</w:t>
      </w:r>
      <w:r>
        <w:rPr>
          <w:rFonts w:hint="eastAsia" w:ascii="方正仿宋_GBK" w:hAnsi="方正仿宋_GBK" w:eastAsia="方正仿宋_GBK" w:cs="方正仿宋_GBK"/>
          <w:sz w:val="28"/>
          <w:szCs w:val="28"/>
          <w:highlight w:val="none"/>
          <w:lang w:val="en-US" w:eastAsia="zh-CN"/>
        </w:rPr>
        <w:t>容</w:t>
      </w:r>
      <w:r>
        <w:rPr>
          <w:rFonts w:hint="eastAsia" w:ascii="方正仿宋_GBK" w:hAnsi="方正仿宋_GBK" w:eastAsia="方正仿宋_GBK" w:cs="方正仿宋_GBK"/>
          <w:sz w:val="28"/>
          <w:szCs w:val="28"/>
          <w:highlight w:val="none"/>
        </w:rPr>
        <w:t>。</w:t>
      </w:r>
    </w:p>
    <w:p w14:paraId="480E9EDD">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74C8D758">
      <w:pPr>
        <w:pStyle w:val="26"/>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p>
    <w:p w14:paraId="6DB9AC38">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为确保工程质量，所有材料及施工必须符合以下要求。</w:t>
      </w:r>
    </w:p>
    <w:p w14:paraId="0CFBF352">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（一）地面材料要求</w:t>
      </w:r>
    </w:p>
    <w:p w14:paraId="55028A8E">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▲球场材料规格：6mm厚硅PU球场材料</w:t>
      </w:r>
    </w:p>
    <w:p w14:paraId="3E6FD541">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▲技术参数及要求：</w:t>
      </w:r>
    </w:p>
    <w:p w14:paraId="10E4FD30">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1）环保认证要求</w:t>
      </w:r>
    </w:p>
    <w:p w14:paraId="160F29B6">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硅PU产品需获得中国环境标志产品认证证书（十环认证），提供相关资料复印件及在国家认监委网站查询截图。</w:t>
      </w:r>
    </w:p>
    <w:p w14:paraId="088BCE31">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2）耐候性能要求</w:t>
      </w:r>
    </w:p>
    <w:p w14:paraId="487E7282">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硅PU球场所采用面漆耐人工气候老化性能≥2000小时以上，通过国家级检测中心检测，符合GB/T 16422.2-2021或GB/T 22374-2018检测要求，提供具有"CMA"或"CNAS"章的合格检测报告。</w:t>
      </w:r>
    </w:p>
    <w:p w14:paraId="731FF286">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3）基础环保标准</w:t>
      </w:r>
    </w:p>
    <w:p w14:paraId="595FADC9">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所有材料及成品必须符合强制性国家标准GB 36246-2018《中小学合成材料面层运动场地》中关于有害物质限量及气味等级的规定。</w:t>
      </w:r>
    </w:p>
    <w:p w14:paraId="69614923">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（二）物理及化学性能指标</w:t>
      </w:r>
    </w:p>
    <w:p w14:paraId="24DC8443">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▲物理性能符合GB 36246-2018要求（球类场地）</w:t>
      </w:r>
    </w:p>
    <w:tbl>
      <w:tblPr>
        <w:tblStyle w:val="14"/>
        <w:tblW w:w="6463" w:type="dxa"/>
        <w:jc w:val="center"/>
        <w:tblLayout w:type="autofit"/>
        <w:tblCellMar>
          <w:top w:w="0" w:type="dxa"/>
          <w:left w:w="108" w:type="dxa"/>
          <w:bottom w:w="0" w:type="dxa"/>
          <w:right w:w="108" w:type="dxa"/>
        </w:tblCellMar>
      </w:tblPr>
      <w:tblGrid>
        <w:gridCol w:w="3560"/>
        <w:gridCol w:w="2903"/>
      </w:tblGrid>
      <w:tr w14:paraId="68F152A8">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5B2D60D5">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项目</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5B5DEF9D">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tc>
      </w:tr>
      <w:tr w14:paraId="06770138">
        <w:tblPrEx>
          <w:tblCellMar>
            <w:top w:w="0" w:type="dxa"/>
            <w:left w:w="108" w:type="dxa"/>
            <w:bottom w:w="0" w:type="dxa"/>
            <w:right w:w="108" w:type="dxa"/>
          </w:tblCellMar>
        </w:tblPrEx>
        <w:trPr>
          <w:trHeight w:val="491"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27450C02">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冲击吸收/%</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279F541F">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20</w:t>
            </w:r>
          </w:p>
        </w:tc>
      </w:tr>
      <w:tr w14:paraId="147F649E">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6607365D">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垂直变形/mm</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3E7486A8">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0.6~3.0</w:t>
            </w:r>
          </w:p>
        </w:tc>
      </w:tr>
      <w:tr w14:paraId="3CA3AA85">
        <w:tblPrEx>
          <w:tblCellMar>
            <w:top w:w="0" w:type="dxa"/>
            <w:left w:w="108" w:type="dxa"/>
            <w:bottom w:w="0" w:type="dxa"/>
            <w:right w:w="108" w:type="dxa"/>
          </w:tblCellMar>
        </w:tblPrEx>
        <w:trPr>
          <w:trHeight w:val="440"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14:paraId="10697E05">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抗滑值（20℃）/ BPN</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14:paraId="5CA63975">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47（湿测）</w:t>
            </w:r>
          </w:p>
        </w:tc>
      </w:tr>
      <w:tr w14:paraId="3EA4BA03">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198F2BD4">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拉伸强度/MPa</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729E0991">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≥0.5</w:t>
            </w:r>
          </w:p>
        </w:tc>
      </w:tr>
      <w:tr w14:paraId="7CE062A7">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63B1E32B">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拉断伸长率/%</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75E737E4">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≥40</w:t>
            </w:r>
          </w:p>
        </w:tc>
      </w:tr>
      <w:tr w14:paraId="6F646B68">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5BF09361">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阻燃性能/级</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348D1544">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Ⅰ</w:t>
            </w:r>
          </w:p>
        </w:tc>
      </w:tr>
    </w:tbl>
    <w:p w14:paraId="62477303">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▲化学性能符合GB 36246-2018要求</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140"/>
        <w:gridCol w:w="4140"/>
      </w:tblGrid>
      <w:tr w14:paraId="71EE2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3790B6DE">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项目</w:t>
            </w:r>
          </w:p>
        </w:tc>
        <w:tc>
          <w:tcPr>
            <w:tcW w:w="4140" w:type="dxa"/>
            <w:vAlign w:val="center"/>
          </w:tcPr>
          <w:p w14:paraId="3F1CE4B4">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tc>
      </w:tr>
      <w:tr w14:paraId="38918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5FB125C1">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3种邻苯二甲酸酯类化合物总和 (DBP, BBP, DEHP) / (g/kg)</w:t>
            </w:r>
          </w:p>
        </w:tc>
        <w:tc>
          <w:tcPr>
            <w:tcW w:w="4140" w:type="dxa"/>
            <w:vAlign w:val="center"/>
          </w:tcPr>
          <w:p w14:paraId="12A1A91D">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058A0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489D9B99">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3种邻苯二甲酸酯类化合物总和 (DNOP, DINP, DIDP) / (g/kg)</w:t>
            </w:r>
          </w:p>
        </w:tc>
        <w:tc>
          <w:tcPr>
            <w:tcW w:w="4140" w:type="dxa"/>
            <w:vAlign w:val="center"/>
          </w:tcPr>
          <w:p w14:paraId="6FFEEE2D">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090709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22B3AE6">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18种多环芳烃总和 / (mg/kg)</w:t>
            </w:r>
          </w:p>
        </w:tc>
        <w:tc>
          <w:tcPr>
            <w:tcW w:w="4140" w:type="dxa"/>
            <w:vAlign w:val="center"/>
          </w:tcPr>
          <w:p w14:paraId="146E0095">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50</w:t>
            </w:r>
          </w:p>
        </w:tc>
      </w:tr>
      <w:tr w14:paraId="50796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027AABCF">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苯并[a]芘 / (mg/kg)</w:t>
            </w:r>
          </w:p>
        </w:tc>
        <w:tc>
          <w:tcPr>
            <w:tcW w:w="4140" w:type="dxa"/>
            <w:vAlign w:val="center"/>
          </w:tcPr>
          <w:p w14:paraId="4521999C">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22DAE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8D14C5A">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短链氯化石蜡 (C10-C13) / (g/kg)</w:t>
            </w:r>
          </w:p>
        </w:tc>
        <w:tc>
          <w:tcPr>
            <w:tcW w:w="4140" w:type="dxa"/>
            <w:vAlign w:val="center"/>
          </w:tcPr>
          <w:p w14:paraId="5041EB46">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1.5</w:t>
            </w:r>
          </w:p>
        </w:tc>
      </w:tr>
      <w:tr w14:paraId="7ED4F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B3FA3E1">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4,4'-二氨基-3,3'-二氯二苯甲烷 (MOCA) / (g/kg)</w:t>
            </w:r>
          </w:p>
        </w:tc>
        <w:tc>
          <w:tcPr>
            <w:tcW w:w="4140" w:type="dxa"/>
            <w:vAlign w:val="center"/>
          </w:tcPr>
          <w:p w14:paraId="3EE72151">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0.05</w:t>
            </w:r>
          </w:p>
        </w:tc>
      </w:tr>
      <w:tr w14:paraId="21D0B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3A11C73">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游离甲苯二异氰酸酯 (TDI)和游离六亚甲基二异氰酸酯 (HDI)总和 / (g/kg)</w:t>
            </w:r>
          </w:p>
        </w:tc>
        <w:tc>
          <w:tcPr>
            <w:tcW w:w="4140" w:type="dxa"/>
            <w:vAlign w:val="center"/>
          </w:tcPr>
          <w:p w14:paraId="1B1CB53B">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0.2</w:t>
            </w:r>
          </w:p>
        </w:tc>
      </w:tr>
      <w:tr w14:paraId="7CC98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37070521">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游离二苯基甲烷二异氰酸酯 (MDI) / (g/kg)</w:t>
            </w:r>
          </w:p>
        </w:tc>
        <w:tc>
          <w:tcPr>
            <w:tcW w:w="4140" w:type="dxa"/>
            <w:vAlign w:val="center"/>
          </w:tcPr>
          <w:p w14:paraId="1D90CEAC">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1A2FD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7AFFE003">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可溶性铅 / (mg/kg)</w:t>
            </w:r>
          </w:p>
        </w:tc>
        <w:tc>
          <w:tcPr>
            <w:tcW w:w="4140" w:type="dxa"/>
            <w:vAlign w:val="center"/>
          </w:tcPr>
          <w:p w14:paraId="61104ACB">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50</w:t>
            </w:r>
          </w:p>
        </w:tc>
      </w:tr>
      <w:tr w14:paraId="71943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2C99F22">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可溶性镉 / (mg/kg)</w:t>
            </w:r>
          </w:p>
        </w:tc>
        <w:tc>
          <w:tcPr>
            <w:tcW w:w="4140" w:type="dxa"/>
            <w:vAlign w:val="center"/>
          </w:tcPr>
          <w:p w14:paraId="315575E6">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48872A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C1B47A2">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可溶性铬 / (mg/kg)</w:t>
            </w:r>
          </w:p>
        </w:tc>
        <w:tc>
          <w:tcPr>
            <w:tcW w:w="4140" w:type="dxa"/>
            <w:vAlign w:val="center"/>
          </w:tcPr>
          <w:p w14:paraId="6F07C443">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01B47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0301E88">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可溶性汞 / (mg/kg)</w:t>
            </w:r>
          </w:p>
        </w:tc>
        <w:tc>
          <w:tcPr>
            <w:tcW w:w="4140" w:type="dxa"/>
            <w:vAlign w:val="center"/>
          </w:tcPr>
          <w:p w14:paraId="22CF888F">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2</w:t>
            </w:r>
          </w:p>
        </w:tc>
      </w:tr>
      <w:tr w14:paraId="42703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781E667">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总挥发性有机化合物 (TVOC) / [mg/(㎡·d)]</w:t>
            </w:r>
          </w:p>
        </w:tc>
        <w:tc>
          <w:tcPr>
            <w:tcW w:w="4140" w:type="dxa"/>
            <w:vAlign w:val="center"/>
          </w:tcPr>
          <w:p w14:paraId="48ECDA2A">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5.0</w:t>
            </w:r>
          </w:p>
        </w:tc>
      </w:tr>
      <w:tr w14:paraId="20E95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E0E8F54">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甲醛 / [mg/(㎡·d)]</w:t>
            </w:r>
          </w:p>
        </w:tc>
        <w:tc>
          <w:tcPr>
            <w:tcW w:w="4140" w:type="dxa"/>
            <w:vAlign w:val="center"/>
          </w:tcPr>
          <w:p w14:paraId="6E09759B">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0.4</w:t>
            </w:r>
          </w:p>
        </w:tc>
      </w:tr>
      <w:tr w14:paraId="671D1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1CC7DD4A">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苯 / [mg/(㎡·d)]</w:t>
            </w:r>
          </w:p>
        </w:tc>
        <w:tc>
          <w:tcPr>
            <w:tcW w:w="4140" w:type="dxa"/>
            <w:vAlign w:val="center"/>
          </w:tcPr>
          <w:p w14:paraId="6E9053BE">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0.1</w:t>
            </w:r>
          </w:p>
        </w:tc>
      </w:tr>
      <w:tr w14:paraId="0E0A7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22" w:hRule="atLeast"/>
          <w:jc w:val="center"/>
        </w:trPr>
        <w:tc>
          <w:tcPr>
            <w:tcW w:w="4140" w:type="dxa"/>
            <w:vAlign w:val="center"/>
          </w:tcPr>
          <w:p w14:paraId="44A105F3">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甲苯、二甲苯和乙苯总和 / [mg/(㎡·d)]</w:t>
            </w:r>
          </w:p>
        </w:tc>
        <w:tc>
          <w:tcPr>
            <w:tcW w:w="4140" w:type="dxa"/>
            <w:vAlign w:val="center"/>
          </w:tcPr>
          <w:p w14:paraId="1AC5B205">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1.0</w:t>
            </w:r>
          </w:p>
        </w:tc>
      </w:tr>
      <w:tr w14:paraId="67A18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60BE5576">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二硫化碳 / [mg/(㎡·d)]</w:t>
            </w:r>
          </w:p>
        </w:tc>
        <w:tc>
          <w:tcPr>
            <w:tcW w:w="4140" w:type="dxa"/>
            <w:vAlign w:val="center"/>
          </w:tcPr>
          <w:p w14:paraId="4DEBD92A">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7.0</w:t>
            </w:r>
          </w:p>
        </w:tc>
      </w:tr>
      <w:tr w14:paraId="03E3D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4140" w:type="dxa"/>
            <w:vAlign w:val="center"/>
          </w:tcPr>
          <w:p w14:paraId="2A33E329">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气味等级 / 级</w:t>
            </w:r>
          </w:p>
        </w:tc>
        <w:tc>
          <w:tcPr>
            <w:tcW w:w="4140" w:type="dxa"/>
            <w:vAlign w:val="center"/>
          </w:tcPr>
          <w:p w14:paraId="4E6F40CB">
            <w:pPr>
              <w:pStyle w:val="38"/>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3</w:t>
            </w:r>
          </w:p>
        </w:tc>
      </w:tr>
    </w:tbl>
    <w:p w14:paraId="482F35CF">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（三)基础处理要求</w:t>
      </w:r>
    </w:p>
    <w:p w14:paraId="53C34904">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▲基础状态：水泥基础需坚固、干燥（含水率≤5%）、平整。用3m直尺测量，误差≤3mm。</w:t>
      </w:r>
    </w:p>
    <w:p w14:paraId="5D62CDCD">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▲裂缝处理：所有裂缝需切割扩宽后填补，防止后期反射开裂。</w:t>
      </w:r>
    </w:p>
    <w:p w14:paraId="594F1ABA">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▲施工环境：施工温度不低于5℃，空气相对湿度不大于85%。每一层必须完全干固后才能进行下一道涂刮。完工后养护期不少于5天（视天气情况适当延长）。</w:t>
      </w:r>
    </w:p>
    <w:p w14:paraId="0D636575">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(四）篮球架要求</w:t>
      </w:r>
    </w:p>
    <w:p w14:paraId="2B16686B">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▲篮板：1800×1050mm国际通用尺寸，配12mm厚高强度安全钢化玻璃，下沿及侧面有高密度海绵保护条。</w:t>
      </w:r>
    </w:p>
    <w:p w14:paraId="47647CC4">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▲主立柱：□180×180×4mm优质大圆角方管，圆角R≥40mm，兼顾美观与安全。</w:t>
      </w:r>
    </w:p>
    <w:p w14:paraId="1CF32C90">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▲伸臂：采用δ≥3mm优质钢板一次冲压成型并折边，关键部位采用冲压成型后焊接内置螺母，避免焊接外露伤人。</w:t>
      </w:r>
    </w:p>
    <w:p w14:paraId="465C59F5">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▲拉杆：上拉杆为Φ48×2mm圆管，后拉杆为□50×40×3mm方管，均通过弯管机一次成型，无焊接隐患，可调节篮板平面度与篮圈平行度。</w:t>
      </w:r>
    </w:p>
    <w:p w14:paraId="71DA4CE3">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▲篮圈：φ17mm实心圆钢制作，圈下焊有12段均匀分布的圆弧形网钩，配高强丙纶篮网。</w:t>
      </w:r>
    </w:p>
    <w:p w14:paraId="4ECD084A">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（五）新装围网要求</w:t>
      </w:r>
    </w:p>
    <w:p w14:paraId="55921B3B">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管材材质：立杆与横杆采用Q235热镀锌圆钢管，立柱直径不小于76mm，壁厚不小于2.0mm；横杆直径不小于60mm，壁厚不小于2.0mm。围网高度4米，单片宽度3米，日字型结构。立柱采用直埋固定方式，表面工艺采用纯聚酯静电粉末喷涂，防腐防锈能力强。</w:t>
      </w:r>
    </w:p>
    <w:p w14:paraId="649B52CB">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▲扣件材料：采用精钢冲压而成，贴抱式设计，将立杆与横杆紧密连接，稳定性强，灵活组装。</w:t>
      </w:r>
    </w:p>
    <w:p w14:paraId="6294F20E">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▲PE包塑围网：采用优质低碳镀锌铁丝，内径2.3±0.05mm，包塑后外径3.6±0.15mm，网孔尺寸为45×45±2mm。包塑层使用高密度进口PE原料，并添加抗UV助剂，耐腐蚀能力强，颜色持久。</w:t>
      </w:r>
    </w:p>
    <w:p w14:paraId="2A739FBF">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▲压网条材质：采用高密度扁铝条（规格18x3.8mm），抗腐蚀能力强，有效提升围网与立、横杆的贴合稳固性。</w:t>
      </w:r>
    </w:p>
    <w:p w14:paraId="3AB4B183">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▲螺丝：采用国标304不锈钢螺丝与防盗尾钻螺丝固定，安装牢固，防腐蚀能力强。</w:t>
      </w:r>
    </w:p>
    <w:p w14:paraId="5EFC8F1E">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（六）检测报告要求：</w:t>
      </w:r>
    </w:p>
    <w:p w14:paraId="3D34080E">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PE包塑围网需提供具有CMA或CNAS标志的氙灯老化试验报告，符合GB/T 16422.2-2022标准要求，通过≥1000h氙灯老化试验后，检测结果样品变色等级≤2级，粉化等级≤1级，无开裂、起泡、生锈、剥落现象。</w:t>
      </w:r>
    </w:p>
    <w:p w14:paraId="6F8D1B0B">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为保证产品的安全性，连接件需提供具有CMA或CNAS标志的检测报告，证明其力学性能符合相关国家标准。</w:t>
      </w:r>
    </w:p>
    <w:p w14:paraId="75A160BA">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为保证运动场地使用材料的安全环保性，产品表面所用聚酯粉末需提供具有CMA或CNAS标志的挥发性有机物VOCs含量检测报告，符合GB/T 34682-2017标准要求，检测结果VOCs含量≤15g/L。</w:t>
      </w:r>
    </w:p>
    <w:p w14:paraId="07BE4305">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（七）质保明细</w:t>
      </w:r>
    </w:p>
    <w:p w14:paraId="4BAFD8E6">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▲硅PU面层（弹性层+面层）：5年（非人为质量问题）</w:t>
      </w:r>
    </w:p>
    <w:p w14:paraId="411BB49D">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▲蓝球架5年、围网：5年</w:t>
      </w:r>
    </w:p>
    <w:p w14:paraId="1FB98C2A">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（八）验收及其他要求</w:t>
      </w:r>
    </w:p>
    <w:p w14:paraId="487BFDEE">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left="0" w:leftChars="0" w:firstLine="560" w:firstLineChars="200"/>
        <w:jc w:val="both"/>
        <w:textAlignment w:val="auto"/>
        <w:outlineLvl w:val="1"/>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本工程竣工后，施工方须委托具备CMA/CNAS资质的第三方检测机构，按 GB 36246-2018 对硅PU面层进行物理性能、有害物质、气味评定全项检测。检测结果全部达标方可验收；若气味＞3级或环保指标超标，施工方须无条件铲除重做，并承担全部检测及返工费用。检测报告须提供原件，无CMA章报告无效。</w:t>
      </w:r>
    </w:p>
    <w:p w14:paraId="0EA0B714">
      <w:pPr>
        <w:pStyle w:val="26"/>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57C42B15">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0CE35C6C">
      <w:pPr>
        <w:pStyle w:val="38"/>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lang w:eastAsia="zh-CN"/>
        </w:rPr>
        <w:t>。</w:t>
      </w:r>
    </w:p>
    <w:p w14:paraId="1DAED00E">
      <w:pPr>
        <w:pStyle w:val="38"/>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8"/>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8"/>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8"/>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8"/>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8"/>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8"/>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8"/>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8"/>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8"/>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8"/>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8"/>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21F701F0">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76121CC">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B0244C7">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904F9CF">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FFEC14F">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625F4C6">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9BE9A76">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240A78C">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568D6D1">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D3B8D01">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669A9F1">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24643DA">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6EF0873">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AA6EFF8">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CC501BF">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AC7B672">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1B74545">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3568600">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8"/>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26087"/>
      <w:r>
        <w:rPr>
          <w:rFonts w:hint="eastAsia" w:ascii="Times New Roman" w:hAnsi="Times New Roman" w:eastAsia="方正仿宋_GBK" w:cs="Times New Roman"/>
          <w:b/>
          <w:bCs/>
          <w:sz w:val="28"/>
          <w:szCs w:val="28"/>
          <w:highlight w:val="none"/>
          <w:lang w:val="en-US" w:eastAsia="zh-CN"/>
        </w:rPr>
        <w:t>附件：</w:t>
      </w:r>
      <w:bookmarkEnd w:id="16"/>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厂区篮球场改造项目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8"/>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8"/>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8"/>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8"/>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40"/>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7" w:name="_Toc355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4B3FCF8">
      <w:pPr>
        <w:spacing w:line="480" w:lineRule="auto"/>
        <w:jc w:val="right"/>
        <w:rPr>
          <w:rFonts w:hint="eastAsia" w:ascii="仿宋" w:hAnsi="仿宋" w:eastAsia="仿宋" w:cs="仿宋"/>
          <w:sz w:val="32"/>
        </w:rPr>
      </w:pPr>
    </w:p>
    <w:p w14:paraId="3F772441">
      <w:pPr>
        <w:pStyle w:val="41"/>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lang w:val="en-US" w:eastAsia="zh-CN"/>
        </w:rPr>
        <w:t>绍</w:t>
      </w:r>
      <w:r>
        <w:rPr>
          <w:rFonts w:hint="eastAsia" w:ascii="仿宋" w:hAnsi="仿宋" w:eastAsia="仿宋" w:cs="仿宋"/>
          <w:sz w:val="52"/>
          <w:highlight w:val="none"/>
          <w:lang w:val="en-US" w:eastAsia="zh-CN"/>
        </w:rPr>
        <w:t>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厂区篮球场改造</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SX-GC-LQ-2604001</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4"/>
          <w:rFonts w:hint="eastAsia" w:ascii="仿宋" w:hAnsi="仿宋" w:eastAsia="仿宋" w:cs="仿宋"/>
          <w:sz w:val="30"/>
        </w:rPr>
        <w:br w:type="page"/>
      </w:r>
    </w:p>
    <w:p w14:paraId="7C735E9E">
      <w:pPr>
        <w:adjustRightInd w:val="0"/>
        <w:snapToGrid w:val="0"/>
        <w:spacing w:line="360" w:lineRule="auto"/>
        <w:ind w:right="480"/>
        <w:jc w:val="left"/>
        <w:rPr>
          <w:rStyle w:val="24"/>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4"/>
          <w:rFonts w:hint="eastAsia" w:ascii="仿宋" w:hAnsi="仿宋" w:eastAsia="仿宋" w:cs="仿宋"/>
          <w:sz w:val="30"/>
        </w:rPr>
      </w:pPr>
      <w:bookmarkStart w:id="18" w:name="_Toc5734"/>
      <w:r>
        <w:rPr>
          <w:rStyle w:val="24"/>
          <w:rFonts w:hint="eastAsia" w:ascii="仿宋" w:hAnsi="仿宋" w:eastAsia="仿宋" w:cs="仿宋"/>
          <w:sz w:val="30"/>
        </w:rPr>
        <w:t>附件一：</w:t>
      </w:r>
      <w:bookmarkEnd w:id="18"/>
    </w:p>
    <w:p w14:paraId="7B642CA0">
      <w:pPr>
        <w:jc w:val="left"/>
        <w:outlineLvl w:val="0"/>
        <w:rPr>
          <w:rStyle w:val="24"/>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绍兴市再生能源发展有限公司厂区篮球场改造 </w:t>
      </w:r>
      <w:r>
        <w:rPr>
          <w:rFonts w:hint="eastAsia" w:ascii="仿宋" w:hAnsi="仿宋" w:eastAsia="仿宋" w:cs="仿宋"/>
          <w:sz w:val="30"/>
          <w:szCs w:val="30"/>
          <w:u w:val="none"/>
          <w:lang w:val="en-US" w:eastAsia="zh-CN"/>
        </w:rPr>
        <w:t>项目。</w:t>
      </w:r>
    </w:p>
    <w:tbl>
      <w:tblPr>
        <w:tblStyle w:val="14"/>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A1451B8">
        <w:tblPrEx>
          <w:tblCellMar>
            <w:top w:w="0" w:type="dxa"/>
            <w:left w:w="108" w:type="dxa"/>
            <w:bottom w:w="0" w:type="dxa"/>
            <w:right w:w="108" w:type="dxa"/>
          </w:tblCellMar>
        </w:tblPrEx>
        <w:trPr>
          <w:trHeight w:val="133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default" w:ascii="仿宋" w:hAnsi="仿宋" w:eastAsia="仿宋" w:cs="仿宋"/>
                <w:b w:val="0"/>
                <w:bCs w:val="0"/>
                <w:i w:val="0"/>
                <w:iCs w:val="0"/>
                <w:color w:val="auto"/>
                <w:sz w:val="24"/>
                <w:szCs w:val="24"/>
                <w:highlight w:val="none"/>
                <w:lang w:val="en-US"/>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安全生产许可</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具备有效的安全生产许可证。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（需提供有效的安全生产许可证复印件）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144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专业施工资质</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具备</w:t>
            </w:r>
            <w:r>
              <w:rPr>
                <w:rFonts w:hint="eastAsia" w:ascii="仿宋" w:hAnsi="仿宋" w:eastAsia="仿宋" w:cs="仿宋"/>
                <w:b w:val="0"/>
                <w:bCs w:val="0"/>
                <w:i w:val="0"/>
                <w:iCs w:val="0"/>
                <w:color w:val="auto"/>
                <w:sz w:val="24"/>
                <w:szCs w:val="24"/>
                <w:highlight w:val="none"/>
                <w:lang w:val="en-US" w:eastAsia="zh-CN"/>
              </w:rPr>
              <w:t>体育场地设施工程施工资质</w:t>
            </w:r>
            <w:r>
              <w:rPr>
                <w:rFonts w:hint="eastAsia" w:ascii="仿宋" w:hAnsi="仿宋" w:eastAsia="仿宋" w:cs="仿宋"/>
                <w:b w:val="0"/>
                <w:bCs w:val="0"/>
                <w:i w:val="0"/>
                <w:iCs w:val="0"/>
                <w:color w:val="auto"/>
                <w:sz w:val="24"/>
                <w:szCs w:val="24"/>
                <w:highlight w:val="none"/>
              </w:rPr>
              <w:t>。</w:t>
            </w:r>
            <w:r>
              <w:rPr>
                <w:rFonts w:hint="eastAsia" w:ascii="仿宋" w:hAnsi="仿宋" w:eastAsia="仿宋" w:cs="仿宋"/>
                <w:b w:val="0"/>
                <w:bCs w:val="0"/>
                <w:i w:val="0"/>
                <w:iCs w:val="0"/>
                <w:color w:val="auto"/>
                <w:sz w:val="24"/>
                <w:szCs w:val="24"/>
                <w:highlight w:val="none"/>
              </w:rPr>
              <w:br w:type="textWrapping"/>
            </w:r>
            <w:r>
              <w:rPr>
                <w:rFonts w:hint="eastAsia" w:ascii="仿宋" w:hAnsi="仿宋" w:eastAsia="仿宋" w:cs="仿宋"/>
                <w:b w:val="0"/>
                <w:bCs w:val="0"/>
                <w:i w:val="0"/>
                <w:iCs w:val="0"/>
                <w:color w:val="auto"/>
                <w:sz w:val="24"/>
                <w:szCs w:val="24"/>
                <w:highlight w:val="none"/>
              </w:rPr>
              <w:t>（需提供资质证书复印件）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3"/>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4"/>
          <w:rFonts w:hint="eastAsia" w:ascii="仿宋" w:hAnsi="仿宋" w:eastAsia="仿宋" w:cs="仿宋"/>
          <w:sz w:val="30"/>
        </w:rPr>
      </w:pPr>
    </w:p>
    <w:p w14:paraId="15745855">
      <w:pPr>
        <w:jc w:val="left"/>
        <w:outlineLvl w:val="0"/>
        <w:rPr>
          <w:rStyle w:val="24"/>
          <w:rFonts w:hint="eastAsia" w:ascii="仿宋" w:hAnsi="仿宋" w:eastAsia="仿宋" w:cs="仿宋"/>
          <w:sz w:val="30"/>
        </w:rPr>
        <w:sectPr>
          <w:pgSz w:w="11906" w:h="16838"/>
          <w:pgMar w:top="1701" w:right="1417" w:bottom="1134" w:left="1417" w:header="851" w:footer="992" w:gutter="0"/>
          <w:cols w:space="0" w:num="1"/>
          <w:rtlGutter w:val="0"/>
          <w:docGrid w:linePitch="312" w:charSpace="0"/>
        </w:sectPr>
      </w:pPr>
    </w:p>
    <w:p w14:paraId="3F7B11BD">
      <w:pPr>
        <w:jc w:val="left"/>
        <w:outlineLvl w:val="0"/>
        <w:rPr>
          <w:rStyle w:val="24"/>
          <w:rFonts w:hint="eastAsia" w:ascii="仿宋" w:hAnsi="仿宋" w:eastAsia="仿宋" w:cs="仿宋"/>
          <w:sz w:val="30"/>
        </w:rPr>
      </w:pPr>
      <w:bookmarkStart w:id="19" w:name="_Toc26148"/>
      <w:r>
        <w:rPr>
          <w:rStyle w:val="24"/>
          <w:rFonts w:hint="eastAsia" w:ascii="仿宋" w:hAnsi="仿宋" w:eastAsia="仿宋" w:cs="仿宋"/>
          <w:sz w:val="30"/>
        </w:rPr>
        <w:t>附件二：</w:t>
      </w:r>
      <w:bookmarkEnd w:id="19"/>
      <w:r>
        <w:rPr>
          <w:rStyle w:val="24"/>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厂区篮球场改造 </w:t>
      </w:r>
      <w:r>
        <w:rPr>
          <w:rFonts w:hint="eastAsia" w:ascii="仿宋" w:hAnsi="仿宋" w:eastAsia="仿宋" w:cs="仿宋"/>
          <w:sz w:val="30"/>
          <w:szCs w:val="30"/>
          <w:u w:val="none"/>
          <w:lang w:val="en-US" w:eastAsia="zh-CN"/>
        </w:rPr>
        <w:t>项目。</w:t>
      </w:r>
    </w:p>
    <w:tbl>
      <w:tblPr>
        <w:tblStyle w:val="14"/>
        <w:tblW w:w="5511" w:type="pct"/>
        <w:jc w:val="center"/>
        <w:tblLayout w:type="fixed"/>
        <w:tblCellMar>
          <w:top w:w="0" w:type="dxa"/>
          <w:left w:w="108" w:type="dxa"/>
          <w:bottom w:w="0" w:type="dxa"/>
          <w:right w:w="108" w:type="dxa"/>
        </w:tblCellMar>
      </w:tblPr>
      <w:tblGrid>
        <w:gridCol w:w="672"/>
        <w:gridCol w:w="2146"/>
        <w:gridCol w:w="5377"/>
        <w:gridCol w:w="2042"/>
      </w:tblGrid>
      <w:tr w14:paraId="1E43C5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22325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D159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934" w:type="dxa"/>
            <w:tcBorders>
              <w:top w:val="single" w:color="000000" w:sz="4" w:space="0"/>
              <w:left w:val="single" w:color="000000" w:sz="4" w:space="0"/>
              <w:bottom w:val="single" w:color="000000" w:sz="4" w:space="0"/>
              <w:right w:val="single" w:color="000000" w:sz="4" w:space="0"/>
            </w:tcBorders>
            <w:noWrap/>
            <w:vAlign w:val="center"/>
          </w:tcPr>
          <w:p w14:paraId="2BC44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98492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016AD284">
        <w:tblPrEx>
          <w:tblCellMar>
            <w:top w:w="0" w:type="dxa"/>
            <w:left w:w="108" w:type="dxa"/>
            <w:bottom w:w="0" w:type="dxa"/>
            <w:right w:w="108" w:type="dxa"/>
          </w:tblCellMar>
        </w:tblPrEx>
        <w:trPr>
          <w:trHeight w:val="3021"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13F28E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0A3287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厂区篮球场改造</w:t>
            </w:r>
          </w:p>
        </w:tc>
        <w:tc>
          <w:tcPr>
            <w:tcW w:w="4934" w:type="dxa"/>
            <w:tcBorders>
              <w:top w:val="single" w:color="000000" w:sz="4" w:space="0"/>
              <w:left w:val="single" w:color="000000" w:sz="4" w:space="0"/>
              <w:bottom w:val="single" w:color="000000" w:sz="4" w:space="0"/>
              <w:right w:val="single" w:color="000000" w:sz="4" w:space="0"/>
            </w:tcBorders>
            <w:noWrap w:val="0"/>
            <w:vAlign w:val="center"/>
          </w:tcPr>
          <w:p w14:paraId="542936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1、旧地面铲除与清运1000㎡含原地面破损塑胶层铲除、垃圾装车外运</w:t>
            </w:r>
          </w:p>
          <w:p w14:paraId="14250D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2、基础打磨与修补1000㎡含水泥基础打磨、裂缝填补、局部找平</w:t>
            </w:r>
          </w:p>
          <w:p w14:paraId="24FB7E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3、6mm厚硅PU弹性层铺1000㎡包含弹性层、加强层，分层施工</w:t>
            </w:r>
          </w:p>
          <w:p w14:paraId="6E58F2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4、硅PU面层施工1000㎡包含耐磨防滑面层</w:t>
            </w:r>
          </w:p>
          <w:p w14:paraId="1B47B1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5、球场标准划线按标准篮球场尺寸（含三秒区、中圈等）</w:t>
            </w:r>
          </w:p>
          <w:p w14:paraId="313186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6、场地养护与清理施工完成后成品保护与场地清洁</w:t>
            </w:r>
          </w:p>
          <w:p w14:paraId="2D3757C6">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7、户外休闲椅换新共计四把</w:t>
            </w:r>
          </w:p>
          <w:p w14:paraId="68BF8E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8、围网换新550㎡（包含原围网拆除）</w:t>
            </w:r>
          </w:p>
          <w:p w14:paraId="441DE3C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rPr>
              <w:t>9、篮球架2个（包含原篮球架拆除）</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FFCF9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default" w:ascii="仿宋" w:hAnsi="仿宋" w:eastAsia="仿宋" w:cs="仿宋"/>
                <w:i w:val="0"/>
                <w:iCs w:val="0"/>
                <w:strike w:val="0"/>
                <w:dstrike w:val="0"/>
                <w:color w:val="000000"/>
                <w:sz w:val="24"/>
                <w:szCs w:val="24"/>
                <w:highlight w:val="none"/>
                <w:u w:val="none"/>
                <w:lang w:val="en-US" w:eastAsia="zh-CN"/>
              </w:rPr>
              <w:t>详见询价文件</w:t>
            </w:r>
          </w:p>
        </w:tc>
      </w:tr>
    </w:tbl>
    <w:p w14:paraId="16ABA85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rPr>
        <w:t>。</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9BD6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lang w:eastAsia="zh-CN"/>
        </w:rPr>
        <w:t>目采购总金额限价人民币28.7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61461075">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4AE7D14A">
      <w:pPr>
        <w:spacing w:line="480" w:lineRule="auto"/>
        <w:jc w:val="left"/>
        <w:outlineLvl w:val="0"/>
        <w:rPr>
          <w:rFonts w:hint="eastAsia" w:ascii="仿宋" w:hAnsi="仿宋" w:eastAsia="仿宋" w:cs="仿宋"/>
          <w:b/>
          <w:spacing w:val="-2"/>
          <w:sz w:val="30"/>
        </w:rPr>
      </w:pPr>
      <w:bookmarkStart w:id="20" w:name="_Toc15132"/>
      <w:bookmarkStart w:id="21" w:name="_Toc103165678"/>
      <w:bookmarkStart w:id="22" w:name="_Toc108839328"/>
      <w:r>
        <w:rPr>
          <w:rStyle w:val="24"/>
          <w:rFonts w:hint="eastAsia" w:ascii="仿宋" w:hAnsi="仿宋" w:eastAsia="仿宋" w:cs="仿宋"/>
          <w:sz w:val="30"/>
        </w:rPr>
        <w:t>附件三：</w:t>
      </w:r>
      <w:bookmarkEnd w:id="20"/>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厂区篮球场改造 </w:t>
      </w:r>
      <w:r>
        <w:rPr>
          <w:rFonts w:hint="eastAsia" w:ascii="仿宋" w:hAnsi="仿宋" w:eastAsia="仿宋" w:cs="仿宋"/>
          <w:color w:val="auto"/>
          <w:sz w:val="30"/>
          <w:szCs w:val="30"/>
          <w:u w:val="none"/>
          <w:lang w:val="en-US" w:eastAsia="zh-CN"/>
        </w:rPr>
        <w:t>项目。</w:t>
      </w:r>
    </w:p>
    <w:tbl>
      <w:tblPr>
        <w:tblStyle w:val="14"/>
        <w:tblW w:w="4696" w:type="pct"/>
        <w:jc w:val="center"/>
        <w:tblLayout w:type="fixed"/>
        <w:tblCellMar>
          <w:top w:w="0" w:type="dxa"/>
          <w:left w:w="108" w:type="dxa"/>
          <w:bottom w:w="0" w:type="dxa"/>
          <w:right w:w="108" w:type="dxa"/>
        </w:tblCellMar>
      </w:tblPr>
      <w:tblGrid>
        <w:gridCol w:w="963"/>
        <w:gridCol w:w="1230"/>
        <w:gridCol w:w="3434"/>
        <w:gridCol w:w="3098"/>
      </w:tblGrid>
      <w:tr w14:paraId="34C7EDDD">
        <w:tblPrEx>
          <w:tblCellMar>
            <w:top w:w="0" w:type="dxa"/>
            <w:left w:w="108" w:type="dxa"/>
            <w:bottom w:w="0" w:type="dxa"/>
            <w:right w:w="108" w:type="dxa"/>
          </w:tblCellMar>
        </w:tblPrEx>
        <w:trPr>
          <w:trHeight w:val="467" w:hRule="atLeast"/>
          <w:jc w:val="center"/>
        </w:trPr>
        <w:tc>
          <w:tcPr>
            <w:tcW w:w="963"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3098"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1F6F270A">
        <w:tblPrEx>
          <w:tblCellMar>
            <w:top w:w="0" w:type="dxa"/>
            <w:left w:w="108" w:type="dxa"/>
            <w:bottom w:w="0" w:type="dxa"/>
            <w:right w:w="108" w:type="dxa"/>
          </w:tblCellMar>
        </w:tblPrEx>
        <w:trPr>
          <w:trHeight w:val="532" w:hRule="atLeast"/>
          <w:jc w:val="center"/>
        </w:trPr>
        <w:tc>
          <w:tcPr>
            <w:tcW w:w="963"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52A98AB8">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lang w:eastAsia="zh-CN"/>
        </w:rPr>
        <w:t>。</w:t>
      </w:r>
    </w:p>
    <w:p w14:paraId="687EAA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D8BBC5B">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default" w:ascii="仿宋" w:hAnsi="仿宋" w:eastAsia="仿宋" w:cs="仿宋"/>
          <w:b/>
          <w:spacing w:val="-2"/>
          <w:sz w:val="30"/>
          <w:lang w:val="en-US"/>
        </w:rPr>
      </w:pPr>
      <w:bookmarkStart w:id="23" w:name="_Toc12236"/>
      <w:r>
        <w:rPr>
          <w:rStyle w:val="24"/>
          <w:rFonts w:hint="eastAsia" w:ascii="仿宋" w:hAnsi="仿宋" w:eastAsia="仿宋" w:cs="仿宋"/>
          <w:sz w:val="30"/>
        </w:rPr>
        <w:t>附件</w:t>
      </w:r>
      <w:bookmarkEnd w:id="21"/>
      <w:bookmarkEnd w:id="22"/>
      <w:r>
        <w:rPr>
          <w:rStyle w:val="24"/>
          <w:rFonts w:hint="eastAsia" w:ascii="仿宋" w:hAnsi="仿宋" w:eastAsia="仿宋" w:cs="仿宋"/>
          <w:sz w:val="30"/>
          <w:lang w:val="en-US"/>
        </w:rPr>
        <w:t>四：</w:t>
      </w:r>
      <w:bookmarkEnd w:id="23"/>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厂区篮球场改造项目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14:paraId="0806776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7CF5D452"/>
    <w:multiLevelType w:val="singleLevel"/>
    <w:tmpl w:val="7CF5D452"/>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4F4893"/>
    <w:rsid w:val="01D22213"/>
    <w:rsid w:val="02834D04"/>
    <w:rsid w:val="031428FF"/>
    <w:rsid w:val="038D5656"/>
    <w:rsid w:val="03F95A31"/>
    <w:rsid w:val="04605697"/>
    <w:rsid w:val="04887D16"/>
    <w:rsid w:val="05D22118"/>
    <w:rsid w:val="05D355DF"/>
    <w:rsid w:val="06057AB3"/>
    <w:rsid w:val="062B00FD"/>
    <w:rsid w:val="067A3460"/>
    <w:rsid w:val="076328DA"/>
    <w:rsid w:val="07A76692"/>
    <w:rsid w:val="08186607"/>
    <w:rsid w:val="083A3947"/>
    <w:rsid w:val="08F93082"/>
    <w:rsid w:val="097479E0"/>
    <w:rsid w:val="09B7226A"/>
    <w:rsid w:val="0A0C6ADD"/>
    <w:rsid w:val="0A32752C"/>
    <w:rsid w:val="0A9D29B8"/>
    <w:rsid w:val="0B2C6C02"/>
    <w:rsid w:val="0B8E6D39"/>
    <w:rsid w:val="0BC12699"/>
    <w:rsid w:val="0BCC31F9"/>
    <w:rsid w:val="0C5A16A4"/>
    <w:rsid w:val="0DC35837"/>
    <w:rsid w:val="0DE61498"/>
    <w:rsid w:val="0E6A2485"/>
    <w:rsid w:val="10C87F96"/>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DDB32DF"/>
    <w:rsid w:val="1E191157"/>
    <w:rsid w:val="1E1A21EF"/>
    <w:rsid w:val="203B090D"/>
    <w:rsid w:val="206F2E6D"/>
    <w:rsid w:val="21135480"/>
    <w:rsid w:val="211D7593"/>
    <w:rsid w:val="212C3971"/>
    <w:rsid w:val="213F386A"/>
    <w:rsid w:val="214D7086"/>
    <w:rsid w:val="217557F8"/>
    <w:rsid w:val="21820C38"/>
    <w:rsid w:val="219369B7"/>
    <w:rsid w:val="21BA7E4E"/>
    <w:rsid w:val="22DF5956"/>
    <w:rsid w:val="22ED7F5E"/>
    <w:rsid w:val="23D1671E"/>
    <w:rsid w:val="24130D0C"/>
    <w:rsid w:val="259E2C64"/>
    <w:rsid w:val="26F76768"/>
    <w:rsid w:val="27AC61A6"/>
    <w:rsid w:val="27BF3329"/>
    <w:rsid w:val="27FE02E6"/>
    <w:rsid w:val="28C57566"/>
    <w:rsid w:val="29084622"/>
    <w:rsid w:val="29903771"/>
    <w:rsid w:val="29F704EF"/>
    <w:rsid w:val="2A0049E3"/>
    <w:rsid w:val="2AC220DE"/>
    <w:rsid w:val="2ADB5E21"/>
    <w:rsid w:val="2ADF08BA"/>
    <w:rsid w:val="2B603075"/>
    <w:rsid w:val="2C305EB2"/>
    <w:rsid w:val="2C980D1B"/>
    <w:rsid w:val="2CC63B3C"/>
    <w:rsid w:val="2CD9238D"/>
    <w:rsid w:val="2D023CA7"/>
    <w:rsid w:val="2D774B98"/>
    <w:rsid w:val="2E003054"/>
    <w:rsid w:val="2EB2531B"/>
    <w:rsid w:val="2F3D045F"/>
    <w:rsid w:val="2F6F3EAC"/>
    <w:rsid w:val="2F7D3F84"/>
    <w:rsid w:val="2F844FB7"/>
    <w:rsid w:val="30256074"/>
    <w:rsid w:val="302C4175"/>
    <w:rsid w:val="30890978"/>
    <w:rsid w:val="30A52DD9"/>
    <w:rsid w:val="31713FF6"/>
    <w:rsid w:val="32B04D2F"/>
    <w:rsid w:val="33992634"/>
    <w:rsid w:val="33A35EAC"/>
    <w:rsid w:val="3464504B"/>
    <w:rsid w:val="34E00D83"/>
    <w:rsid w:val="34E40873"/>
    <w:rsid w:val="355F7D2E"/>
    <w:rsid w:val="36216F0D"/>
    <w:rsid w:val="36316A75"/>
    <w:rsid w:val="3667119D"/>
    <w:rsid w:val="36ED02B2"/>
    <w:rsid w:val="37DB73A7"/>
    <w:rsid w:val="389D7311"/>
    <w:rsid w:val="39157370"/>
    <w:rsid w:val="398E418A"/>
    <w:rsid w:val="3996009B"/>
    <w:rsid w:val="3997709B"/>
    <w:rsid w:val="39A55AE7"/>
    <w:rsid w:val="3A351BE0"/>
    <w:rsid w:val="3B0953A4"/>
    <w:rsid w:val="3B361330"/>
    <w:rsid w:val="3C302F1C"/>
    <w:rsid w:val="3C8719BD"/>
    <w:rsid w:val="3CE46170"/>
    <w:rsid w:val="3D7933CA"/>
    <w:rsid w:val="3DAC3CC7"/>
    <w:rsid w:val="3E16524F"/>
    <w:rsid w:val="3EA30F9B"/>
    <w:rsid w:val="3F2D02B4"/>
    <w:rsid w:val="3F7C50B1"/>
    <w:rsid w:val="3F996DE7"/>
    <w:rsid w:val="3FAE19C2"/>
    <w:rsid w:val="3FDD788E"/>
    <w:rsid w:val="406B2371"/>
    <w:rsid w:val="407E15A7"/>
    <w:rsid w:val="40AA3B81"/>
    <w:rsid w:val="411C5733"/>
    <w:rsid w:val="417112FA"/>
    <w:rsid w:val="42D57A4D"/>
    <w:rsid w:val="435A4388"/>
    <w:rsid w:val="436A096E"/>
    <w:rsid w:val="43985971"/>
    <w:rsid w:val="43A970E7"/>
    <w:rsid w:val="43BA0460"/>
    <w:rsid w:val="44322CE6"/>
    <w:rsid w:val="44544A76"/>
    <w:rsid w:val="449544C5"/>
    <w:rsid w:val="44A55070"/>
    <w:rsid w:val="45530393"/>
    <w:rsid w:val="469F7AF8"/>
    <w:rsid w:val="471B5F3A"/>
    <w:rsid w:val="47322367"/>
    <w:rsid w:val="475812CD"/>
    <w:rsid w:val="475D1115"/>
    <w:rsid w:val="478F3581"/>
    <w:rsid w:val="47B96D86"/>
    <w:rsid w:val="47D615F1"/>
    <w:rsid w:val="47D93555"/>
    <w:rsid w:val="48034DA7"/>
    <w:rsid w:val="486F4BB5"/>
    <w:rsid w:val="48A60514"/>
    <w:rsid w:val="48E14418"/>
    <w:rsid w:val="491635D4"/>
    <w:rsid w:val="492C3BEE"/>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0581A6B"/>
    <w:rsid w:val="51131CCB"/>
    <w:rsid w:val="51D845E4"/>
    <w:rsid w:val="52341DDD"/>
    <w:rsid w:val="531111FC"/>
    <w:rsid w:val="533444FB"/>
    <w:rsid w:val="55C54FE9"/>
    <w:rsid w:val="55E07717"/>
    <w:rsid w:val="56397366"/>
    <w:rsid w:val="58080247"/>
    <w:rsid w:val="5950112B"/>
    <w:rsid w:val="59C3293C"/>
    <w:rsid w:val="5A1C766A"/>
    <w:rsid w:val="5AD80CCE"/>
    <w:rsid w:val="5B3710B2"/>
    <w:rsid w:val="5CF528AB"/>
    <w:rsid w:val="5D132301"/>
    <w:rsid w:val="5D340EF8"/>
    <w:rsid w:val="5D7C523D"/>
    <w:rsid w:val="5DD30482"/>
    <w:rsid w:val="5E970206"/>
    <w:rsid w:val="5ED1360A"/>
    <w:rsid w:val="5F1E1E73"/>
    <w:rsid w:val="6012673A"/>
    <w:rsid w:val="612A3DEE"/>
    <w:rsid w:val="614D7B82"/>
    <w:rsid w:val="62B67083"/>
    <w:rsid w:val="64787E17"/>
    <w:rsid w:val="649C599A"/>
    <w:rsid w:val="65311F5C"/>
    <w:rsid w:val="669155F5"/>
    <w:rsid w:val="66B027B6"/>
    <w:rsid w:val="671A2875"/>
    <w:rsid w:val="677D6629"/>
    <w:rsid w:val="67966EFB"/>
    <w:rsid w:val="67B628F5"/>
    <w:rsid w:val="682119CD"/>
    <w:rsid w:val="69A94E0C"/>
    <w:rsid w:val="6B3C7DBA"/>
    <w:rsid w:val="6B656B47"/>
    <w:rsid w:val="6B7E1643"/>
    <w:rsid w:val="6C714475"/>
    <w:rsid w:val="6CDB032D"/>
    <w:rsid w:val="6CE30226"/>
    <w:rsid w:val="6DB2110D"/>
    <w:rsid w:val="6DBD736C"/>
    <w:rsid w:val="6DF45A5A"/>
    <w:rsid w:val="6E5526FF"/>
    <w:rsid w:val="6EB82DCE"/>
    <w:rsid w:val="6F2B1820"/>
    <w:rsid w:val="6F412F7A"/>
    <w:rsid w:val="6FB72F89"/>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550627"/>
    <w:rsid w:val="7A7B08FF"/>
    <w:rsid w:val="7AE21E9E"/>
    <w:rsid w:val="7B027F4F"/>
    <w:rsid w:val="7B09318D"/>
    <w:rsid w:val="7B5F5943"/>
    <w:rsid w:val="7B6004E6"/>
    <w:rsid w:val="7BE14791"/>
    <w:rsid w:val="7C4C470C"/>
    <w:rsid w:val="7CD03426"/>
    <w:rsid w:val="7DDA7768"/>
    <w:rsid w:val="7DFA5FDE"/>
    <w:rsid w:val="7E0B3994"/>
    <w:rsid w:val="7ED236BD"/>
    <w:rsid w:val="7F5B6E61"/>
    <w:rsid w:val="7FBF7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spacing w:after="120" w:afterLines="0"/>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0"/>
    <w:rPr>
      <w:i/>
    </w:rPr>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正文空2字"/>
    <w:basedOn w:val="22"/>
    <w:autoRedefine/>
    <w:qFormat/>
    <w:uiPriority w:val="99"/>
    <w:pPr>
      <w:widowControl w:val="0"/>
      <w:snapToGrid w:val="0"/>
      <w:jc w:val="center"/>
    </w:pPr>
    <w:rPr>
      <w:rFonts w:ascii="宋体" w:hAnsi="宋体" w:eastAsia="宋体" w:cs="仿宋_GB2312"/>
      <w:sz w:val="24"/>
      <w:szCs w:val="24"/>
    </w:rPr>
  </w:style>
  <w:style w:type="paragraph" w:customStyle="1" w:styleId="22">
    <w:name w:val="左对齐正文"/>
    <w:autoRedefine/>
    <w:qFormat/>
    <w:uiPriority w:val="99"/>
    <w:rPr>
      <w:rFonts w:ascii="Calibri" w:hAnsi="Calibri" w:eastAsia="仿宋_GB2312" w:cs="Calibri"/>
      <w:kern w:val="2"/>
      <w:sz w:val="32"/>
      <w:szCs w:val="32"/>
      <w:lang w:val="en-US" w:eastAsia="zh-CN" w:bidi="ar-SA"/>
    </w:rPr>
  </w:style>
  <w:style w:type="paragraph" w:customStyle="1" w:styleId="2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4">
    <w:name w:val="标题 1 Char Char"/>
    <w:qFormat/>
    <w:uiPriority w:val="0"/>
    <w:rPr>
      <w:rFonts w:eastAsia="宋体"/>
      <w:b/>
      <w:spacing w:val="-2"/>
      <w:sz w:val="24"/>
      <w:lang w:val="en-US" w:eastAsia="zh-CN"/>
    </w:rPr>
  </w:style>
  <w:style w:type="paragraph" w:customStyle="1" w:styleId="25">
    <w:name w:val="一、标题"/>
    <w:basedOn w:val="1"/>
    <w:qFormat/>
    <w:uiPriority w:val="0"/>
    <w:rPr>
      <w:b/>
      <w:sz w:val="28"/>
    </w:rPr>
  </w:style>
  <w:style w:type="paragraph" w:styleId="26">
    <w:name w:val="List Paragraph"/>
    <w:basedOn w:val="1"/>
    <w:qFormat/>
    <w:uiPriority w:val="34"/>
    <w:pPr>
      <w:ind w:firstLine="420" w:firstLineChars="200"/>
    </w:pPr>
  </w:style>
  <w:style w:type="character" w:customStyle="1" w:styleId="27">
    <w:name w:val="页眉 Char"/>
    <w:basedOn w:val="16"/>
    <w:link w:val="9"/>
    <w:qFormat/>
    <w:uiPriority w:val="0"/>
    <w:rPr>
      <w:kern w:val="2"/>
      <w:sz w:val="18"/>
      <w:szCs w:val="18"/>
    </w:rPr>
  </w:style>
  <w:style w:type="character" w:customStyle="1" w:styleId="28">
    <w:name w:val="批注框文本 Char"/>
    <w:basedOn w:val="16"/>
    <w:link w:val="7"/>
    <w:qFormat/>
    <w:uiPriority w:val="0"/>
    <w:rPr>
      <w:kern w:val="2"/>
      <w:sz w:val="18"/>
      <w:szCs w:val="18"/>
    </w:rPr>
  </w:style>
  <w:style w:type="character" w:customStyle="1" w:styleId="29">
    <w:name w:val="font31"/>
    <w:basedOn w:val="16"/>
    <w:qFormat/>
    <w:uiPriority w:val="0"/>
    <w:rPr>
      <w:rFonts w:hint="eastAsia" w:ascii="宋体" w:hAnsi="宋体" w:eastAsia="宋体" w:cs="宋体"/>
      <w:color w:val="000000"/>
      <w:sz w:val="22"/>
      <w:szCs w:val="22"/>
      <w:u w:val="none"/>
    </w:rPr>
  </w:style>
  <w:style w:type="character" w:customStyle="1" w:styleId="30">
    <w:name w:val="font51"/>
    <w:basedOn w:val="16"/>
    <w:qFormat/>
    <w:uiPriority w:val="0"/>
    <w:rPr>
      <w:rFonts w:hint="default" w:ascii="Times New Roman" w:hAnsi="Times New Roman" w:cs="Times New Roman"/>
      <w:color w:val="000000"/>
      <w:sz w:val="22"/>
      <w:szCs w:val="22"/>
      <w:u w:val="none"/>
    </w:rPr>
  </w:style>
  <w:style w:type="character" w:customStyle="1" w:styleId="31">
    <w:name w:val="font41"/>
    <w:basedOn w:val="16"/>
    <w:qFormat/>
    <w:uiPriority w:val="0"/>
    <w:rPr>
      <w:rFonts w:ascii="仿宋_GB2312" w:eastAsia="仿宋_GB2312" w:cs="仿宋_GB2312"/>
      <w:color w:val="000000"/>
      <w:sz w:val="22"/>
      <w:szCs w:val="22"/>
      <w:u w:val="none"/>
    </w:rPr>
  </w:style>
  <w:style w:type="character" w:customStyle="1" w:styleId="32">
    <w:name w:val="font21"/>
    <w:basedOn w:val="16"/>
    <w:qFormat/>
    <w:uiPriority w:val="0"/>
    <w:rPr>
      <w:rFonts w:hint="eastAsia" w:ascii="宋体" w:hAnsi="宋体" w:eastAsia="宋体" w:cs="宋体"/>
      <w:color w:val="000000"/>
      <w:sz w:val="22"/>
      <w:szCs w:val="22"/>
      <w:u w:val="none"/>
      <w:vertAlign w:val="superscript"/>
    </w:rPr>
  </w:style>
  <w:style w:type="character" w:customStyle="1" w:styleId="33">
    <w:name w:val="font01"/>
    <w:basedOn w:val="16"/>
    <w:qFormat/>
    <w:uiPriority w:val="0"/>
    <w:rPr>
      <w:rFonts w:hint="eastAsia" w:ascii="宋体" w:hAnsi="宋体" w:eastAsia="宋体" w:cs="宋体"/>
      <w:color w:val="000000"/>
      <w:sz w:val="22"/>
      <w:szCs w:val="22"/>
      <w:u w:val="none"/>
    </w:rPr>
  </w:style>
  <w:style w:type="character" w:customStyle="1" w:styleId="34">
    <w:name w:val="font11"/>
    <w:basedOn w:val="16"/>
    <w:qFormat/>
    <w:uiPriority w:val="0"/>
    <w:rPr>
      <w:rFonts w:hint="eastAsia" w:ascii="宋体" w:hAnsi="宋体" w:eastAsia="宋体" w:cs="宋体"/>
      <w:color w:val="000000"/>
      <w:sz w:val="24"/>
      <w:szCs w:val="24"/>
      <w:u w:val="none"/>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6">
    <w:name w:val="font81"/>
    <w:basedOn w:val="16"/>
    <w:qFormat/>
    <w:uiPriority w:val="0"/>
    <w:rPr>
      <w:rFonts w:ascii="宋体" w:hAnsi="宋体" w:eastAsia="宋体" w:cs="宋体"/>
      <w:color w:val="000000"/>
      <w:sz w:val="20"/>
      <w:szCs w:val="20"/>
      <w:u w:val="none"/>
    </w:rPr>
  </w:style>
  <w:style w:type="character" w:customStyle="1" w:styleId="37">
    <w:name w:val="font71"/>
    <w:basedOn w:val="16"/>
    <w:qFormat/>
    <w:uiPriority w:val="0"/>
    <w:rPr>
      <w:rFonts w:hint="eastAsia" w:ascii="仿宋" w:hAnsi="仿宋" w:eastAsia="仿宋" w:cs="仿宋"/>
      <w:color w:val="000000"/>
      <w:sz w:val="22"/>
      <w:szCs w:val="22"/>
      <w:u w:val="none"/>
    </w:rPr>
  </w:style>
  <w:style w:type="paragraph" w:customStyle="1" w:styleId="38">
    <w:name w:val="样式1"/>
    <w:basedOn w:val="1"/>
    <w:qFormat/>
    <w:uiPriority w:val="0"/>
    <w:pPr>
      <w:spacing w:line="240" w:lineRule="exact"/>
    </w:pPr>
    <w:rPr>
      <w:rFonts w:ascii="宋体" w:hAnsi="宋体" w:eastAsia="宋体"/>
      <w:sz w:val="24"/>
      <w:szCs w:val="24"/>
    </w:rPr>
  </w:style>
  <w:style w:type="character" w:customStyle="1" w:styleId="39">
    <w:name w:val="标题 1 Char"/>
    <w:link w:val="2"/>
    <w:qFormat/>
    <w:uiPriority w:val="0"/>
    <w:rPr>
      <w:rFonts w:ascii="宋体" w:hAnsi="Arial" w:eastAsia="黑体"/>
      <w:b/>
      <w:color w:val="000000"/>
      <w:kern w:val="44"/>
      <w:sz w:val="36"/>
    </w:rPr>
  </w:style>
  <w:style w:type="paragraph" w:customStyle="1" w:styleId="40">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1">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12861</Words>
  <Characters>14025</Characters>
  <Lines>53</Lines>
  <Paragraphs>15</Paragraphs>
  <TotalTime>4</TotalTime>
  <ScaleCrop>false</ScaleCrop>
  <LinksUpToDate>false</LinksUpToDate>
  <CharactersWithSpaces>15507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2026-06-02T06:54:55Z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F3287D1C210B4C11A7A61C009C8AA18A_13</vt:lpwstr>
  </property>
  <property fmtid="{D5CDD505-2E9C-101B-9397-08002B2CF9AE}" pid="4" name="KSOTemplateDocerSaveRecord">
    <vt:lpwstr>eyJoZGlkIjoiYzUwZDFhNTA3NTBkYjYwNzBmOWEzNGQxZTA1ZTZlYTEiLCJ1c2VySWQiOiI0MTkyNjk4ODkifQ==</vt:lpwstr>
  </property>
</Properties>
</file>