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6205E">
      <w:pPr>
        <w:jc w:val="center"/>
        <w:rPr>
          <w:rFonts w:hint="eastAsia" w:ascii="仿宋" w:hAnsi="仿宋" w:eastAsia="仿宋" w:cs="仿宋"/>
          <w:sz w:val="72"/>
        </w:rPr>
      </w:pPr>
    </w:p>
    <w:p w14:paraId="386541DE">
      <w:pPr>
        <w:jc w:val="center"/>
        <w:rPr>
          <w:rFonts w:hint="eastAsia" w:ascii="仿宋" w:hAnsi="仿宋" w:eastAsia="仿宋" w:cs="仿宋"/>
          <w:sz w:val="72"/>
        </w:rPr>
      </w:pPr>
    </w:p>
    <w:p w14:paraId="3DEA6FF2">
      <w:pPr>
        <w:jc w:val="center"/>
        <w:outlineLvl w:val="0"/>
        <w:rPr>
          <w:rFonts w:hint="eastAsia" w:ascii="仿宋_GB2312" w:hAnsi="宋体" w:eastAsia="仿宋_GB2312"/>
          <w:b/>
          <w:sz w:val="52"/>
          <w:szCs w:val="52"/>
          <w:highlight w:val="none"/>
        </w:rPr>
      </w:pPr>
      <w:bookmarkStart w:id="0" w:name="_Toc18300"/>
      <w:r>
        <w:rPr>
          <w:rFonts w:hint="eastAsia" w:ascii="仿宋_GB2312" w:hAnsi="宋体" w:eastAsia="仿宋_GB2312"/>
          <w:b/>
          <w:sz w:val="52"/>
          <w:szCs w:val="52"/>
          <w:highlight w:val="none"/>
          <w:lang w:eastAsia="zh-CN"/>
        </w:rPr>
        <w:t>绍兴市再生能源发展有限公司</w:t>
      </w:r>
      <w:bookmarkEnd w:id="0"/>
    </w:p>
    <w:p w14:paraId="4EEA6687">
      <w:pPr>
        <w:pStyle w:val="12"/>
        <w:rPr>
          <w:highlight w:val="none"/>
        </w:rPr>
      </w:pPr>
    </w:p>
    <w:p w14:paraId="0FFC4035">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val="en-US" w:eastAsia="zh-CN"/>
        </w:rPr>
        <w:t>2026年度土壤地下水自行监测、有毒有害物质排放报告编制项目</w:t>
      </w:r>
    </w:p>
    <w:p w14:paraId="659FFE53">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挂网</w:t>
      </w:r>
      <w:r>
        <w:rPr>
          <w:rFonts w:hint="eastAsia" w:ascii="仿宋_GB2312" w:hAnsi="宋体" w:eastAsia="仿宋_GB2312"/>
          <w:b/>
          <w:sz w:val="52"/>
          <w:szCs w:val="52"/>
        </w:rPr>
        <w:t>文件</w:t>
      </w:r>
    </w:p>
    <w:p w14:paraId="52FF4260">
      <w:pPr>
        <w:jc w:val="center"/>
        <w:rPr>
          <w:rFonts w:hint="eastAsia" w:ascii="仿宋" w:hAnsi="仿宋" w:eastAsia="仿宋" w:cs="仿宋"/>
          <w:b/>
          <w:sz w:val="48"/>
          <w:szCs w:val="48"/>
        </w:rPr>
      </w:pPr>
    </w:p>
    <w:p w14:paraId="133227F3">
      <w:pPr>
        <w:spacing w:line="360" w:lineRule="auto"/>
        <w:rPr>
          <w:rFonts w:hint="eastAsia" w:ascii="仿宋" w:hAnsi="仿宋" w:eastAsia="仿宋" w:cs="仿宋"/>
          <w:sz w:val="40"/>
          <w:szCs w:val="48"/>
        </w:rPr>
      </w:pPr>
    </w:p>
    <w:p w14:paraId="517E9780">
      <w:pPr>
        <w:spacing w:line="360" w:lineRule="auto"/>
        <w:rPr>
          <w:rFonts w:hint="eastAsia" w:ascii="仿宋" w:hAnsi="仿宋" w:eastAsia="仿宋" w:cs="仿宋"/>
          <w:sz w:val="40"/>
          <w:szCs w:val="48"/>
        </w:rPr>
      </w:pPr>
    </w:p>
    <w:p w14:paraId="1858A337">
      <w:pPr>
        <w:spacing w:line="360" w:lineRule="auto"/>
        <w:rPr>
          <w:rFonts w:hint="eastAsia" w:ascii="仿宋" w:hAnsi="仿宋" w:eastAsia="仿宋" w:cs="仿宋"/>
          <w:sz w:val="40"/>
          <w:szCs w:val="48"/>
          <w:highlight w:val="none"/>
        </w:rPr>
      </w:pPr>
    </w:p>
    <w:p w14:paraId="6CE4C974">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SX-ZH-TR-</w:t>
      </w:r>
      <w:bookmarkEnd w:id="1"/>
      <w:r>
        <w:rPr>
          <w:rFonts w:hint="eastAsia" w:ascii="仿宋" w:hAnsi="仿宋" w:eastAsia="仿宋" w:cs="仿宋"/>
          <w:sz w:val="32"/>
          <w:szCs w:val="32"/>
          <w:highlight w:val="none"/>
          <w:u w:val="single"/>
          <w:lang w:val="en-US" w:eastAsia="zh-CN"/>
        </w:rPr>
        <w:t xml:space="preserve">2605003  </w:t>
      </w:r>
    </w:p>
    <w:p w14:paraId="69DC19A4">
      <w:pPr>
        <w:spacing w:line="360" w:lineRule="auto"/>
        <w:ind w:firstLine="80" w:firstLineChars="25"/>
        <w:jc w:val="center"/>
        <w:rPr>
          <w:rFonts w:hint="default" w:ascii="仿宋" w:hAnsi="仿宋" w:eastAsia="仿宋" w:cs="仿宋"/>
          <w:sz w:val="32"/>
          <w:szCs w:val="32"/>
          <w:u w:val="single"/>
          <w:lang w:val="en-US" w:eastAsia="zh-CN"/>
        </w:rPr>
      </w:pPr>
      <w:bookmarkStart w:id="2" w:name="OLE_LINK53"/>
      <w:bookmarkStart w:id="3" w:name="OLE_LINK52"/>
      <w:r>
        <w:rPr>
          <w:rFonts w:hint="eastAsia" w:ascii="仿宋" w:hAnsi="仿宋" w:eastAsia="仿宋" w:cs="仿宋"/>
          <w:sz w:val="32"/>
          <w:szCs w:val="32"/>
        </w:rPr>
        <w:t>项目名称：</w:t>
      </w:r>
      <w:bookmarkEnd w:id="2"/>
      <w:bookmarkEnd w:id="3"/>
      <w:r>
        <w:rPr>
          <w:rFonts w:hint="eastAsia" w:ascii="仿宋" w:hAnsi="仿宋" w:eastAsia="仿宋" w:cs="仿宋"/>
          <w:sz w:val="32"/>
          <w:szCs w:val="32"/>
          <w:u w:val="single"/>
          <w:lang w:val="en-US" w:eastAsia="zh-CN"/>
        </w:rPr>
        <w:t>2026年度土壤地下水自行监测、有毒有害物质排放报告编制项目</w:t>
      </w:r>
    </w:p>
    <w:p w14:paraId="619BC30A">
      <w:pPr>
        <w:rPr>
          <w:rFonts w:hint="eastAsia" w:ascii="仿宋" w:hAnsi="仿宋" w:eastAsia="仿宋" w:cs="仿宋"/>
          <w:sz w:val="84"/>
        </w:rPr>
      </w:pPr>
    </w:p>
    <w:p w14:paraId="379DFA08">
      <w:pPr>
        <w:rPr>
          <w:rFonts w:hint="eastAsia" w:ascii="仿宋" w:hAnsi="仿宋" w:eastAsia="仿宋" w:cs="仿宋"/>
          <w:sz w:val="84"/>
        </w:rPr>
      </w:pPr>
    </w:p>
    <w:p w14:paraId="5CEDDC98">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04407B9F">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六</w:t>
      </w:r>
      <w:r>
        <w:rPr>
          <w:rFonts w:hint="eastAsia" w:ascii="仿宋" w:hAnsi="仿宋" w:eastAsia="仿宋" w:cs="仿宋"/>
          <w:sz w:val="32"/>
          <w:szCs w:val="32"/>
        </w:rPr>
        <w:t>年</w:t>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rPr>
        <w:t>月</w:t>
      </w:r>
      <w:r>
        <w:rPr>
          <w:rFonts w:hint="eastAsia" w:ascii="仿宋" w:hAnsi="仿宋" w:eastAsia="仿宋" w:cs="仿宋"/>
          <w:sz w:val="32"/>
          <w:szCs w:val="32"/>
        </w:rPr>
        <w:br w:type="page"/>
      </w:r>
      <w:r>
        <w:rPr>
          <w:rFonts w:hint="eastAsia" w:ascii="仿宋" w:hAnsi="仿宋" w:eastAsia="仿宋" w:cs="仿宋"/>
          <w:sz w:val="52"/>
          <w:szCs w:val="32"/>
        </w:rPr>
        <w:t>目录</w:t>
      </w:r>
    </w:p>
    <w:p w14:paraId="5432FB47">
      <w:pPr>
        <w:pStyle w:val="10"/>
        <w:tabs>
          <w:tab w:val="right" w:leader="dot" w:pos="9072"/>
        </w:tabs>
        <w:rPr>
          <w:rFonts w:hint="eastAsia" w:ascii="仿宋" w:hAnsi="仿宋" w:eastAsia="仿宋" w:cs="仿宋"/>
          <w:b w:val="0"/>
          <w:bCs/>
          <w:sz w:val="32"/>
          <w:szCs w:val="32"/>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_Toc18300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highlight w:val="none"/>
          <w:lang w:eastAsia="zh-CN"/>
        </w:rPr>
        <w:t>绍兴市再生能源发展有限公司</w:t>
      </w:r>
      <w:r>
        <w:rPr>
          <w:rFonts w:hint="default" w:ascii="Times New Roman" w:hAnsi="Times New Roman" w:eastAsia="仿宋" w:cs="Times New Roman"/>
          <w:b w:val="0"/>
          <w:bCs/>
          <w:sz w:val="32"/>
          <w:szCs w:val="32"/>
        </w:rPr>
        <w:tab/>
      </w:r>
      <w:r>
        <w:rPr>
          <w:rFonts w:hint="default" w:ascii="Times New Roman" w:hAnsi="Times New Roman" w:eastAsia="仿宋" w:cs="Times New Roman"/>
          <w:b w:val="0"/>
          <w:bCs/>
          <w:sz w:val="32"/>
          <w:szCs w:val="32"/>
        </w:rPr>
        <w:fldChar w:fldCharType="begin"/>
      </w:r>
      <w:r>
        <w:rPr>
          <w:rFonts w:hint="default" w:ascii="Times New Roman" w:hAnsi="Times New Roman" w:eastAsia="仿宋" w:cs="Times New Roman"/>
          <w:b w:val="0"/>
          <w:bCs/>
          <w:sz w:val="32"/>
          <w:szCs w:val="32"/>
        </w:rPr>
        <w:instrText xml:space="preserve"> PAGEREF _Toc18300 \h </w:instrText>
      </w:r>
      <w:r>
        <w:rPr>
          <w:rFonts w:hint="default" w:ascii="Times New Roman" w:hAnsi="Times New Roman" w:eastAsia="仿宋" w:cs="Times New Roman"/>
          <w:b w:val="0"/>
          <w:bCs/>
          <w:sz w:val="32"/>
          <w:szCs w:val="32"/>
        </w:rPr>
        <w:fldChar w:fldCharType="separate"/>
      </w:r>
      <w:r>
        <w:rPr>
          <w:rFonts w:hint="default" w:ascii="Times New Roman" w:hAnsi="Times New Roman" w:eastAsia="仿宋" w:cs="Times New Roman"/>
          <w:b w:val="0"/>
          <w:bCs/>
          <w:sz w:val="32"/>
          <w:szCs w:val="32"/>
        </w:rPr>
        <w:t>1</w:t>
      </w:r>
      <w:r>
        <w:rPr>
          <w:rFonts w:hint="default"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39EA5150">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_Toc30241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lang w:val="en-US" w:eastAsia="zh-CN"/>
        </w:rPr>
        <w:t>第一部分   询价公告</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_Toc30241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3</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123B1369">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_Toc24596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lang w:val="en-US" w:eastAsia="zh-CN"/>
        </w:rPr>
        <w:t>第二部分   采购须知</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_Toc24596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7</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2D025B23">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_Toc17925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第三部分   询价内容</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_Toc17925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12</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085C68B6">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_Toc22663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lang w:val="en-US" w:eastAsia="zh-CN"/>
        </w:rPr>
        <w:t xml:space="preserve">第四部分 </w:t>
      </w:r>
      <w:r>
        <w:rPr>
          <w:rFonts w:hint="eastAsia" w:eastAsia="仿宋" w:cs="Times New Roman"/>
          <w:b w:val="0"/>
          <w:bCs/>
          <w:sz w:val="32"/>
          <w:szCs w:val="32"/>
          <w:lang w:val="en-US" w:eastAsia="zh-CN"/>
        </w:rPr>
        <w:t xml:space="preserve">  </w:t>
      </w:r>
      <w:r>
        <w:rPr>
          <w:rFonts w:hint="eastAsia" w:ascii="Times New Roman" w:hAnsi="Times New Roman" w:eastAsia="仿宋" w:cs="Times New Roman"/>
          <w:b w:val="0"/>
          <w:bCs/>
          <w:sz w:val="32"/>
          <w:szCs w:val="32"/>
          <w:lang w:val="en-US" w:eastAsia="zh-CN"/>
        </w:rPr>
        <w:t>合同主要条款（供参考）</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_Toc22663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13</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0954B58C">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_Toc1259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lang w:val="en-US" w:eastAsia="zh-CN"/>
        </w:rPr>
        <w:t>附件：</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_Toc1259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16</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2CF4EDDD">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_Toc307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第</w:t>
      </w:r>
      <w:r>
        <w:rPr>
          <w:rFonts w:hint="eastAsia" w:ascii="Times New Roman" w:hAnsi="Times New Roman" w:eastAsia="仿宋" w:cs="Times New Roman"/>
          <w:b w:val="0"/>
          <w:bCs/>
          <w:sz w:val="32"/>
          <w:szCs w:val="32"/>
          <w:lang w:eastAsia="zh-CN"/>
        </w:rPr>
        <w:t>五</w:t>
      </w:r>
      <w:r>
        <w:rPr>
          <w:rFonts w:hint="eastAsia" w:ascii="Times New Roman" w:hAnsi="Times New Roman" w:eastAsia="仿宋" w:cs="Times New Roman"/>
          <w:b w:val="0"/>
          <w:bCs/>
          <w:sz w:val="32"/>
          <w:szCs w:val="32"/>
        </w:rPr>
        <w:t>部分   报价文件格式</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_Toc307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19</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06C4BA1C">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_Toc16496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附件一：</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_Toc16496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20</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45A24283">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_Toc32040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附件二：</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_Toc32040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22</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16630743">
      <w:pPr>
        <w:pStyle w:val="10"/>
        <w:tabs>
          <w:tab w:val="right" w:leader="dot" w:pos="9072"/>
        </w:tabs>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_Toc21415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附件</w:t>
      </w:r>
      <w:r>
        <w:rPr>
          <w:rFonts w:hint="eastAsia" w:ascii="Times New Roman" w:hAnsi="Times New Roman" w:eastAsia="仿宋" w:cs="Times New Roman"/>
          <w:b w:val="0"/>
          <w:bCs/>
          <w:sz w:val="32"/>
          <w:szCs w:val="32"/>
          <w:lang w:val="en-US"/>
        </w:rPr>
        <w:t>四：</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_Toc21415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26</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49419028">
      <w:pPr>
        <w:rPr>
          <w:rFonts w:hint="eastAsia" w:ascii="仿宋" w:hAnsi="仿宋" w:eastAsia="仿宋" w:cs="仿宋"/>
          <w:sz w:val="56"/>
          <w:szCs w:val="32"/>
        </w:rPr>
      </w:pPr>
      <w:r>
        <w:rPr>
          <w:rFonts w:hint="eastAsia" w:ascii="仿宋" w:hAnsi="仿宋" w:eastAsia="仿宋" w:cs="仿宋"/>
          <w:bCs/>
          <w:szCs w:val="28"/>
        </w:rPr>
        <w:fldChar w:fldCharType="end"/>
      </w:r>
    </w:p>
    <w:p w14:paraId="0555C8B2">
      <w:pPr>
        <w:rPr>
          <w:rFonts w:hint="eastAsia" w:ascii="仿宋" w:hAnsi="仿宋" w:eastAsia="仿宋" w:cs="仿宋"/>
          <w:sz w:val="36"/>
        </w:rPr>
      </w:pPr>
    </w:p>
    <w:p w14:paraId="6921F477">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bookmarkStart w:id="6" w:name="_Toc30241"/>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6E66C16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2026年度土壤地下水自行监测、有毒有害物质排放报告编制项目</w:t>
      </w:r>
      <w:r>
        <w:rPr>
          <w:rFonts w:hint="eastAsia" w:ascii="仿宋" w:hAnsi="仿宋" w:eastAsia="仿宋" w:cs="仿宋"/>
          <w:sz w:val="30"/>
          <w:szCs w:val="30"/>
          <w:lang w:eastAsia="zh-CN"/>
        </w:rPr>
        <w:t>进行招标</w:t>
      </w:r>
      <w:r>
        <w:rPr>
          <w:rFonts w:hint="eastAsia" w:ascii="仿宋" w:hAnsi="仿宋" w:eastAsia="仿宋" w:cs="仿宋"/>
          <w:sz w:val="30"/>
          <w:szCs w:val="30"/>
        </w:rPr>
        <w:t>，欢迎符合要求的供应商积极参与。</w:t>
      </w:r>
    </w:p>
    <w:p w14:paraId="383256B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6A7A1A7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SX-ZH-TR-2605003  </w:t>
      </w:r>
    </w:p>
    <w:p w14:paraId="571EEE0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2.内容：</w:t>
      </w:r>
      <w:r>
        <w:rPr>
          <w:rFonts w:hint="eastAsia" w:ascii="仿宋" w:hAnsi="仿宋" w:eastAsia="仿宋" w:cs="仿宋"/>
          <w:sz w:val="30"/>
          <w:szCs w:val="30"/>
          <w:lang w:val="en-US" w:eastAsia="zh-CN"/>
        </w:rPr>
        <w:t>根据《绍兴市生态环境局关于印发《2026年绍兴市环境监管重点单位名录》的通知》内容，我司被纳入环境监管重点单位名单。重点监管单位应根据《重点监管单位土壤隐患排查指南(试行)》和《工业企业土壤和地下水自行监测技术指南(试行)》的要求，开展土壤地下水隐患排查和自行监测工作，并按照指南要求编制土壤隐患排查报告，有毒有害物质排放报告和自行监测报告（自行监测方案需进行专家评审）；</w:t>
      </w:r>
    </w:p>
    <w:tbl>
      <w:tblPr>
        <w:tblStyle w:val="13"/>
        <w:tblW w:w="4350" w:type="pct"/>
        <w:jc w:val="center"/>
        <w:tblLayout w:type="fixed"/>
        <w:tblCellMar>
          <w:top w:w="0" w:type="dxa"/>
          <w:left w:w="108" w:type="dxa"/>
          <w:bottom w:w="0" w:type="dxa"/>
          <w:right w:w="108" w:type="dxa"/>
        </w:tblCellMar>
      </w:tblPr>
      <w:tblGrid>
        <w:gridCol w:w="556"/>
        <w:gridCol w:w="2060"/>
        <w:gridCol w:w="3594"/>
        <w:gridCol w:w="962"/>
        <w:gridCol w:w="909"/>
      </w:tblGrid>
      <w:tr w14:paraId="1B38A8F7">
        <w:tblPrEx>
          <w:tblCellMar>
            <w:top w:w="0" w:type="dxa"/>
            <w:left w:w="108" w:type="dxa"/>
            <w:bottom w:w="0" w:type="dxa"/>
            <w:right w:w="108" w:type="dxa"/>
          </w:tblCellMar>
        </w:tblPrEx>
        <w:trPr>
          <w:trHeight w:val="581" w:hRule="atLeast"/>
          <w:jc w:val="center"/>
        </w:trPr>
        <w:tc>
          <w:tcPr>
            <w:tcW w:w="556" w:type="dxa"/>
            <w:tcBorders>
              <w:top w:val="single" w:color="000000" w:sz="4" w:space="0"/>
              <w:left w:val="single" w:color="000000" w:sz="4" w:space="0"/>
              <w:bottom w:val="single" w:color="000000" w:sz="4" w:space="0"/>
              <w:right w:val="single" w:color="000000" w:sz="4" w:space="0"/>
            </w:tcBorders>
            <w:noWrap/>
            <w:vAlign w:val="center"/>
          </w:tcPr>
          <w:p w14:paraId="31F488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060" w:type="dxa"/>
            <w:tcBorders>
              <w:top w:val="single" w:color="000000" w:sz="4" w:space="0"/>
              <w:left w:val="single" w:color="000000" w:sz="4" w:space="0"/>
              <w:bottom w:val="single" w:color="000000" w:sz="4" w:space="0"/>
              <w:right w:val="single" w:color="000000" w:sz="4" w:space="0"/>
            </w:tcBorders>
            <w:noWrap/>
            <w:vAlign w:val="center"/>
          </w:tcPr>
          <w:p w14:paraId="5471B3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内容</w:t>
            </w:r>
          </w:p>
        </w:tc>
        <w:tc>
          <w:tcPr>
            <w:tcW w:w="3594" w:type="dxa"/>
            <w:tcBorders>
              <w:top w:val="single" w:color="000000" w:sz="4" w:space="0"/>
              <w:left w:val="single" w:color="000000" w:sz="4" w:space="0"/>
              <w:bottom w:val="single" w:color="000000" w:sz="4" w:space="0"/>
              <w:right w:val="single" w:color="000000" w:sz="4" w:space="0"/>
            </w:tcBorders>
            <w:noWrap/>
            <w:vAlign w:val="center"/>
          </w:tcPr>
          <w:p w14:paraId="5C9502F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技术要求</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60C822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909" w:type="dxa"/>
            <w:tcBorders>
              <w:top w:val="single" w:color="000000" w:sz="4" w:space="0"/>
              <w:left w:val="single" w:color="000000" w:sz="4" w:space="0"/>
              <w:bottom w:val="single" w:color="000000" w:sz="4" w:space="0"/>
              <w:right w:val="single" w:color="000000" w:sz="4" w:space="0"/>
            </w:tcBorders>
            <w:noWrap/>
            <w:vAlign w:val="center"/>
          </w:tcPr>
          <w:p w14:paraId="00B913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r>
      <w:tr w14:paraId="38899B73">
        <w:tblPrEx>
          <w:tblCellMar>
            <w:top w:w="0" w:type="dxa"/>
            <w:left w:w="108" w:type="dxa"/>
            <w:bottom w:w="0" w:type="dxa"/>
            <w:right w:w="108" w:type="dxa"/>
          </w:tblCellMar>
        </w:tblPrEx>
        <w:trPr>
          <w:trHeight w:val="532" w:hRule="atLeast"/>
          <w:jc w:val="center"/>
        </w:trPr>
        <w:tc>
          <w:tcPr>
            <w:tcW w:w="556" w:type="dxa"/>
            <w:tcBorders>
              <w:top w:val="single" w:color="000000" w:sz="4" w:space="0"/>
              <w:left w:val="single" w:color="000000" w:sz="4" w:space="0"/>
              <w:bottom w:val="single" w:color="000000" w:sz="4" w:space="0"/>
              <w:right w:val="single" w:color="000000" w:sz="4" w:space="0"/>
            </w:tcBorders>
            <w:noWrap/>
            <w:vAlign w:val="center"/>
          </w:tcPr>
          <w:p w14:paraId="55CC61A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14:paraId="2CEF0A28">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default" w:ascii="仿宋" w:hAnsi="仿宋" w:eastAsia="仿宋" w:cs="仿宋"/>
                <w:i w:val="0"/>
                <w:iCs w:val="0"/>
                <w:color w:val="000000"/>
                <w:sz w:val="24"/>
                <w:szCs w:val="24"/>
                <w:highlight w:val="none"/>
                <w:u w:val="none"/>
                <w:lang w:val="en-US" w:eastAsia="zh-CN"/>
              </w:rPr>
              <w:t>年度土壤地下水自行监测服务</w:t>
            </w:r>
          </w:p>
        </w:tc>
        <w:tc>
          <w:tcPr>
            <w:tcW w:w="3594" w:type="dxa"/>
            <w:tcBorders>
              <w:top w:val="single" w:color="000000" w:sz="4" w:space="0"/>
              <w:left w:val="single" w:color="000000" w:sz="4" w:space="0"/>
              <w:bottom w:val="single" w:color="000000" w:sz="4" w:space="0"/>
              <w:right w:val="single" w:color="000000" w:sz="4" w:space="0"/>
            </w:tcBorders>
            <w:noWrap w:val="0"/>
            <w:vAlign w:val="center"/>
          </w:tcPr>
          <w:p w14:paraId="22D9B90B">
            <w:pPr>
              <w:keepNext w:val="0"/>
              <w:keepLines w:val="0"/>
              <w:widowControl/>
              <w:suppressLineNumbers w:val="0"/>
              <w:jc w:val="center"/>
              <w:textAlignment w:val="center"/>
              <w:rPr>
                <w:rFonts w:hint="eastAsia" w:ascii="宋体" w:hAnsi="宋体" w:eastAsia="仿宋_GB2312" w:cs="宋体"/>
                <w:kern w:val="0"/>
                <w:sz w:val="24"/>
                <w:lang w:val="en-US" w:eastAsia="zh-CN"/>
              </w:rPr>
            </w:pPr>
            <w:r>
              <w:rPr>
                <w:rFonts w:hint="eastAsia" w:ascii="宋体" w:hAnsi="宋体" w:eastAsia="仿宋_GB2312" w:cs="宋体"/>
                <w:kern w:val="0"/>
                <w:sz w:val="24"/>
                <w:lang w:val="en-US" w:eastAsia="zh-CN"/>
              </w:rPr>
              <w:t>结合《工业企业土壤和地下水自行监测技术指南(试</w:t>
            </w:r>
          </w:p>
          <w:p w14:paraId="53BFD692">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仿宋_GB2312" w:cs="宋体"/>
                <w:kern w:val="0"/>
                <w:sz w:val="24"/>
                <w:lang w:val="en-US" w:eastAsia="zh-CN"/>
              </w:rPr>
              <w:t>行)》和现场实际情况，编制自行监测方案，经专家评审后开展监测，地下水一年两次，土壤一年一次；最终编制自行监测报告</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0A3B726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6C58FC41">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r>
      <w:tr w14:paraId="7C95E486">
        <w:tblPrEx>
          <w:tblCellMar>
            <w:top w:w="0" w:type="dxa"/>
            <w:left w:w="108" w:type="dxa"/>
            <w:bottom w:w="0" w:type="dxa"/>
            <w:right w:w="108" w:type="dxa"/>
          </w:tblCellMar>
        </w:tblPrEx>
        <w:trPr>
          <w:trHeight w:val="1681" w:hRule="atLeast"/>
          <w:jc w:val="center"/>
        </w:trPr>
        <w:tc>
          <w:tcPr>
            <w:tcW w:w="556" w:type="dxa"/>
            <w:tcBorders>
              <w:top w:val="single" w:color="000000" w:sz="4" w:space="0"/>
              <w:left w:val="single" w:color="000000" w:sz="4" w:space="0"/>
              <w:bottom w:val="single" w:color="000000" w:sz="4" w:space="0"/>
              <w:right w:val="single" w:color="000000" w:sz="4" w:space="0"/>
            </w:tcBorders>
            <w:noWrap/>
            <w:vAlign w:val="center"/>
          </w:tcPr>
          <w:p w14:paraId="0D5678F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14:paraId="3F77C9E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default" w:ascii="仿宋" w:hAnsi="仿宋" w:eastAsia="仿宋" w:cs="仿宋"/>
                <w:i w:val="0"/>
                <w:iCs w:val="0"/>
                <w:color w:val="000000"/>
                <w:sz w:val="24"/>
                <w:szCs w:val="24"/>
                <w:highlight w:val="none"/>
                <w:u w:val="none"/>
                <w:lang w:val="en-US" w:eastAsia="zh-CN"/>
              </w:rPr>
              <w:t>土壤及地下水隐患排查服务</w:t>
            </w:r>
          </w:p>
        </w:tc>
        <w:tc>
          <w:tcPr>
            <w:tcW w:w="3594" w:type="dxa"/>
            <w:tcBorders>
              <w:top w:val="single" w:color="000000" w:sz="4" w:space="0"/>
              <w:left w:val="single" w:color="000000" w:sz="4" w:space="0"/>
              <w:bottom w:val="single" w:color="000000" w:sz="4" w:space="0"/>
              <w:right w:val="single" w:color="000000" w:sz="4" w:space="0"/>
            </w:tcBorders>
            <w:noWrap w:val="0"/>
            <w:vAlign w:val="center"/>
          </w:tcPr>
          <w:p w14:paraId="4C45155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仿宋_GB2312" w:cs="宋体"/>
                <w:kern w:val="0"/>
                <w:sz w:val="24"/>
                <w:lang w:val="en-US" w:eastAsia="zh-CN"/>
              </w:rPr>
              <w:t>结合《重点监管单位土壤隐患排查指南(试行)》开展隐患排查，并完成隐患排查报告，有毒有害物质排放报告；</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7FB5959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2B1DC388">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r>
    </w:tbl>
    <w:p w14:paraId="1EAD6DF0">
      <w:pPr>
        <w:rPr>
          <w:rFonts w:hint="eastAsia"/>
          <w:highlight w:val="none"/>
        </w:rPr>
      </w:pPr>
    </w:p>
    <w:p w14:paraId="4062610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3.工作量：</w:t>
      </w:r>
    </w:p>
    <w:p w14:paraId="2D40CB9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完成土壤隐患排查报告，有毒有害物质排放报告；</w:t>
      </w:r>
    </w:p>
    <w:p w14:paraId="0EA6B7FE">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编制自行监测方案，经专家评审后开展监测，地下水一年两次，土壤一年一次；最终编制自行监测报告（首次地下水监测报告需在2026年6月15日前完成）。</w:t>
      </w:r>
    </w:p>
    <w:p w14:paraId="3DBB0E24">
      <w:pPr>
        <w:pStyle w:val="2"/>
        <w:snapToGrid/>
        <w:spacing w:line="360" w:lineRule="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4.其他要求：所有项目报告完成后，于次年在浙里净土系统上完成相关内容数据的填报工作。</w:t>
      </w:r>
    </w:p>
    <w:p w14:paraId="2DF3CD1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w:t>
      </w:r>
      <w:r>
        <w:rPr>
          <w:rFonts w:hint="eastAsia" w:ascii="仿宋" w:hAnsi="仿宋" w:eastAsia="仿宋" w:cs="仿宋"/>
          <w:sz w:val="30"/>
          <w:szCs w:val="30"/>
        </w:rPr>
        <w:t>本项目总金额限价为</w:t>
      </w:r>
      <w:r>
        <w:rPr>
          <w:rFonts w:hint="eastAsia" w:ascii="仿宋" w:hAnsi="仿宋" w:eastAsia="仿宋" w:cs="仿宋"/>
          <w:sz w:val="30"/>
          <w:szCs w:val="30"/>
          <w:lang w:eastAsia="zh-CN"/>
        </w:rPr>
        <w:t>人民币6.3</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1437BFE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二、供应商要求。</w:t>
      </w:r>
    </w:p>
    <w:p w14:paraId="3FB6369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1.报价人必须是在中华人民共和国境内注册，具有独立法人资格和独立承担民事责任的能力；投标人经营范围须包含相关资质。</w:t>
      </w:r>
    </w:p>
    <w:p w14:paraId="00BDC82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74C0370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2BF3258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4.本项目不接受联合体报价，不接受分包。</w:t>
      </w:r>
    </w:p>
    <w:p w14:paraId="44130CD2">
      <w:pPr>
        <w:pStyle w:val="2"/>
        <w:snapToGrid/>
        <w:spacing w:line="360" w:lineRule="auto"/>
        <w:rPr>
          <w:rFonts w:hint="eastAsia" w:ascii="仿宋" w:hAnsi="仿宋" w:eastAsia="仿宋" w:cs="仿宋"/>
          <w:sz w:val="30"/>
          <w:szCs w:val="30"/>
          <w:highlight w:val="none"/>
          <w:lang w:val="en-US" w:eastAsia="zh-CN"/>
        </w:rPr>
      </w:pPr>
      <w:bookmarkStart w:id="7" w:name="_Toc530583923"/>
      <w:bookmarkStart w:id="8" w:name="_Toc530583880"/>
      <w:r>
        <w:rPr>
          <w:rFonts w:hint="eastAsia" w:ascii="仿宋" w:hAnsi="仿宋" w:eastAsia="仿宋" w:cs="仿宋"/>
          <w:sz w:val="30"/>
          <w:szCs w:val="30"/>
          <w:highlight w:val="none"/>
          <w:lang w:val="en-US" w:eastAsia="zh-CN"/>
        </w:rPr>
        <w:t>6.</w:t>
      </w:r>
      <w:r>
        <w:rPr>
          <w:rFonts w:hint="eastAsia" w:ascii="仿宋" w:hAnsi="仿宋" w:eastAsia="仿宋" w:cs="仿宋"/>
          <w:sz w:val="30"/>
          <w:szCs w:val="30"/>
        </w:rPr>
        <w:t>供应商</w:t>
      </w:r>
      <w:r>
        <w:rPr>
          <w:rFonts w:hint="eastAsia" w:ascii="仿宋" w:hAnsi="仿宋" w:eastAsia="仿宋" w:cs="仿宋"/>
          <w:sz w:val="30"/>
          <w:szCs w:val="30"/>
          <w:highlight w:val="none"/>
          <w:lang w:val="en-US" w:eastAsia="zh-CN"/>
        </w:rPr>
        <w:t>需具备省级及以上市场监督管理局核发的检验检测机构资质认定证书（CMA资质证书）。</w:t>
      </w:r>
    </w:p>
    <w:p w14:paraId="12109C8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7.</w:t>
      </w:r>
      <w:r>
        <w:rPr>
          <w:rFonts w:hint="eastAsia" w:ascii="仿宋" w:hAnsi="仿宋" w:eastAsia="仿宋" w:cs="仿宋"/>
          <w:sz w:val="30"/>
          <w:szCs w:val="30"/>
        </w:rPr>
        <w:t>供应商</w:t>
      </w:r>
      <w:r>
        <w:rPr>
          <w:rFonts w:hint="eastAsia" w:ascii="仿宋" w:hAnsi="仿宋" w:eastAsia="仿宋" w:cs="仿宋"/>
          <w:sz w:val="30"/>
          <w:szCs w:val="30"/>
          <w:highlight w:val="none"/>
          <w:lang w:val="en-US" w:eastAsia="zh-CN"/>
        </w:rPr>
        <w:t>需有效期内的经中国合格评定国家认可委员会（CNAS）认可的实验室认可证书。</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6月5</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3A7894C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r>
        <w:rPr>
          <w:rFonts w:hint="eastAsia" w:ascii="仿宋_GB2312" w:eastAsia="仿宋_GB2312"/>
          <w:color w:val="FF0000"/>
          <w:sz w:val="30"/>
          <w:szCs w:val="30"/>
          <w:lang w:val="en-US" w:eastAsia="zh-CN"/>
        </w:rPr>
        <w:t>本招标文件内有资质要求，供应商需另行分装报价资格一览表，封装方式需与报价文件相同，且需在快递包装上醒目注明报价资格表、项目名称、询价编号，报价人联系人、联系人电话。</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6</w:t>
      </w:r>
      <w:r>
        <w:rPr>
          <w:rFonts w:hint="eastAsia" w:ascii="仿宋_GB2312" w:eastAsia="仿宋_GB2312"/>
          <w:sz w:val="30"/>
          <w:szCs w:val="30"/>
        </w:rPr>
        <w:t>月</w:t>
      </w:r>
      <w:r>
        <w:rPr>
          <w:rFonts w:hint="eastAsia" w:ascii="仿宋_GB2312" w:eastAsia="仿宋_GB2312"/>
          <w:sz w:val="30"/>
          <w:szCs w:val="30"/>
          <w:lang w:val="en-US" w:eastAsia="zh-CN"/>
        </w:rPr>
        <w:t>4</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color w:val="auto"/>
          <w:sz w:val="30"/>
          <w:szCs w:val="30"/>
          <w:lang w:val="en-US" w:eastAsia="zh-CN"/>
        </w:rPr>
        <w:t>0575-85791902</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4297356C">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5月29</w:t>
      </w:r>
      <w:r>
        <w:rPr>
          <w:rFonts w:hint="eastAsia" w:ascii="仿宋_GB2312" w:eastAsia="仿宋_GB2312"/>
          <w:sz w:val="30"/>
          <w:szCs w:val="30"/>
        </w:rPr>
        <w:t>日</w:t>
      </w:r>
    </w:p>
    <w:p w14:paraId="0C5AC8FA">
      <w:pPr>
        <w:pageBreakBefore w:val="0"/>
        <w:kinsoku/>
        <w:wordWrap/>
        <w:topLinePunct w:val="0"/>
        <w:bidi w:val="0"/>
        <w:snapToGrid w:val="0"/>
        <w:spacing w:line="360" w:lineRule="auto"/>
        <w:ind w:firstLine="585"/>
        <w:jc w:val="center"/>
        <w:outlineLvl w:val="0"/>
        <w:rPr>
          <w:rFonts w:ascii="仿宋_GB2312" w:eastAsia="仿宋_GB2312"/>
          <w:snapToGrid w:val="0"/>
          <w:sz w:val="30"/>
          <w:szCs w:val="30"/>
        </w:rPr>
      </w:pPr>
      <w:bookmarkStart w:id="22" w:name="_GoBack"/>
      <w:bookmarkEnd w:id="22"/>
      <w:r>
        <w:rPr>
          <w:rFonts w:hint="eastAsia" w:ascii="仿宋_GB2312" w:eastAsia="仿宋_GB2312"/>
          <w:sz w:val="30"/>
          <w:szCs w:val="30"/>
        </w:rPr>
        <w:br w:type="page"/>
      </w:r>
      <w:bookmarkStart w:id="9" w:name="_Toc530583922"/>
      <w:bookmarkStart w:id="10" w:name="_Toc530583879"/>
      <w:bookmarkStart w:id="11" w:name="_Toc24596"/>
      <w:r>
        <w:rPr>
          <w:rFonts w:hint="eastAsia" w:ascii="仿宋" w:hAnsi="仿宋" w:eastAsia="仿宋" w:cs="仿宋"/>
          <w:b/>
          <w:snapToGrid w:val="0"/>
          <w:color w:val="000000"/>
          <w:kern w:val="44"/>
          <w:sz w:val="44"/>
          <w:szCs w:val="44"/>
          <w:lang w:val="en-US" w:eastAsia="zh-CN" w:bidi="ar-SA"/>
        </w:rPr>
        <w:t>第二部分   采购须知</w:t>
      </w:r>
      <w:bookmarkEnd w:id="9"/>
      <w:bookmarkEnd w:id="10"/>
      <w:bookmarkEnd w:id="11"/>
    </w:p>
    <w:p w14:paraId="139FFD1C">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319002C2">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0CDBFE6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7EF43873">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5D80BEA0">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74D653E4">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715DC594">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32C7434A">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5BE622D7">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67A6A4A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2565750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D9FBF58">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3948F8FC">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12EB40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6F182F15">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1</w:t>
      </w:r>
      <w:r>
        <w:rPr>
          <w:rFonts w:hint="eastAsia" w:ascii="仿宋_GB2312" w:hAnsi="宋体" w:eastAsia="仿宋_GB2312"/>
          <w:sz w:val="30"/>
          <w:szCs w:val="30"/>
          <w:lang w:val="en-US" w:eastAsia="zh-CN"/>
        </w:rPr>
        <w:t>.</w:t>
      </w:r>
      <w:r>
        <w:rPr>
          <w:rFonts w:hint="eastAsia" w:ascii="仿宋_GB2312" w:hAnsi="宋体" w:eastAsia="仿宋_GB2312"/>
          <w:b/>
          <w:bCs/>
          <w:color w:val="FF0000"/>
          <w:sz w:val="30"/>
          <w:szCs w:val="30"/>
          <w:lang w:val="en-US" w:eastAsia="zh-CN"/>
        </w:rPr>
        <w:t>报价资格一览表</w:t>
      </w:r>
      <w:r>
        <w:rPr>
          <w:rFonts w:hint="eastAsia" w:ascii="仿宋_GB2312" w:hAnsi="宋体" w:eastAsia="仿宋_GB2312"/>
          <w:b/>
          <w:bCs/>
          <w:color w:val="FF0000"/>
          <w:sz w:val="30"/>
          <w:szCs w:val="30"/>
        </w:rPr>
        <w:t>（附件一）；</w:t>
      </w:r>
    </w:p>
    <w:p w14:paraId="05C2F5B4">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default" w:ascii="仿宋_GB2312" w:hAnsi="宋体" w:eastAsia="仿宋_GB2312"/>
          <w:sz w:val="30"/>
          <w:szCs w:val="30"/>
          <w:lang w:eastAsia="zh-CN"/>
        </w:rPr>
        <w:t>2</w:t>
      </w:r>
      <w:r>
        <w:rPr>
          <w:rFonts w:hint="eastAsia" w:ascii="仿宋_GB2312" w:hAnsi="宋体" w:eastAsia="仿宋_GB2312"/>
          <w:sz w:val="30"/>
          <w:szCs w:val="30"/>
          <w:lang w:val="en-US" w:eastAsia="zh-CN"/>
        </w:rPr>
        <w:t>.</w:t>
      </w:r>
      <w:r>
        <w:rPr>
          <w:rFonts w:hint="eastAsia" w:ascii="仿宋_GB2312" w:hAnsi="宋体" w:eastAsia="仿宋_GB2312"/>
          <w:sz w:val="30"/>
          <w:szCs w:val="30"/>
        </w:rPr>
        <w:t>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w:t>
      </w:r>
      <w:r>
        <w:rPr>
          <w:rFonts w:hint="eastAsia" w:ascii="仿宋_GB2312" w:hAnsi="宋体" w:eastAsia="仿宋_GB2312"/>
          <w:sz w:val="30"/>
          <w:szCs w:val="30"/>
          <w:lang w:eastAsia="zh-CN"/>
        </w:rPr>
        <w:t>；</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3</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default" w:ascii="仿宋_GB2312" w:hAnsi="宋体" w:eastAsia="仿宋_GB2312"/>
          <w:sz w:val="30"/>
          <w:szCs w:val="30"/>
          <w:lang w:eastAsia="zh-CN"/>
        </w:rPr>
        <w:t>4</w:t>
      </w:r>
      <w:r>
        <w:rPr>
          <w:rFonts w:hint="eastAsia" w:ascii="仿宋_GB2312" w:hAnsi="宋体" w:eastAsia="仿宋_GB2312"/>
          <w:sz w:val="30"/>
          <w:szCs w:val="30"/>
        </w:rPr>
        <w:t>.</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w:t>
      </w:r>
      <w:r>
        <w:rPr>
          <w:rFonts w:hint="eastAsia" w:ascii="仿宋_GB2312" w:hAnsi="宋体" w:eastAsia="仿宋_GB2312"/>
          <w:sz w:val="30"/>
          <w:szCs w:val="30"/>
          <w:lang w:val="en-US" w:eastAsia="zh-CN"/>
        </w:rPr>
        <w:t>四</w:t>
      </w:r>
      <w:r>
        <w:rPr>
          <w:rFonts w:hint="eastAsia" w:ascii="仿宋_GB2312" w:hAnsi="宋体" w:eastAsia="仿宋_GB2312"/>
          <w:sz w:val="30"/>
          <w:szCs w:val="30"/>
        </w:rPr>
        <w:t>）；</w:t>
      </w:r>
    </w:p>
    <w:p w14:paraId="4AD46B04">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default" w:ascii="仿宋_GB2312" w:hAnsi="宋体" w:eastAsia="仿宋_GB2312"/>
          <w:sz w:val="30"/>
          <w:szCs w:val="30"/>
          <w:lang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r>
        <w:rPr>
          <w:rFonts w:hint="eastAsia" w:ascii="仿宋_GB2312" w:hAnsi="宋体" w:eastAsia="仿宋_GB2312"/>
          <w:b/>
          <w:bCs/>
          <w:color w:val="FF0000"/>
          <w:sz w:val="30"/>
          <w:szCs w:val="30"/>
          <w:lang w:val="en-US" w:eastAsia="zh-CN"/>
        </w:rPr>
        <w:t>报价资格文件装订密封方式与报价文件一致</w:t>
      </w:r>
      <w:r>
        <w:rPr>
          <w:rFonts w:hint="default" w:ascii="仿宋_GB2312" w:hAnsi="宋体" w:eastAsia="仿宋_GB2312"/>
          <w:b/>
          <w:bCs/>
          <w:color w:val="FF0000"/>
          <w:sz w:val="30"/>
          <w:szCs w:val="30"/>
          <w:lang w:eastAsia="zh-CN"/>
        </w:rPr>
        <w:t>。</w:t>
      </w:r>
    </w:p>
    <w:p w14:paraId="5E6C7F68">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554A1C4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9CD4B9F">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33122ABA">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1B2E3F7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47043CE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625A1FF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5A7BEB9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6123A85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4C731654">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0FE9A41E">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71DDD2C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2E0B90DB">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46B05D9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11A4A250">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70C8B54B">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5C1C01D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5A290253">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39B2D471">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B15F8AE">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98C5C1C">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06430990">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0D7FF31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3313344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9100C71">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3622BEC">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78FC0D2E">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366C9130">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2379838A">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7BB50CC3">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2E154B8E">
      <w:pPr>
        <w:pageBreakBefore w:val="0"/>
        <w:kinsoku/>
        <w:wordWrap/>
        <w:topLinePunct w:val="0"/>
        <w:bidi w:val="0"/>
        <w:snapToGrid w:val="0"/>
        <w:spacing w:line="360" w:lineRule="auto"/>
        <w:ind w:left="974" w:leftChars="64" w:hanging="840" w:hangingChars="280"/>
        <w:jc w:val="left"/>
        <w:rPr>
          <w:rFonts w:ascii="仿宋_GB2312" w:eastAsia="仿宋_GB2312"/>
          <w:color w:val="auto"/>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43F8FA11">
      <w:pPr>
        <w:pStyle w:val="20"/>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D3BE94D">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13281489">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60B7FBAB">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3C874DA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0ECF309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6A507DF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6BD434A3">
      <w:pPr>
        <w:pStyle w:val="4"/>
        <w:numPr>
          <w:ilvl w:val="0"/>
          <w:numId w:val="0"/>
        </w:numPr>
        <w:jc w:val="center"/>
        <w:outlineLvl w:val="9"/>
        <w:rPr>
          <w:rFonts w:hint="eastAsia" w:ascii="仿宋" w:hAnsi="仿宋" w:eastAsia="仿宋" w:cs="仿宋"/>
          <w:snapToGrid w:val="0"/>
          <w:sz w:val="44"/>
          <w:szCs w:val="44"/>
        </w:rPr>
      </w:pPr>
    </w:p>
    <w:p w14:paraId="5108F7AF">
      <w:pPr>
        <w:rPr>
          <w:rFonts w:hint="eastAsia" w:ascii="仿宋" w:hAnsi="仿宋" w:eastAsia="仿宋" w:cs="仿宋"/>
          <w:snapToGrid w:val="0"/>
          <w:sz w:val="44"/>
          <w:szCs w:val="44"/>
        </w:rPr>
      </w:pPr>
    </w:p>
    <w:p w14:paraId="1ACF9921">
      <w:pPr>
        <w:pStyle w:val="6"/>
        <w:rPr>
          <w:rFonts w:hint="eastAsia" w:ascii="仿宋" w:hAnsi="仿宋" w:eastAsia="仿宋" w:cs="仿宋"/>
          <w:snapToGrid w:val="0"/>
          <w:sz w:val="44"/>
          <w:szCs w:val="44"/>
        </w:rPr>
      </w:pPr>
    </w:p>
    <w:p w14:paraId="5677F180">
      <w:pPr>
        <w:pStyle w:val="4"/>
        <w:numPr>
          <w:ilvl w:val="0"/>
          <w:numId w:val="0"/>
        </w:numPr>
        <w:jc w:val="both"/>
        <w:rPr>
          <w:rFonts w:hint="eastAsia" w:ascii="仿宋" w:hAnsi="仿宋" w:eastAsia="仿宋" w:cs="仿宋"/>
          <w:snapToGrid w:val="0"/>
          <w:sz w:val="44"/>
          <w:szCs w:val="44"/>
        </w:rPr>
      </w:pPr>
    </w:p>
    <w:p w14:paraId="4BFC861E">
      <w:pPr>
        <w:rPr>
          <w:rFonts w:hint="eastAsia" w:ascii="仿宋" w:hAnsi="仿宋" w:eastAsia="仿宋" w:cs="仿宋"/>
          <w:snapToGrid w:val="0"/>
          <w:sz w:val="44"/>
          <w:szCs w:val="44"/>
        </w:rPr>
      </w:pPr>
    </w:p>
    <w:p w14:paraId="694DD683">
      <w:pPr>
        <w:pStyle w:val="2"/>
        <w:rPr>
          <w:rFonts w:hint="eastAsia"/>
        </w:rPr>
      </w:pPr>
    </w:p>
    <w:p w14:paraId="0A40157F">
      <w:pPr>
        <w:pStyle w:val="2"/>
        <w:rPr>
          <w:rFonts w:hint="eastAsia"/>
        </w:rPr>
      </w:pPr>
    </w:p>
    <w:p w14:paraId="0020011C">
      <w:pPr>
        <w:pStyle w:val="2"/>
        <w:rPr>
          <w:rFonts w:hint="eastAsia"/>
        </w:rPr>
      </w:pPr>
    </w:p>
    <w:p w14:paraId="55792CFC">
      <w:pPr>
        <w:pStyle w:val="2"/>
        <w:rPr>
          <w:rFonts w:hint="eastAsia"/>
        </w:rPr>
      </w:pPr>
    </w:p>
    <w:p w14:paraId="7777F8FC">
      <w:pPr>
        <w:pStyle w:val="4"/>
        <w:numPr>
          <w:ilvl w:val="0"/>
          <w:numId w:val="0"/>
        </w:numPr>
        <w:jc w:val="center"/>
        <w:rPr>
          <w:rFonts w:hint="eastAsia" w:ascii="仿宋" w:hAnsi="仿宋" w:eastAsia="仿宋" w:cs="仿宋"/>
          <w:b w:val="0"/>
          <w:bCs/>
          <w:snapToGrid w:val="0"/>
          <w:sz w:val="44"/>
        </w:rPr>
      </w:pPr>
      <w:bookmarkStart w:id="12" w:name="_Toc17925"/>
      <w:r>
        <w:rPr>
          <w:rFonts w:hint="eastAsia" w:ascii="仿宋" w:hAnsi="仿宋" w:eastAsia="仿宋" w:cs="仿宋"/>
          <w:snapToGrid w:val="0"/>
          <w:sz w:val="44"/>
          <w:szCs w:val="44"/>
        </w:rPr>
        <w:t>第三部分   询价内容</w:t>
      </w:r>
      <w:bookmarkEnd w:id="7"/>
      <w:bookmarkEnd w:id="8"/>
      <w:bookmarkEnd w:id="12"/>
    </w:p>
    <w:p w14:paraId="19320ECE">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5B18D0B5">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highlight w:val="none"/>
          <w:lang w:val="en-US" w:eastAsia="zh-CN"/>
        </w:rPr>
        <w:t>详见报价清单</w:t>
      </w:r>
    </w:p>
    <w:p w14:paraId="70E1D45F">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二、服务</w:t>
      </w:r>
      <w:r>
        <w:rPr>
          <w:rFonts w:hint="eastAsia" w:ascii="仿宋" w:hAnsi="仿宋" w:eastAsia="仿宋" w:cs="仿宋"/>
          <w:color w:val="auto"/>
          <w:kern w:val="2"/>
          <w:sz w:val="30"/>
          <w:szCs w:val="30"/>
          <w:highlight w:val="none"/>
        </w:rPr>
        <w:t>方式</w:t>
      </w:r>
    </w:p>
    <w:p w14:paraId="17A0CA9B">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服务方接到采购人通知后，按期完成文件报告编制</w:t>
      </w:r>
      <w:r>
        <w:rPr>
          <w:rFonts w:hint="eastAsia" w:ascii="仿宋" w:hAnsi="仿宋" w:eastAsia="仿宋" w:cs="仿宋"/>
          <w:color w:val="auto"/>
          <w:kern w:val="2"/>
          <w:sz w:val="30"/>
          <w:szCs w:val="30"/>
          <w:highlight w:val="none"/>
        </w:rPr>
        <w:t>。</w:t>
      </w:r>
    </w:p>
    <w:p w14:paraId="1B05ACEF">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三、付款方式</w:t>
      </w:r>
    </w:p>
    <w:p w14:paraId="33200522">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每次阶段性服务完成并经采购人确认后，服务方提供经双方确认的检测报告及等额、合法、有效的增值税专用发票，采购人自收到准确报告和发票且核对无误后，于次二月完成对应阶段款项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在合同签订前提供履约保证金（合同价的5%），履约保证金于合同期满且无未决违约行为及质量争议后无息退还</w:t>
      </w:r>
      <w:r>
        <w:rPr>
          <w:rFonts w:hint="eastAsia" w:ascii="仿宋" w:hAnsi="仿宋" w:eastAsia="仿宋" w:cs="仿宋"/>
          <w:color w:val="auto"/>
          <w:kern w:val="2"/>
          <w:sz w:val="30"/>
          <w:szCs w:val="30"/>
          <w:highlight w:val="none"/>
        </w:rPr>
        <w:t>。</w:t>
      </w:r>
    </w:p>
    <w:p w14:paraId="7987A4B7">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0FC08D62">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4F121412">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54F100F9">
      <w:pPr>
        <w:pStyle w:val="4"/>
        <w:numPr>
          <w:ilvl w:val="0"/>
          <w:numId w:val="0"/>
        </w:numPr>
        <w:jc w:val="center"/>
        <w:outlineLvl w:val="9"/>
        <w:rPr>
          <w:rFonts w:hint="eastAsia" w:ascii="仿宋" w:hAnsi="仿宋" w:eastAsia="仿宋" w:cs="仿宋"/>
          <w:snapToGrid w:val="0"/>
          <w:sz w:val="30"/>
          <w:szCs w:val="30"/>
        </w:rPr>
      </w:pPr>
      <w:bookmarkStart w:id="13" w:name="_Toc530583924"/>
      <w:r>
        <w:rPr>
          <w:rFonts w:hint="eastAsia" w:ascii="仿宋" w:hAnsi="仿宋" w:eastAsia="仿宋" w:cs="仿宋"/>
          <w:snapToGrid w:val="0"/>
          <w:sz w:val="30"/>
          <w:szCs w:val="30"/>
        </w:rPr>
        <w:br w:type="page"/>
      </w:r>
    </w:p>
    <w:p w14:paraId="1C6CD68D">
      <w:pPr>
        <w:pStyle w:val="4"/>
        <w:numPr>
          <w:ilvl w:val="0"/>
          <w:numId w:val="3"/>
        </w:numPr>
        <w:ind w:left="840" w:leftChars="0" w:firstLineChars="0"/>
        <w:jc w:val="center"/>
        <w:rPr>
          <w:rFonts w:hint="eastAsia" w:ascii="仿宋" w:hAnsi="仿宋" w:eastAsia="仿宋" w:cs="仿宋"/>
          <w:snapToGrid w:val="0"/>
          <w:sz w:val="44"/>
          <w:szCs w:val="44"/>
          <w:highlight w:val="none"/>
          <w:lang w:val="en-US" w:eastAsia="zh-CN"/>
        </w:rPr>
      </w:pPr>
      <w:r>
        <w:rPr>
          <w:rFonts w:hint="eastAsia" w:ascii="仿宋" w:hAnsi="仿宋" w:eastAsia="仿宋" w:cs="仿宋"/>
          <w:snapToGrid w:val="0"/>
          <w:sz w:val="44"/>
          <w:szCs w:val="44"/>
          <w:lang w:val="en-US" w:eastAsia="zh-CN"/>
        </w:rPr>
        <w:t xml:space="preserve">   </w:t>
      </w:r>
      <w:bookmarkStart w:id="14" w:name="_Toc22663"/>
      <w:r>
        <w:rPr>
          <w:rFonts w:hint="eastAsia" w:ascii="仿宋" w:hAnsi="仿宋" w:eastAsia="仿宋" w:cs="仿宋"/>
          <w:snapToGrid w:val="0"/>
          <w:sz w:val="44"/>
          <w:szCs w:val="44"/>
          <w:lang w:val="en-US" w:eastAsia="zh-CN"/>
        </w:rPr>
        <w:t>合同主要条款（供参考）</w:t>
      </w:r>
      <w:bookmarkEnd w:id="14"/>
    </w:p>
    <w:p w14:paraId="2F20F9C4">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经供需双方友好协商，一致同意签订本合同，以便遵照执行。</w:t>
      </w:r>
    </w:p>
    <w:p w14:paraId="55F35E2E">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第一条</w:t>
      </w:r>
      <w:r>
        <w:rPr>
          <w:rFonts w:hint="eastAsia" w:ascii="黑体" w:hAnsi="黑体" w:eastAsia="黑体" w:cs="黑体"/>
          <w:sz w:val="28"/>
          <w:szCs w:val="28"/>
          <w:highlight w:val="none"/>
          <w:lang w:val="en-US" w:eastAsia="zh-CN"/>
        </w:rPr>
        <w:t xml:space="preserve"> 服务</w:t>
      </w:r>
      <w:r>
        <w:rPr>
          <w:rFonts w:hint="eastAsia" w:ascii="黑体" w:hAnsi="黑体" w:eastAsia="黑体" w:cs="黑体"/>
          <w:sz w:val="28"/>
          <w:szCs w:val="28"/>
          <w:highlight w:val="none"/>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3129"/>
        <w:gridCol w:w="992"/>
        <w:gridCol w:w="1633"/>
        <w:gridCol w:w="1627"/>
      </w:tblGrid>
      <w:tr w14:paraId="53A04863">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1CC6D6BD">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序号</w:t>
            </w:r>
          </w:p>
        </w:tc>
        <w:tc>
          <w:tcPr>
            <w:tcW w:w="1439" w:type="dxa"/>
            <w:tcBorders>
              <w:top w:val="single" w:color="auto" w:sz="4" w:space="0"/>
              <w:left w:val="nil"/>
              <w:bottom w:val="single" w:color="auto" w:sz="4" w:space="0"/>
              <w:right w:val="single" w:color="auto" w:sz="4" w:space="0"/>
            </w:tcBorders>
            <w:noWrap w:val="0"/>
            <w:vAlign w:val="center"/>
          </w:tcPr>
          <w:p w14:paraId="62F442D1">
            <w:pPr>
              <w:adjustRightInd/>
              <w:snapToGrid/>
              <w:spacing w:after="0"/>
              <w:jc w:val="center"/>
              <w:rPr>
                <w:rFonts w:hint="default" w:ascii="Times New Roman" w:hAnsi="Times New Roman" w:eastAsia="方正仿宋_GBK" w:cs="Times New Roman"/>
                <w:b/>
                <w:bCs/>
                <w:sz w:val="24"/>
                <w:szCs w:val="24"/>
                <w:highlight w:val="none"/>
              </w:rPr>
            </w:pPr>
            <w:r>
              <w:rPr>
                <w:rFonts w:hint="eastAsia" w:eastAsia="方正仿宋_GBK" w:cs="Times New Roman"/>
                <w:b/>
                <w:bCs/>
                <w:sz w:val="24"/>
                <w:szCs w:val="24"/>
                <w:highlight w:val="none"/>
                <w:lang w:val="en-US" w:eastAsia="zh-CN"/>
              </w:rPr>
              <w:t>项目</w:t>
            </w:r>
            <w:r>
              <w:rPr>
                <w:rFonts w:hint="eastAsia" w:ascii="Times New Roman" w:hAnsi="Times New Roman" w:eastAsia="方正仿宋_GBK" w:cs="Times New Roman"/>
                <w:b/>
                <w:bCs/>
                <w:sz w:val="24"/>
                <w:szCs w:val="24"/>
                <w:highlight w:val="none"/>
              </w:rPr>
              <w:t>名称</w:t>
            </w:r>
          </w:p>
        </w:tc>
        <w:tc>
          <w:tcPr>
            <w:tcW w:w="3129" w:type="dxa"/>
            <w:tcBorders>
              <w:top w:val="single" w:color="auto" w:sz="4" w:space="0"/>
              <w:left w:val="nil"/>
              <w:bottom w:val="single" w:color="auto" w:sz="4" w:space="0"/>
              <w:right w:val="single" w:color="auto" w:sz="4" w:space="0"/>
            </w:tcBorders>
            <w:noWrap w:val="0"/>
            <w:vAlign w:val="center"/>
          </w:tcPr>
          <w:p w14:paraId="49F54B8F">
            <w:pPr>
              <w:adjustRightInd/>
              <w:snapToGrid/>
              <w:spacing w:after="0"/>
              <w:jc w:val="center"/>
              <w:rPr>
                <w:rFonts w:hint="default" w:ascii="Times New Roman" w:hAnsi="Times New Roman" w:eastAsia="方正仿宋_GBK" w:cs="Times New Roman"/>
                <w:b/>
                <w:bCs/>
                <w:sz w:val="24"/>
                <w:szCs w:val="24"/>
                <w:highlight w:val="none"/>
              </w:rPr>
            </w:pPr>
            <w:r>
              <w:rPr>
                <w:rFonts w:hint="eastAsia" w:eastAsia="方正仿宋_GBK" w:cs="Times New Roman"/>
                <w:b/>
                <w:bCs/>
                <w:sz w:val="24"/>
                <w:szCs w:val="24"/>
                <w:highlight w:val="none"/>
                <w:lang w:val="en-US" w:eastAsia="zh-CN"/>
              </w:rPr>
              <w:t>内容</w:t>
            </w:r>
          </w:p>
        </w:tc>
        <w:tc>
          <w:tcPr>
            <w:tcW w:w="992" w:type="dxa"/>
            <w:tcBorders>
              <w:top w:val="single" w:color="auto" w:sz="4" w:space="0"/>
              <w:left w:val="nil"/>
              <w:bottom w:val="single" w:color="auto" w:sz="4" w:space="0"/>
              <w:right w:val="single" w:color="auto" w:sz="4" w:space="0"/>
            </w:tcBorders>
            <w:noWrap w:val="0"/>
            <w:vAlign w:val="center"/>
          </w:tcPr>
          <w:p w14:paraId="40B2F8C6">
            <w:pPr>
              <w:adjustRightInd/>
              <w:snapToGrid/>
              <w:spacing w:after="0"/>
              <w:jc w:val="center"/>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单价</w:t>
            </w:r>
          </w:p>
          <w:p w14:paraId="15113C0B">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（元）</w:t>
            </w:r>
          </w:p>
        </w:tc>
        <w:tc>
          <w:tcPr>
            <w:tcW w:w="1633" w:type="dxa"/>
            <w:tcBorders>
              <w:top w:val="single" w:color="auto" w:sz="4" w:space="0"/>
              <w:left w:val="nil"/>
              <w:bottom w:val="single" w:color="auto" w:sz="4" w:space="0"/>
              <w:right w:val="single" w:color="auto" w:sz="4" w:space="0"/>
            </w:tcBorders>
            <w:noWrap w:val="0"/>
            <w:vAlign w:val="center"/>
          </w:tcPr>
          <w:p w14:paraId="52AB8B1D">
            <w:pPr>
              <w:adjustRightInd/>
              <w:snapToGrid/>
              <w:spacing w:after="0"/>
              <w:jc w:val="center"/>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金额</w:t>
            </w:r>
          </w:p>
          <w:p w14:paraId="19A2C23D">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（元）</w:t>
            </w:r>
          </w:p>
        </w:tc>
        <w:tc>
          <w:tcPr>
            <w:tcW w:w="1627" w:type="dxa"/>
            <w:tcBorders>
              <w:top w:val="single" w:color="auto" w:sz="4" w:space="0"/>
              <w:left w:val="nil"/>
              <w:bottom w:val="single" w:color="auto" w:sz="4" w:space="0"/>
              <w:right w:val="single" w:color="auto" w:sz="4" w:space="0"/>
            </w:tcBorders>
            <w:noWrap w:val="0"/>
            <w:vAlign w:val="center"/>
          </w:tcPr>
          <w:p w14:paraId="31AAB67A">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备注</w:t>
            </w:r>
          </w:p>
        </w:tc>
      </w:tr>
      <w:tr w14:paraId="59BC081F">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00A6060">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1</w:t>
            </w:r>
          </w:p>
        </w:tc>
        <w:tc>
          <w:tcPr>
            <w:tcW w:w="1439" w:type="dxa"/>
            <w:tcBorders>
              <w:top w:val="nil"/>
              <w:left w:val="nil"/>
              <w:bottom w:val="single" w:color="auto" w:sz="4" w:space="0"/>
              <w:right w:val="single" w:color="auto" w:sz="4" w:space="0"/>
            </w:tcBorders>
            <w:shd w:val="clear" w:color="000000" w:fill="FFFFFF"/>
            <w:noWrap w:val="0"/>
            <w:vAlign w:val="center"/>
          </w:tcPr>
          <w:p w14:paraId="4EB58504">
            <w:pPr>
              <w:adjustRightInd/>
              <w:snapToGrid/>
              <w:spacing w:after="0"/>
              <w:jc w:val="center"/>
              <w:rPr>
                <w:rFonts w:hint="eastAsia" w:ascii="Times New Roman" w:hAnsi="Times New Roman" w:eastAsia="方正仿宋_GBK" w:cs="Times New Roman"/>
                <w:b/>
                <w:bCs/>
                <w:sz w:val="24"/>
                <w:szCs w:val="24"/>
                <w:highlight w:val="none"/>
              </w:rPr>
            </w:pPr>
          </w:p>
        </w:tc>
        <w:tc>
          <w:tcPr>
            <w:tcW w:w="3129" w:type="dxa"/>
            <w:tcBorders>
              <w:top w:val="nil"/>
              <w:left w:val="nil"/>
              <w:bottom w:val="single" w:color="auto" w:sz="4" w:space="0"/>
              <w:right w:val="single" w:color="auto" w:sz="4" w:space="0"/>
            </w:tcBorders>
            <w:shd w:val="clear" w:color="000000" w:fill="FFFFFF"/>
            <w:noWrap w:val="0"/>
            <w:vAlign w:val="center"/>
          </w:tcPr>
          <w:p w14:paraId="6CA8FB00">
            <w:pPr>
              <w:adjustRightInd/>
              <w:snapToGrid/>
              <w:spacing w:after="0"/>
              <w:jc w:val="center"/>
              <w:rPr>
                <w:rFonts w:hint="default" w:ascii="Times New Roman" w:hAnsi="Times New Roman" w:eastAsia="方正仿宋_GBK" w:cs="Times New Roman"/>
                <w:b/>
                <w:bCs/>
                <w:sz w:val="24"/>
                <w:szCs w:val="24"/>
                <w:highlight w:val="none"/>
              </w:rPr>
            </w:pPr>
          </w:p>
        </w:tc>
        <w:tc>
          <w:tcPr>
            <w:tcW w:w="992" w:type="dxa"/>
            <w:tcBorders>
              <w:top w:val="nil"/>
              <w:left w:val="nil"/>
              <w:bottom w:val="single" w:color="auto" w:sz="4" w:space="0"/>
              <w:right w:val="single" w:color="auto" w:sz="4" w:space="0"/>
            </w:tcBorders>
            <w:noWrap w:val="0"/>
            <w:vAlign w:val="center"/>
          </w:tcPr>
          <w:p w14:paraId="2AEA6612">
            <w:pPr>
              <w:adjustRightInd/>
              <w:snapToGrid/>
              <w:spacing w:after="0"/>
              <w:jc w:val="center"/>
              <w:rPr>
                <w:rFonts w:hint="default" w:ascii="Times New Roman" w:hAnsi="Times New Roman" w:eastAsia="方正仿宋_GBK" w:cs="Times New Roman"/>
                <w:b/>
                <w:bCs/>
                <w:sz w:val="24"/>
                <w:szCs w:val="24"/>
                <w:highlight w:val="none"/>
              </w:rPr>
            </w:pPr>
          </w:p>
        </w:tc>
        <w:tc>
          <w:tcPr>
            <w:tcW w:w="1633" w:type="dxa"/>
            <w:tcBorders>
              <w:top w:val="nil"/>
              <w:left w:val="nil"/>
              <w:bottom w:val="single" w:color="auto" w:sz="4" w:space="0"/>
              <w:right w:val="single" w:color="auto" w:sz="4" w:space="0"/>
            </w:tcBorders>
            <w:noWrap w:val="0"/>
            <w:vAlign w:val="center"/>
          </w:tcPr>
          <w:p w14:paraId="5B49E6E8">
            <w:pPr>
              <w:adjustRightInd/>
              <w:snapToGrid/>
              <w:spacing w:after="0"/>
              <w:jc w:val="center"/>
              <w:rPr>
                <w:rFonts w:hint="default" w:ascii="Times New Roman" w:hAnsi="Times New Roman" w:eastAsia="方正仿宋_GBK" w:cs="Times New Roman"/>
                <w:b/>
                <w:bCs/>
                <w:sz w:val="24"/>
                <w:szCs w:val="24"/>
                <w:highlight w:val="none"/>
              </w:rPr>
            </w:pPr>
          </w:p>
        </w:tc>
        <w:tc>
          <w:tcPr>
            <w:tcW w:w="1627" w:type="dxa"/>
            <w:tcBorders>
              <w:top w:val="nil"/>
              <w:left w:val="nil"/>
              <w:bottom w:val="single" w:color="auto" w:sz="4" w:space="0"/>
              <w:right w:val="single" w:color="auto" w:sz="4" w:space="0"/>
            </w:tcBorders>
            <w:noWrap w:val="0"/>
            <w:vAlign w:val="center"/>
          </w:tcPr>
          <w:p w14:paraId="08598B4A">
            <w:pPr>
              <w:adjustRightInd/>
              <w:snapToGrid/>
              <w:spacing w:after="0"/>
              <w:jc w:val="center"/>
              <w:rPr>
                <w:rFonts w:hint="eastAsia" w:ascii="Times New Roman" w:hAnsi="Times New Roman" w:eastAsia="方正仿宋_GBK" w:cs="Times New Roman"/>
                <w:b/>
                <w:bCs/>
                <w:sz w:val="24"/>
                <w:szCs w:val="24"/>
                <w:highlight w:val="none"/>
              </w:rPr>
            </w:pPr>
          </w:p>
        </w:tc>
      </w:tr>
      <w:tr w14:paraId="51524595">
        <w:tblPrEx>
          <w:tblCellMar>
            <w:top w:w="0" w:type="dxa"/>
            <w:left w:w="108" w:type="dxa"/>
            <w:bottom w:w="0" w:type="dxa"/>
            <w:right w:w="108" w:type="dxa"/>
          </w:tblCellMar>
        </w:tblPrEx>
        <w:trPr>
          <w:trHeight w:val="836" w:hRule="atLeast"/>
          <w:jc w:val="center"/>
        </w:trPr>
        <w:tc>
          <w:tcPr>
            <w:tcW w:w="6311" w:type="dxa"/>
            <w:gridSpan w:val="4"/>
            <w:tcBorders>
              <w:top w:val="nil"/>
              <w:left w:val="single" w:color="auto" w:sz="4" w:space="0"/>
              <w:bottom w:val="single" w:color="auto" w:sz="4" w:space="0"/>
              <w:right w:val="single" w:color="auto" w:sz="4" w:space="0"/>
            </w:tcBorders>
            <w:noWrap w:val="0"/>
            <w:vAlign w:val="center"/>
          </w:tcPr>
          <w:p w14:paraId="69CD6798">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合同总金额人民币（大写）：</w:t>
            </w:r>
          </w:p>
        </w:tc>
        <w:tc>
          <w:tcPr>
            <w:tcW w:w="1633" w:type="dxa"/>
            <w:tcBorders>
              <w:top w:val="nil"/>
              <w:left w:val="single" w:color="auto" w:sz="4" w:space="0"/>
              <w:bottom w:val="single" w:color="auto" w:sz="4" w:space="0"/>
              <w:right w:val="single" w:color="auto" w:sz="4" w:space="0"/>
            </w:tcBorders>
            <w:noWrap w:val="0"/>
            <w:vAlign w:val="center"/>
          </w:tcPr>
          <w:p w14:paraId="7228426C">
            <w:pPr>
              <w:adjustRightInd/>
              <w:snapToGrid/>
              <w:spacing w:after="0"/>
              <w:jc w:val="center"/>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w:t>
            </w:r>
          </w:p>
        </w:tc>
        <w:tc>
          <w:tcPr>
            <w:tcW w:w="1627" w:type="dxa"/>
            <w:tcBorders>
              <w:top w:val="nil"/>
              <w:left w:val="single" w:color="auto" w:sz="4" w:space="0"/>
              <w:bottom w:val="single" w:color="auto" w:sz="4" w:space="0"/>
              <w:right w:val="single" w:color="auto" w:sz="4" w:space="0"/>
            </w:tcBorders>
            <w:noWrap w:val="0"/>
            <w:vAlign w:val="center"/>
          </w:tcPr>
          <w:p w14:paraId="3DC161D1">
            <w:pPr>
              <w:adjustRightInd/>
              <w:snapToGrid/>
              <w:spacing w:after="0"/>
              <w:jc w:val="left"/>
              <w:rPr>
                <w:rFonts w:hint="eastAsia" w:ascii="Times New Roman" w:hAnsi="Times New Roman" w:eastAsia="方正仿宋_GBK" w:cs="Times New Roman"/>
                <w:b/>
                <w:bCs/>
                <w:sz w:val="24"/>
                <w:szCs w:val="24"/>
                <w:highlight w:val="none"/>
              </w:rPr>
            </w:pPr>
          </w:p>
        </w:tc>
      </w:tr>
      <w:tr w14:paraId="3088269C">
        <w:tblPrEx>
          <w:tblCellMar>
            <w:top w:w="0" w:type="dxa"/>
            <w:left w:w="108" w:type="dxa"/>
            <w:bottom w:w="0" w:type="dxa"/>
            <w:right w:w="108" w:type="dxa"/>
          </w:tblCellMar>
        </w:tblPrEx>
        <w:trPr>
          <w:trHeight w:val="716" w:hRule="atLeast"/>
          <w:jc w:val="center"/>
        </w:trPr>
        <w:tc>
          <w:tcPr>
            <w:tcW w:w="9571" w:type="dxa"/>
            <w:gridSpan w:val="6"/>
            <w:tcBorders>
              <w:top w:val="nil"/>
              <w:left w:val="single" w:color="auto" w:sz="4" w:space="0"/>
              <w:bottom w:val="single" w:color="auto" w:sz="4" w:space="0"/>
              <w:right w:val="single" w:color="auto" w:sz="4" w:space="0"/>
            </w:tcBorders>
            <w:noWrap w:val="0"/>
            <w:vAlign w:val="center"/>
          </w:tcPr>
          <w:p w14:paraId="1941C452">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备注：以上金额含</w:t>
            </w:r>
            <w:r>
              <w:rPr>
                <w:rFonts w:hint="eastAsia" w:eastAsia="方正仿宋_GBK" w:cs="Times New Roman"/>
                <w:b/>
                <w:bCs/>
                <w:sz w:val="24"/>
                <w:szCs w:val="24"/>
                <w:highlight w:val="none"/>
                <w:lang w:val="en-US" w:eastAsia="zh-CN"/>
              </w:rPr>
              <w:t xml:space="preserve">  </w:t>
            </w:r>
            <w:r>
              <w:rPr>
                <w:rFonts w:hint="eastAsia" w:ascii="Times New Roman" w:hAnsi="Times New Roman" w:eastAsia="方正仿宋_GBK" w:cs="Times New Roman"/>
                <w:b/>
                <w:bCs/>
                <w:sz w:val="24"/>
                <w:szCs w:val="24"/>
                <w:highlight w:val="none"/>
              </w:rPr>
              <w:t>%增值税和运费</w:t>
            </w:r>
          </w:p>
        </w:tc>
      </w:tr>
    </w:tbl>
    <w:p w14:paraId="66319F51">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rPr>
        <w:t xml:space="preserve">第二条  </w:t>
      </w:r>
      <w:r>
        <w:rPr>
          <w:rFonts w:hint="eastAsia" w:ascii="黑体" w:hAnsi="黑体" w:eastAsia="黑体" w:cs="黑体"/>
          <w:sz w:val="28"/>
          <w:szCs w:val="28"/>
          <w:highlight w:val="none"/>
          <w:lang w:val="en-US" w:eastAsia="zh-CN"/>
        </w:rPr>
        <w:t>服务</w:t>
      </w:r>
      <w:r>
        <w:rPr>
          <w:rFonts w:hint="eastAsia" w:ascii="黑体" w:hAnsi="黑体" w:eastAsia="黑体" w:cs="黑体"/>
          <w:sz w:val="28"/>
          <w:szCs w:val="28"/>
          <w:highlight w:val="none"/>
        </w:rPr>
        <w:t>时间、地点</w:t>
      </w:r>
    </w:p>
    <w:p w14:paraId="5375B587">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w:t>
      </w:r>
      <w:r>
        <w:rPr>
          <w:rFonts w:hint="eastAsia" w:ascii="方正仿宋_GBK" w:hAnsi="方正仿宋_GBK" w:eastAsia="方正仿宋_GBK" w:cs="方正仿宋_GBK"/>
          <w:sz w:val="28"/>
          <w:szCs w:val="28"/>
          <w:highlight w:val="none"/>
          <w:lang w:val="en-US" w:eastAsia="zh-CN"/>
        </w:rPr>
        <w:t>服务</w:t>
      </w:r>
      <w:r>
        <w:rPr>
          <w:rFonts w:hint="eastAsia" w:ascii="方正仿宋_GBK" w:hAnsi="方正仿宋_GBK" w:eastAsia="方正仿宋_GBK" w:cs="方正仿宋_GBK"/>
          <w:sz w:val="28"/>
          <w:szCs w:val="28"/>
          <w:highlight w:val="none"/>
        </w:rPr>
        <w:t>时间：</w:t>
      </w:r>
      <w:r>
        <w:rPr>
          <w:rFonts w:hint="eastAsia" w:ascii="方正仿宋_GBK" w:hAnsi="方正仿宋_GBK" w:eastAsia="方正仿宋_GBK" w:cs="方正仿宋_GBK"/>
          <w:sz w:val="28"/>
          <w:szCs w:val="28"/>
          <w:highlight w:val="none"/>
          <w:lang w:val="en-US" w:eastAsia="zh-CN"/>
        </w:rPr>
        <w:t>服务方接到采购人通知后，按期完成文件报告编制</w:t>
      </w:r>
      <w:r>
        <w:rPr>
          <w:rFonts w:hint="eastAsia" w:ascii="方正仿宋_GBK" w:hAnsi="方正仿宋_GBK" w:eastAsia="方正仿宋_GBK" w:cs="方正仿宋_GBK"/>
          <w:sz w:val="28"/>
          <w:szCs w:val="28"/>
          <w:highlight w:val="none"/>
        </w:rPr>
        <w:t>。</w:t>
      </w:r>
    </w:p>
    <w:p w14:paraId="60D356AC">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rPr>
        <w:t>2、</w:t>
      </w:r>
      <w:r>
        <w:rPr>
          <w:rFonts w:hint="eastAsia" w:ascii="方正仿宋_GBK" w:hAnsi="方正仿宋_GBK" w:eastAsia="方正仿宋_GBK" w:cs="方正仿宋_GBK"/>
          <w:sz w:val="28"/>
          <w:szCs w:val="28"/>
          <w:highlight w:val="none"/>
          <w:lang w:val="en-US" w:eastAsia="zh-CN"/>
        </w:rPr>
        <w:t>服务</w:t>
      </w:r>
      <w:r>
        <w:rPr>
          <w:rFonts w:hint="eastAsia" w:ascii="方正仿宋_GBK" w:hAnsi="方正仿宋_GBK" w:eastAsia="方正仿宋_GBK" w:cs="方正仿宋_GBK"/>
          <w:sz w:val="28"/>
          <w:szCs w:val="28"/>
          <w:highlight w:val="none"/>
        </w:rPr>
        <w:t>地点：</w:t>
      </w:r>
      <w:r>
        <w:rPr>
          <w:rFonts w:hint="eastAsia" w:ascii="方正仿宋_GBK" w:hAnsi="方正仿宋_GBK" w:eastAsia="方正仿宋_GBK" w:cs="方正仿宋_GBK"/>
          <w:sz w:val="28"/>
          <w:szCs w:val="28"/>
          <w:highlight w:val="none"/>
          <w:lang w:eastAsia="zh-CN"/>
        </w:rPr>
        <w:t>浙江省绍兴市柯桥区钱滨线二线海塘绍兴市再生能源发展有限公司。</w:t>
      </w:r>
    </w:p>
    <w:p w14:paraId="3024D424">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rPr>
        <w:t xml:space="preserve">第三条 </w:t>
      </w:r>
      <w:r>
        <w:rPr>
          <w:rFonts w:hint="eastAsia" w:ascii="黑体" w:hAnsi="黑体" w:eastAsia="黑体" w:cs="黑体"/>
          <w:sz w:val="28"/>
          <w:szCs w:val="28"/>
          <w:highlight w:val="none"/>
          <w:lang w:val="en-US" w:eastAsia="zh-CN"/>
        </w:rPr>
        <w:t>工作量</w:t>
      </w:r>
    </w:p>
    <w:p w14:paraId="39E5FBD8">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工作量：完成土壤隐患排查报告，有毒有害物质排放报告；</w:t>
      </w:r>
    </w:p>
    <w:p w14:paraId="6114642F">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编制自行监测方案，经专家评审后开展监测，地下水一年两次，土壤一年一次；最终编制自行监测报告。</w:t>
      </w:r>
    </w:p>
    <w:p w14:paraId="38BF1386">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highlight w:val="none"/>
        </w:rPr>
        <w:t xml:space="preserve">第四条 合同价格   </w:t>
      </w:r>
    </w:p>
    <w:p w14:paraId="3C7D9374">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合同总金额人民币（大写）</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元整，本合同为固定</w:t>
      </w:r>
      <w:r>
        <w:rPr>
          <w:rFonts w:hint="eastAsia" w:ascii="方正仿宋_GBK" w:hAnsi="方正仿宋_GBK" w:eastAsia="方正仿宋_GBK" w:cs="方正仿宋_GBK"/>
          <w:sz w:val="28"/>
          <w:szCs w:val="28"/>
          <w:highlight w:val="none"/>
          <w:lang w:val="en-US" w:eastAsia="zh-CN"/>
        </w:rPr>
        <w:t>总价</w:t>
      </w:r>
      <w:r>
        <w:rPr>
          <w:rFonts w:hint="eastAsia" w:ascii="方正仿宋_GBK" w:hAnsi="方正仿宋_GBK" w:eastAsia="方正仿宋_GBK" w:cs="方正仿宋_GBK"/>
          <w:sz w:val="28"/>
          <w:szCs w:val="28"/>
          <w:highlight w:val="none"/>
        </w:rPr>
        <w:t>合同，金额包含包装费、运费、税金、保险费等， 供需双方不能因市场价格变化而调整合同价。</w:t>
      </w:r>
    </w:p>
    <w:p w14:paraId="3C0CA234">
      <w:pPr>
        <w:pStyle w:val="35"/>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付款方式</w:t>
      </w:r>
    </w:p>
    <w:p w14:paraId="4B8BA801">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每次阶段性服务完成并经采购人确认后，服务方提供经双方确认的检测报告及等额、合法、有效的增值税专用发票，采购人自收到准确报告和发票且核对无误后，于次二月完成对应阶段款项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在合同签订前提供履约保证金（合同价的5%），履约保证金于合同期满且无未决违约行为及质量争议后无息退还</w:t>
      </w:r>
      <w:r>
        <w:rPr>
          <w:rFonts w:hint="eastAsia" w:ascii="仿宋" w:hAnsi="仿宋" w:eastAsia="仿宋" w:cs="仿宋"/>
          <w:color w:val="auto"/>
          <w:kern w:val="2"/>
          <w:sz w:val="30"/>
          <w:szCs w:val="30"/>
          <w:highlight w:val="none"/>
          <w:lang w:eastAsia="zh-CN"/>
        </w:rPr>
        <w:t>。</w:t>
      </w:r>
    </w:p>
    <w:p w14:paraId="1DA5C840">
      <w:pPr>
        <w:pStyle w:val="35"/>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0458BE4D">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根据国家标准、行业规范等要求对服务成果验收</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lang w:val="en-US" w:eastAsia="zh-CN"/>
        </w:rPr>
        <w:t>检测报告</w:t>
      </w:r>
      <w:r>
        <w:rPr>
          <w:rFonts w:hint="eastAsia" w:ascii="方正仿宋_GBK" w:hAnsi="方正仿宋_GBK" w:eastAsia="方正仿宋_GBK" w:cs="方正仿宋_GBK"/>
          <w:sz w:val="28"/>
          <w:szCs w:val="28"/>
        </w:rPr>
        <w:t>验收，只能视为初步验收，即可合同要求予以接收，并不能视为</w:t>
      </w:r>
      <w:r>
        <w:rPr>
          <w:rFonts w:hint="eastAsia" w:ascii="方正仿宋_GBK" w:hAnsi="方正仿宋_GBK" w:eastAsia="方正仿宋_GBK" w:cs="方正仿宋_GBK"/>
          <w:sz w:val="28"/>
          <w:szCs w:val="28"/>
          <w:lang w:eastAsia="zh-CN"/>
        </w:rPr>
        <w:t>乙方</w:t>
      </w:r>
      <w:r>
        <w:rPr>
          <w:rFonts w:hint="eastAsia" w:ascii="方正仿宋_GBK" w:hAnsi="方正仿宋_GBK" w:eastAsia="方正仿宋_GBK" w:cs="方正仿宋_GBK"/>
          <w:sz w:val="28"/>
          <w:szCs w:val="28"/>
        </w:rPr>
        <w:t xml:space="preserve">对其产品在质保期内损坏所应负责任解除的凭据。  </w:t>
      </w:r>
    </w:p>
    <w:p w14:paraId="6CBD081D">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w:t>
      </w:r>
      <w:r>
        <w:rPr>
          <w:rFonts w:hint="eastAsia" w:ascii="方正仿宋_GBK" w:hAnsi="方正仿宋_GBK" w:eastAsia="方正仿宋_GBK" w:cs="方正仿宋_GBK"/>
          <w:sz w:val="28"/>
          <w:szCs w:val="28"/>
          <w:lang w:val="en-US" w:eastAsia="zh-CN"/>
        </w:rPr>
        <w:t>检测报告</w:t>
      </w:r>
      <w:r>
        <w:rPr>
          <w:rFonts w:hint="eastAsia" w:ascii="方正仿宋_GBK" w:hAnsi="方正仿宋_GBK" w:eastAsia="方正仿宋_GBK" w:cs="方正仿宋_GBK"/>
          <w:sz w:val="28"/>
          <w:szCs w:val="28"/>
          <w:lang w:eastAsia="zh-CN"/>
        </w:rPr>
        <w:t>不合格者，甲方有权拒收，并视为</w:t>
      </w:r>
      <w:r>
        <w:rPr>
          <w:rFonts w:hint="eastAsia" w:ascii="方正仿宋_GBK" w:hAnsi="方正仿宋_GBK" w:eastAsia="方正仿宋_GBK" w:cs="方正仿宋_GBK"/>
          <w:sz w:val="28"/>
          <w:szCs w:val="28"/>
          <w:lang w:val="en-US" w:eastAsia="zh-CN"/>
        </w:rPr>
        <w:t>检测服务不合格</w:t>
      </w:r>
      <w:r>
        <w:rPr>
          <w:rFonts w:hint="eastAsia" w:ascii="方正仿宋_GBK" w:hAnsi="方正仿宋_GBK" w:eastAsia="方正仿宋_GBK" w:cs="方正仿宋_GBK"/>
          <w:sz w:val="28"/>
          <w:szCs w:val="28"/>
          <w:lang w:eastAsia="zh-CN"/>
        </w:rPr>
        <w:t>。乙方应无条件</w:t>
      </w:r>
      <w:r>
        <w:rPr>
          <w:rFonts w:hint="eastAsia" w:ascii="方正仿宋_GBK" w:hAnsi="方正仿宋_GBK" w:eastAsia="方正仿宋_GBK" w:cs="方正仿宋_GBK"/>
          <w:sz w:val="28"/>
          <w:szCs w:val="28"/>
          <w:lang w:val="en-US" w:eastAsia="zh-CN"/>
        </w:rPr>
        <w:t>按要求在规定时间内重新检测</w:t>
      </w:r>
      <w:r>
        <w:rPr>
          <w:rFonts w:hint="eastAsia" w:ascii="方正仿宋_GBK" w:hAnsi="方正仿宋_GBK" w:eastAsia="方正仿宋_GBK" w:cs="方正仿宋_GBK"/>
          <w:sz w:val="28"/>
          <w:szCs w:val="28"/>
          <w:lang w:eastAsia="zh-CN"/>
        </w:rPr>
        <w:t>，由此产生的相关费用及给甲方造成的一切损失由乙方承担。</w:t>
      </w:r>
      <w:r>
        <w:rPr>
          <w:rFonts w:hint="eastAsia" w:ascii="方正仿宋_GBK" w:hAnsi="方正仿宋_GBK" w:eastAsia="方正仿宋_GBK" w:cs="方正仿宋_GBK"/>
          <w:sz w:val="28"/>
          <w:szCs w:val="28"/>
        </w:rPr>
        <w:t xml:space="preserve">  </w:t>
      </w:r>
      <w:r>
        <w:rPr>
          <w:rFonts w:hint="eastAsia"/>
        </w:rPr>
        <w:t xml:space="preserve">                                                                                                                                </w:t>
      </w:r>
    </w:p>
    <w:p w14:paraId="4F304792">
      <w:pPr>
        <w:pStyle w:val="35"/>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54080140">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r>
        <w:rPr>
          <w:rFonts w:hint="eastAsia"/>
        </w:rPr>
        <w:t xml:space="preserve">                                                                                                                                           </w:t>
      </w:r>
    </w:p>
    <w:p w14:paraId="6D43C1D8">
      <w:pPr>
        <w:pStyle w:val="35"/>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2D2D6C6C">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5"/>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kern w:val="2"/>
          <w:sz w:val="28"/>
          <w:szCs w:val="28"/>
          <w:lang w:val="en-US" w:eastAsia="zh-CN" w:bidi="ar-SA"/>
        </w:rPr>
        <w:t xml:space="preserve"> </w:t>
      </w:r>
      <w:r>
        <w:rPr>
          <w:rFonts w:hint="eastAsia" w:ascii="黑体" w:hAnsi="黑体" w:eastAsia="黑体" w:cs="黑体"/>
          <w:sz w:val="28"/>
          <w:szCs w:val="28"/>
        </w:rPr>
        <w:t>运输方式及费用负担</w:t>
      </w:r>
    </w:p>
    <w:p w14:paraId="46A08167">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汽车运输到指定地点，运输费用由供货方承担。   </w:t>
      </w:r>
    </w:p>
    <w:p w14:paraId="50F570C4">
      <w:pPr>
        <w:pStyle w:val="35"/>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3050230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本合同在双方责任、义务履行完毕后终止。</w:t>
      </w:r>
    </w:p>
    <w:p w14:paraId="7F0296D3">
      <w:pPr>
        <w:pStyle w:val="35"/>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5"/>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5"/>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52987E88">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1AA7966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bookmarkStart w:id="15" w:name="_Toc1259"/>
      <w:r>
        <w:rPr>
          <w:rFonts w:hint="eastAsia" w:ascii="Times New Roman" w:hAnsi="Times New Roman" w:eastAsia="方正仿宋_GBK" w:cs="Times New Roman"/>
          <w:b/>
          <w:bCs/>
          <w:sz w:val="28"/>
          <w:szCs w:val="28"/>
          <w:highlight w:val="none"/>
          <w:lang w:val="en-US" w:eastAsia="zh-CN"/>
        </w:rPr>
        <w:t>附件：</w:t>
      </w:r>
      <w:bookmarkEnd w:id="15"/>
    </w:p>
    <w:p w14:paraId="5815510C">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10066FB4">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3110C465">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yellow"/>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2026年度土壤地下水自行监测、有毒有害物质排放报告编制项目</w:t>
      </w:r>
    </w:p>
    <w:p w14:paraId="5BE949C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150C768F">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478BA72B">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6054F199">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0CFCC8DD">
      <w:pPr>
        <w:pStyle w:val="35"/>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18A67AD0">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6D898E4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33F16A0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E22EDC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6115DC9C">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7EDE424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41FE7C00">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0E2561D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3E23D3DC">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33EA5A61">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0D328669">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2C7FF2B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38BDBAA3">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3325DE96">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4046F1C5">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3CC95C25">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44DE08C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0ECED539">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5B2C56AA">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22B38F16">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29D5AEB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77DD678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本责任书一式陆份，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9EA87AC">
      <w:pPr>
        <w:pStyle w:val="37"/>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3504356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028E762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73314DB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316BC9A1">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018EA15A">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7C3320C9">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6CCE3741">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2F846394">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page"/>
      </w:r>
    </w:p>
    <w:p w14:paraId="57866C79">
      <w:pPr>
        <w:pStyle w:val="4"/>
        <w:numPr>
          <w:ilvl w:val="0"/>
          <w:numId w:val="0"/>
        </w:numPr>
        <w:jc w:val="center"/>
        <w:rPr>
          <w:rFonts w:hint="eastAsia" w:ascii="仿宋" w:hAnsi="仿宋" w:eastAsia="仿宋" w:cs="仿宋"/>
          <w:snapToGrid w:val="0"/>
          <w:sz w:val="44"/>
          <w:szCs w:val="44"/>
        </w:rPr>
      </w:pPr>
      <w:bookmarkStart w:id="16" w:name="_Toc307"/>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3"/>
      <w:bookmarkEnd w:id="16"/>
    </w:p>
    <w:p w14:paraId="412D71F2">
      <w:pPr>
        <w:jc w:val="left"/>
        <w:outlineLvl w:val="0"/>
        <w:rPr>
          <w:rStyle w:val="21"/>
          <w:rFonts w:hint="eastAsia" w:ascii="仿宋" w:hAnsi="仿宋" w:eastAsia="仿宋" w:cs="仿宋"/>
          <w:sz w:val="30"/>
        </w:rPr>
      </w:pPr>
    </w:p>
    <w:p w14:paraId="5E2D734D">
      <w:pPr>
        <w:spacing w:line="480" w:lineRule="auto"/>
        <w:jc w:val="right"/>
        <w:rPr>
          <w:rFonts w:hint="eastAsia" w:ascii="仿宋" w:hAnsi="仿宋" w:eastAsia="仿宋" w:cs="仿宋"/>
          <w:sz w:val="32"/>
          <w:highlight w:val="none"/>
        </w:rPr>
      </w:pPr>
    </w:p>
    <w:p w14:paraId="43F07FC2">
      <w:pPr>
        <w:rPr>
          <w:rFonts w:hint="eastAsia" w:ascii="仿宋" w:hAnsi="仿宋" w:eastAsia="仿宋" w:cs="仿宋"/>
          <w:sz w:val="44"/>
          <w:highlight w:val="none"/>
        </w:rPr>
      </w:pPr>
    </w:p>
    <w:p w14:paraId="55DDC77E">
      <w:pPr>
        <w:spacing w:line="360" w:lineRule="auto"/>
        <w:jc w:val="center"/>
        <w:rPr>
          <w:rFonts w:hint="eastAsia" w:ascii="仿宋" w:hAnsi="仿宋" w:eastAsia="仿宋" w:cs="仿宋"/>
          <w:sz w:val="52"/>
          <w:highlight w:val="none"/>
        </w:rPr>
      </w:pPr>
      <w:r>
        <w:rPr>
          <w:rFonts w:hint="eastAsia" w:ascii="仿宋_GB2312" w:hAnsi="宋体" w:eastAsia="仿宋_GB2312"/>
          <w:b w:val="0"/>
          <w:bCs/>
          <w:sz w:val="52"/>
          <w:szCs w:val="52"/>
          <w:highlight w:val="none"/>
          <w:lang w:val="en-US" w:eastAsia="zh-CN"/>
        </w:rPr>
        <w:t>2026年度土壤地下水自行监测、有毒有害物质排放报告编制项目</w:t>
      </w:r>
    </w:p>
    <w:p w14:paraId="46880012">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采购编号：SX-ZH-TR-2605003</w:t>
      </w:r>
    </w:p>
    <w:p w14:paraId="22E0BDC5">
      <w:pPr>
        <w:rPr>
          <w:rFonts w:hint="eastAsia" w:ascii="仿宋" w:hAnsi="仿宋" w:eastAsia="仿宋" w:cs="仿宋"/>
          <w:sz w:val="44"/>
        </w:rPr>
      </w:pPr>
    </w:p>
    <w:p w14:paraId="3BC466AB">
      <w:pPr>
        <w:rPr>
          <w:rFonts w:hint="eastAsia" w:ascii="仿宋" w:hAnsi="仿宋" w:eastAsia="仿宋" w:cs="仿宋"/>
          <w:sz w:val="44"/>
        </w:rPr>
      </w:pPr>
    </w:p>
    <w:p w14:paraId="71BC879E">
      <w:pPr>
        <w:rPr>
          <w:rFonts w:hint="eastAsia" w:ascii="仿宋" w:hAnsi="仿宋" w:eastAsia="仿宋" w:cs="仿宋"/>
          <w:sz w:val="84"/>
        </w:rPr>
      </w:pPr>
    </w:p>
    <w:p w14:paraId="47B34A86">
      <w:pPr>
        <w:jc w:val="center"/>
        <w:rPr>
          <w:rFonts w:hint="eastAsia" w:ascii="仿宋" w:hAnsi="仿宋" w:eastAsia="仿宋" w:cs="仿宋"/>
          <w:sz w:val="84"/>
        </w:rPr>
      </w:pPr>
      <w:r>
        <w:rPr>
          <w:rFonts w:hint="eastAsia" w:ascii="仿宋" w:hAnsi="仿宋" w:eastAsia="仿宋" w:cs="仿宋"/>
          <w:sz w:val="84"/>
        </w:rPr>
        <w:t>报价文件</w:t>
      </w:r>
    </w:p>
    <w:p w14:paraId="5A6860E6">
      <w:pPr>
        <w:jc w:val="center"/>
        <w:rPr>
          <w:rFonts w:hint="eastAsia" w:ascii="仿宋" w:hAnsi="仿宋" w:eastAsia="仿宋" w:cs="仿宋"/>
          <w:sz w:val="24"/>
        </w:rPr>
      </w:pPr>
    </w:p>
    <w:p w14:paraId="77679791">
      <w:pPr>
        <w:jc w:val="center"/>
        <w:rPr>
          <w:rFonts w:hint="eastAsia" w:ascii="仿宋" w:hAnsi="仿宋" w:eastAsia="仿宋" w:cs="仿宋"/>
          <w:sz w:val="24"/>
        </w:rPr>
      </w:pPr>
    </w:p>
    <w:p w14:paraId="7FDFC42B">
      <w:pPr>
        <w:spacing w:line="480" w:lineRule="auto"/>
        <w:jc w:val="center"/>
        <w:rPr>
          <w:rFonts w:hint="eastAsia" w:ascii="仿宋" w:hAnsi="仿宋" w:eastAsia="仿宋" w:cs="仿宋"/>
          <w:sz w:val="24"/>
        </w:rPr>
      </w:pPr>
    </w:p>
    <w:p w14:paraId="43B983ED">
      <w:pPr>
        <w:spacing w:line="480" w:lineRule="auto"/>
        <w:jc w:val="center"/>
        <w:rPr>
          <w:rFonts w:hint="eastAsia" w:ascii="仿宋" w:hAnsi="仿宋" w:eastAsia="仿宋" w:cs="仿宋"/>
          <w:sz w:val="24"/>
        </w:rPr>
      </w:pPr>
    </w:p>
    <w:p w14:paraId="5F0EC008">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4F86F4E7">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47FAE966">
      <w:pPr>
        <w:adjustRightInd w:val="0"/>
        <w:snapToGrid w:val="0"/>
        <w:spacing w:line="360" w:lineRule="auto"/>
        <w:ind w:right="480"/>
        <w:jc w:val="left"/>
        <w:rPr>
          <w:rFonts w:hint="eastAsia" w:ascii="仿宋" w:hAnsi="仿宋" w:eastAsia="仿宋" w:cs="仿宋"/>
          <w:sz w:val="30"/>
        </w:rPr>
      </w:pPr>
      <w:r>
        <w:rPr>
          <w:rStyle w:val="21"/>
          <w:rFonts w:hint="eastAsia" w:ascii="仿宋" w:hAnsi="仿宋" w:eastAsia="仿宋" w:cs="仿宋"/>
          <w:sz w:val="30"/>
        </w:rPr>
        <w:br w:type="page"/>
      </w:r>
    </w:p>
    <w:p w14:paraId="621BA226">
      <w:pPr>
        <w:jc w:val="left"/>
        <w:outlineLvl w:val="0"/>
        <w:rPr>
          <w:rStyle w:val="21"/>
          <w:rFonts w:hint="eastAsia" w:ascii="仿宋" w:hAnsi="仿宋" w:eastAsia="仿宋" w:cs="仿宋"/>
          <w:sz w:val="30"/>
        </w:rPr>
        <w:sectPr>
          <w:footerReference r:id="rId3" w:type="default"/>
          <w:pgSz w:w="11906" w:h="16838"/>
          <w:pgMar w:top="1701" w:right="1417" w:bottom="1134" w:left="1417" w:header="851" w:footer="992" w:gutter="0"/>
          <w:cols w:space="0" w:num="1"/>
          <w:rtlGutter w:val="0"/>
          <w:docGrid w:linePitch="312" w:charSpace="0"/>
        </w:sectPr>
      </w:pPr>
    </w:p>
    <w:p w14:paraId="23E69E62">
      <w:pPr>
        <w:jc w:val="left"/>
        <w:outlineLvl w:val="0"/>
        <w:rPr>
          <w:rStyle w:val="21"/>
          <w:rFonts w:hint="eastAsia" w:ascii="仿宋" w:hAnsi="仿宋" w:eastAsia="仿宋" w:cs="仿宋"/>
          <w:sz w:val="30"/>
        </w:rPr>
      </w:pPr>
      <w:bookmarkStart w:id="17" w:name="_Toc16496"/>
      <w:r>
        <w:rPr>
          <w:rStyle w:val="21"/>
          <w:rFonts w:hint="eastAsia" w:ascii="仿宋" w:hAnsi="仿宋" w:eastAsia="仿宋" w:cs="仿宋"/>
          <w:sz w:val="30"/>
        </w:rPr>
        <w:t>附件一：</w:t>
      </w:r>
      <w:bookmarkEnd w:id="17"/>
    </w:p>
    <w:p w14:paraId="7B642CA0">
      <w:pPr>
        <w:jc w:val="left"/>
        <w:outlineLvl w:val="0"/>
        <w:rPr>
          <w:rStyle w:val="21"/>
          <w:rFonts w:hint="eastAsia" w:ascii="仿宋" w:hAnsi="仿宋" w:eastAsia="仿宋" w:cs="仿宋"/>
          <w:sz w:val="30"/>
        </w:rPr>
      </w:pPr>
    </w:p>
    <w:p w14:paraId="651C434B">
      <w:pPr>
        <w:spacing w:line="360" w:lineRule="auto"/>
        <w:jc w:val="center"/>
        <w:rPr>
          <w:rFonts w:hint="eastAsia" w:ascii="仿宋" w:hAnsi="仿宋" w:eastAsia="仿宋" w:cs="仿宋"/>
          <w:b/>
          <w:sz w:val="44"/>
        </w:rPr>
      </w:pPr>
      <w:r>
        <w:rPr>
          <w:rFonts w:hint="eastAsia" w:ascii="仿宋" w:hAnsi="仿宋" w:eastAsia="仿宋" w:cs="仿宋"/>
          <w:b/>
          <w:sz w:val="44"/>
          <w:lang w:val="en-US" w:eastAsia="zh-CN"/>
        </w:rPr>
        <w:t>报 价 资 格</w:t>
      </w:r>
      <w:r>
        <w:rPr>
          <w:rFonts w:hint="eastAsia" w:ascii="仿宋" w:hAnsi="仿宋" w:eastAsia="仿宋" w:cs="仿宋"/>
          <w:b/>
          <w:sz w:val="44"/>
        </w:rPr>
        <w:t xml:space="preserve"> 一 览 表</w:t>
      </w:r>
    </w:p>
    <w:p w14:paraId="5A6FD88B">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0CDC75A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绍兴市再生能源发展有限公司2026年度土壤地下水自行监测、有毒有害物质排放报告编制 </w:t>
      </w:r>
      <w:r>
        <w:rPr>
          <w:rFonts w:hint="eastAsia" w:ascii="仿宋" w:hAnsi="仿宋" w:eastAsia="仿宋" w:cs="仿宋"/>
          <w:sz w:val="30"/>
          <w:szCs w:val="30"/>
          <w:u w:val="none"/>
          <w:lang w:val="en-US" w:eastAsia="zh-CN"/>
        </w:rPr>
        <w:t>项目。</w:t>
      </w:r>
    </w:p>
    <w:tbl>
      <w:tblPr>
        <w:tblStyle w:val="13"/>
        <w:tblW w:w="9999" w:type="dxa"/>
        <w:jc w:val="center"/>
        <w:tblLayout w:type="fixed"/>
        <w:tblCellMar>
          <w:top w:w="0" w:type="dxa"/>
          <w:left w:w="108" w:type="dxa"/>
          <w:bottom w:w="0" w:type="dxa"/>
          <w:right w:w="108" w:type="dxa"/>
        </w:tblCellMar>
      </w:tblPr>
      <w:tblGrid>
        <w:gridCol w:w="578"/>
        <w:gridCol w:w="1755"/>
        <w:gridCol w:w="3780"/>
        <w:gridCol w:w="1980"/>
        <w:gridCol w:w="1906"/>
      </w:tblGrid>
      <w:tr w14:paraId="47F5FD2C">
        <w:tblPrEx>
          <w:tblCellMar>
            <w:top w:w="0" w:type="dxa"/>
            <w:left w:w="108" w:type="dxa"/>
            <w:bottom w:w="0" w:type="dxa"/>
            <w:right w:w="108" w:type="dxa"/>
          </w:tblCellMar>
        </w:tblPrEx>
        <w:trPr>
          <w:trHeight w:val="1177"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172C2BF4">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序号</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1B70D0AF">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评审项目</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7474ABFC">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资格要求详情</w:t>
            </w:r>
          </w:p>
        </w:tc>
        <w:tc>
          <w:tcPr>
            <w:tcW w:w="1980" w:type="dxa"/>
            <w:tcBorders>
              <w:top w:val="single" w:color="auto" w:sz="6" w:space="0"/>
              <w:left w:val="single" w:color="auto" w:sz="6" w:space="0"/>
              <w:bottom w:val="single" w:color="auto" w:sz="6" w:space="0"/>
              <w:right w:val="single" w:color="auto" w:sz="6" w:space="0"/>
            </w:tcBorders>
            <w:noWrap w:val="0"/>
            <w:vAlign w:val="center"/>
          </w:tcPr>
          <w:p w14:paraId="71F1A212">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投标人响应情况</w:t>
            </w:r>
            <w:r>
              <w:rPr>
                <w:rFonts w:hint="eastAsia" w:ascii="仿宋" w:hAnsi="仿宋" w:eastAsia="仿宋" w:cs="仿宋"/>
                <w:b w:val="0"/>
                <w:bCs w:val="0"/>
                <w:kern w:val="0"/>
                <w:sz w:val="24"/>
                <w:szCs w:val="24"/>
                <w:lang w:val="en-US" w:eastAsia="zh-CN" w:bidi="ar"/>
              </w:rPr>
              <w:br w:type="textWrapping"/>
            </w:r>
            <w:r>
              <w:rPr>
                <w:rFonts w:hint="eastAsia" w:ascii="仿宋" w:hAnsi="仿宋" w:eastAsia="仿宋" w:cs="仿宋"/>
                <w:b w:val="0"/>
                <w:bCs w:val="0"/>
                <w:kern w:val="0"/>
                <w:sz w:val="24"/>
                <w:szCs w:val="24"/>
                <w:lang w:val="en-US" w:eastAsia="zh-CN" w:bidi="ar"/>
              </w:rPr>
              <w:t>(请填写：满足/不满足)</w:t>
            </w:r>
          </w:p>
        </w:tc>
        <w:tc>
          <w:tcPr>
            <w:tcW w:w="1906" w:type="dxa"/>
            <w:tcBorders>
              <w:top w:val="single" w:color="auto" w:sz="6" w:space="0"/>
              <w:left w:val="single" w:color="auto" w:sz="6" w:space="0"/>
              <w:bottom w:val="single" w:color="auto" w:sz="6" w:space="0"/>
              <w:right w:val="single" w:color="auto" w:sz="6" w:space="0"/>
            </w:tcBorders>
            <w:noWrap w:val="0"/>
            <w:vAlign w:val="center"/>
          </w:tcPr>
          <w:p w14:paraId="4969EE37">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证明材料索引</w:t>
            </w:r>
            <w:r>
              <w:rPr>
                <w:rFonts w:hint="eastAsia" w:ascii="仿宋" w:hAnsi="仿宋" w:eastAsia="仿宋" w:cs="仿宋"/>
                <w:b w:val="0"/>
                <w:bCs w:val="0"/>
                <w:kern w:val="0"/>
                <w:sz w:val="24"/>
                <w:szCs w:val="24"/>
                <w:lang w:val="en-US" w:eastAsia="zh-CN" w:bidi="ar"/>
              </w:rPr>
              <w:br w:type="textWrapping"/>
            </w:r>
            <w:r>
              <w:rPr>
                <w:rFonts w:hint="eastAsia" w:ascii="仿宋" w:hAnsi="仿宋" w:eastAsia="仿宋" w:cs="仿宋"/>
                <w:b w:val="0"/>
                <w:bCs w:val="0"/>
                <w:kern w:val="0"/>
                <w:sz w:val="24"/>
                <w:szCs w:val="24"/>
                <w:lang w:val="en-US" w:eastAsia="zh-CN" w:bidi="ar"/>
              </w:rPr>
              <w:t>(请填写证明文件所在的页码)</w:t>
            </w:r>
          </w:p>
        </w:tc>
      </w:tr>
      <w:tr w14:paraId="0E9667DD">
        <w:tblPrEx>
          <w:tblCellMar>
            <w:top w:w="0" w:type="dxa"/>
            <w:left w:w="108" w:type="dxa"/>
            <w:bottom w:w="0" w:type="dxa"/>
            <w:right w:w="108" w:type="dxa"/>
          </w:tblCellMar>
        </w:tblPrEx>
        <w:trPr>
          <w:trHeight w:val="1770"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0DAB7B9D">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1</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51F5D605">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color w:val="auto"/>
                <w:sz w:val="24"/>
                <w:szCs w:val="24"/>
                <w:highlight w:val="none"/>
              </w:rPr>
              <w:t>检验检测机构资质认定证书（CMA）</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61C13146">
            <w:pPr>
              <w:keepNext w:val="0"/>
              <w:keepLines w:val="0"/>
              <w:widowControl/>
              <w:suppressLineNumbers w:val="0"/>
              <w:jc w:val="left"/>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color w:val="auto"/>
                <w:sz w:val="24"/>
                <w:szCs w:val="24"/>
                <w:highlight w:val="none"/>
              </w:rPr>
              <w:t>须具备省级及以上市场监督管理局核发的检验检测机构资质认定证书（CMA资质证书）</w:t>
            </w:r>
          </w:p>
        </w:tc>
        <w:tc>
          <w:tcPr>
            <w:tcW w:w="1980" w:type="dxa"/>
            <w:tcBorders>
              <w:top w:val="single" w:color="auto" w:sz="6" w:space="0"/>
              <w:left w:val="single" w:color="auto" w:sz="6" w:space="0"/>
              <w:bottom w:val="single" w:color="auto" w:sz="6" w:space="0"/>
              <w:right w:val="single" w:color="auto" w:sz="6" w:space="0"/>
            </w:tcBorders>
            <w:noWrap w:val="0"/>
            <w:vAlign w:val="top"/>
          </w:tcPr>
          <w:p w14:paraId="4460A7E7">
            <w:pPr>
              <w:autoSpaceDE w:val="0"/>
              <w:autoSpaceDN w:val="0"/>
              <w:spacing w:line="360" w:lineRule="auto"/>
              <w:jc w:val="center"/>
              <w:rPr>
                <w:rFonts w:hint="eastAsia" w:ascii="仿宋" w:hAnsi="仿宋" w:eastAsia="仿宋" w:cs="仿宋"/>
                <w:color w:val="auto"/>
                <w:sz w:val="24"/>
                <w:szCs w:val="24"/>
                <w:highlight w:val="none"/>
              </w:rPr>
            </w:pPr>
          </w:p>
        </w:tc>
        <w:tc>
          <w:tcPr>
            <w:tcW w:w="1906" w:type="dxa"/>
            <w:tcBorders>
              <w:top w:val="single" w:color="auto" w:sz="6" w:space="0"/>
              <w:left w:val="single" w:color="auto" w:sz="6" w:space="0"/>
              <w:bottom w:val="single" w:color="auto" w:sz="6" w:space="0"/>
              <w:right w:val="single" w:color="auto" w:sz="6" w:space="0"/>
            </w:tcBorders>
            <w:noWrap w:val="0"/>
            <w:vAlign w:val="top"/>
          </w:tcPr>
          <w:p w14:paraId="55B9DD8F">
            <w:pPr>
              <w:autoSpaceDE w:val="0"/>
              <w:autoSpaceDN w:val="0"/>
              <w:spacing w:line="360" w:lineRule="auto"/>
              <w:jc w:val="center"/>
              <w:rPr>
                <w:rFonts w:hint="eastAsia" w:ascii="仿宋" w:hAnsi="仿宋" w:eastAsia="仿宋" w:cs="仿宋"/>
                <w:color w:val="auto"/>
                <w:sz w:val="24"/>
                <w:szCs w:val="24"/>
                <w:highlight w:val="none"/>
              </w:rPr>
            </w:pPr>
          </w:p>
        </w:tc>
      </w:tr>
      <w:tr w14:paraId="0A1451B8">
        <w:tblPrEx>
          <w:tblCellMar>
            <w:top w:w="0" w:type="dxa"/>
            <w:left w:w="108" w:type="dxa"/>
            <w:bottom w:w="0" w:type="dxa"/>
            <w:right w:w="108" w:type="dxa"/>
          </w:tblCellMar>
        </w:tblPrEx>
        <w:trPr>
          <w:trHeight w:val="1666"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1A1FA35F">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2</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1083C774">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color w:val="auto"/>
                <w:sz w:val="24"/>
                <w:szCs w:val="24"/>
                <w:highlight w:val="none"/>
              </w:rPr>
              <w:t>实验室认可证书（CNAS）</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433ADD9E">
            <w:pPr>
              <w:keepNext w:val="0"/>
              <w:keepLines w:val="0"/>
              <w:widowControl/>
              <w:suppressLineNumbers w:val="0"/>
              <w:jc w:val="left"/>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color w:val="auto"/>
                <w:sz w:val="24"/>
                <w:szCs w:val="24"/>
                <w:highlight w:val="none"/>
              </w:rPr>
              <w:t>须具备有效期内的经中国合格评定国家认可委员会（CNAS）认可的实验室认可证书</w:t>
            </w:r>
          </w:p>
        </w:tc>
        <w:tc>
          <w:tcPr>
            <w:tcW w:w="1980" w:type="dxa"/>
            <w:tcBorders>
              <w:top w:val="single" w:color="auto" w:sz="6" w:space="0"/>
              <w:left w:val="single" w:color="auto" w:sz="6" w:space="0"/>
              <w:bottom w:val="single" w:color="auto" w:sz="6" w:space="0"/>
              <w:right w:val="single" w:color="auto" w:sz="6" w:space="0"/>
            </w:tcBorders>
            <w:noWrap w:val="0"/>
            <w:vAlign w:val="top"/>
          </w:tcPr>
          <w:p w14:paraId="598F43AF">
            <w:pPr>
              <w:autoSpaceDE w:val="0"/>
              <w:autoSpaceDN w:val="0"/>
              <w:spacing w:line="360" w:lineRule="auto"/>
              <w:jc w:val="center"/>
              <w:rPr>
                <w:rFonts w:hint="eastAsia" w:ascii="仿宋" w:hAnsi="仿宋" w:eastAsia="仿宋" w:cs="仿宋"/>
                <w:color w:val="auto"/>
                <w:sz w:val="24"/>
                <w:szCs w:val="24"/>
                <w:highlight w:val="none"/>
              </w:rPr>
            </w:pPr>
          </w:p>
        </w:tc>
        <w:tc>
          <w:tcPr>
            <w:tcW w:w="1906" w:type="dxa"/>
            <w:tcBorders>
              <w:top w:val="single" w:color="auto" w:sz="6" w:space="0"/>
              <w:left w:val="single" w:color="auto" w:sz="6" w:space="0"/>
              <w:bottom w:val="single" w:color="auto" w:sz="6" w:space="0"/>
              <w:right w:val="single" w:color="auto" w:sz="6" w:space="0"/>
            </w:tcBorders>
            <w:noWrap w:val="0"/>
            <w:vAlign w:val="top"/>
          </w:tcPr>
          <w:p w14:paraId="03539EF3">
            <w:pPr>
              <w:autoSpaceDE w:val="0"/>
              <w:autoSpaceDN w:val="0"/>
              <w:spacing w:line="360" w:lineRule="auto"/>
              <w:jc w:val="center"/>
              <w:rPr>
                <w:rFonts w:hint="eastAsia" w:ascii="仿宋" w:hAnsi="仿宋" w:eastAsia="仿宋" w:cs="仿宋"/>
                <w:color w:val="auto"/>
                <w:sz w:val="24"/>
                <w:szCs w:val="24"/>
                <w:highlight w:val="none"/>
              </w:rPr>
            </w:pPr>
          </w:p>
        </w:tc>
      </w:tr>
    </w:tbl>
    <w:p w14:paraId="3E8D17FC">
      <w:pPr>
        <w:pStyle w:val="20"/>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textAlignment w:val="baseline"/>
        <w:rPr>
          <w:rFonts w:hint="eastAsia" w:ascii="仿宋" w:hAnsi="仿宋" w:eastAsia="仿宋" w:cs="仿宋"/>
          <w:b/>
          <w:bCs w:val="0"/>
          <w:color w:val="FF0000"/>
          <w:sz w:val="28"/>
          <w:szCs w:val="28"/>
          <w:lang w:val="en-US" w:eastAsia="zh-CN"/>
        </w:rPr>
      </w:pPr>
    </w:p>
    <w:p w14:paraId="06F2C8A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8DA889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1、报价资格一览表内不得显示价格。</w:t>
      </w:r>
    </w:p>
    <w:p w14:paraId="2115B25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2、须随表提交相应的证明材料，装订成册。</w:t>
      </w:r>
    </w:p>
    <w:p w14:paraId="4A5B8B1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b/>
          <w:bCs/>
          <w:color w:val="FF0000"/>
          <w:sz w:val="30"/>
          <w:szCs w:val="30"/>
          <w:highlight w:val="none"/>
          <w:lang w:val="en-US" w:eastAsia="zh-CN"/>
        </w:rPr>
      </w:pPr>
      <w:r>
        <w:rPr>
          <w:rFonts w:hint="eastAsia" w:ascii="仿宋_GB2312" w:eastAsia="仿宋_GB2312"/>
          <w:color w:val="FF0000"/>
          <w:kern w:val="2"/>
          <w:sz w:val="30"/>
          <w:szCs w:val="30"/>
          <w:highlight w:val="none"/>
          <w:lang w:val="en-US" w:eastAsia="zh-CN"/>
        </w:rPr>
        <w:t>3、此附表需与报价文件分开包装，封装方式与报价文件相同（正本1份，副本4份），共同递交至绍兴市再生能源发展有限公司综合楼一楼投标箱。</w:t>
      </w:r>
    </w:p>
    <w:p w14:paraId="70CF1B39">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仿宋" w:hAnsi="仿宋" w:eastAsia="仿宋" w:cs="仿宋"/>
          <w:sz w:val="30"/>
          <w:szCs w:val="30"/>
          <w:lang w:val="en-US" w:eastAsia="zh-CN"/>
        </w:rPr>
      </w:pPr>
      <w:r>
        <w:rPr>
          <w:rFonts w:hint="eastAsia" w:ascii="仿宋_GB2312" w:eastAsia="仿宋_GB2312"/>
          <w:b/>
          <w:bCs/>
          <w:color w:val="FF0000"/>
          <w:kern w:val="2"/>
          <w:sz w:val="30"/>
          <w:szCs w:val="30"/>
          <w:highlight w:val="none"/>
          <w:lang w:eastAsia="zh-CN"/>
        </w:rPr>
        <w:t>【未满足</w:t>
      </w:r>
      <w:r>
        <w:rPr>
          <w:rFonts w:hint="eastAsia" w:ascii="仿宋_GB2312" w:eastAsia="仿宋_GB2312"/>
          <w:b/>
          <w:bCs/>
          <w:color w:val="FF0000"/>
          <w:kern w:val="2"/>
          <w:sz w:val="30"/>
          <w:szCs w:val="30"/>
          <w:highlight w:val="none"/>
          <w:lang w:val="en-US" w:eastAsia="zh-CN"/>
        </w:rPr>
        <w:t>以上</w:t>
      </w:r>
      <w:r>
        <w:rPr>
          <w:rFonts w:hint="eastAsia" w:ascii="仿宋_GB2312" w:eastAsia="仿宋_GB2312"/>
          <w:b/>
          <w:bCs/>
          <w:color w:val="FF0000"/>
          <w:kern w:val="2"/>
          <w:sz w:val="30"/>
          <w:szCs w:val="30"/>
          <w:highlight w:val="none"/>
          <w:lang w:eastAsia="zh-CN"/>
        </w:rPr>
        <w:t>条件则视为无效投标，</w:t>
      </w:r>
      <w:r>
        <w:rPr>
          <w:rFonts w:hint="eastAsia" w:ascii="仿宋_GB2312" w:eastAsia="仿宋_GB2312"/>
          <w:b/>
          <w:bCs/>
          <w:color w:val="FF0000"/>
          <w:kern w:val="2"/>
          <w:sz w:val="30"/>
          <w:szCs w:val="30"/>
          <w:highlight w:val="none"/>
          <w:lang w:val="en-US" w:eastAsia="zh-CN"/>
        </w:rPr>
        <w:t>且报价文件一同作废，不再进入后续的评审与比较环节</w:t>
      </w:r>
      <w:r>
        <w:rPr>
          <w:rFonts w:hint="eastAsia" w:ascii="仿宋_GB2312" w:eastAsia="仿宋_GB2312"/>
          <w:b/>
          <w:bCs/>
          <w:color w:val="FF0000"/>
          <w:kern w:val="2"/>
          <w:sz w:val="30"/>
          <w:szCs w:val="30"/>
          <w:highlight w:val="none"/>
          <w:lang w:eastAsia="zh-CN"/>
        </w:rPr>
        <w:t>】</w:t>
      </w:r>
    </w:p>
    <w:p w14:paraId="47734B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614024F6">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rPr>
      </w:pPr>
    </w:p>
    <w:p w14:paraId="5E4F92D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p>
    <w:p w14:paraId="68506379">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5D6791C7">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2ECE39BF">
      <w:pPr>
        <w:jc w:val="left"/>
        <w:outlineLvl w:val="0"/>
        <w:rPr>
          <w:rStyle w:val="21"/>
          <w:rFonts w:hint="eastAsia" w:ascii="仿宋" w:hAnsi="仿宋" w:eastAsia="仿宋" w:cs="仿宋"/>
          <w:sz w:val="30"/>
        </w:rPr>
      </w:pPr>
    </w:p>
    <w:p w14:paraId="4A931E0D">
      <w:pPr>
        <w:jc w:val="left"/>
        <w:outlineLvl w:val="0"/>
        <w:rPr>
          <w:rStyle w:val="21"/>
          <w:rFonts w:hint="eastAsia" w:ascii="仿宋" w:hAnsi="仿宋" w:eastAsia="仿宋" w:cs="仿宋"/>
          <w:sz w:val="30"/>
        </w:rPr>
      </w:pPr>
    </w:p>
    <w:p w14:paraId="289347F0">
      <w:pPr>
        <w:jc w:val="left"/>
        <w:outlineLvl w:val="0"/>
        <w:rPr>
          <w:rStyle w:val="21"/>
          <w:rFonts w:hint="eastAsia" w:ascii="仿宋" w:hAnsi="仿宋" w:eastAsia="仿宋" w:cs="仿宋"/>
          <w:sz w:val="30"/>
        </w:rPr>
      </w:pPr>
    </w:p>
    <w:p w14:paraId="714DA679">
      <w:pPr>
        <w:jc w:val="left"/>
        <w:outlineLvl w:val="0"/>
        <w:rPr>
          <w:rStyle w:val="21"/>
          <w:rFonts w:hint="eastAsia" w:ascii="仿宋" w:hAnsi="仿宋" w:eastAsia="仿宋" w:cs="仿宋"/>
          <w:sz w:val="30"/>
        </w:rPr>
      </w:pPr>
    </w:p>
    <w:p w14:paraId="5F2355C8">
      <w:pPr>
        <w:jc w:val="left"/>
        <w:outlineLvl w:val="0"/>
        <w:rPr>
          <w:rStyle w:val="21"/>
          <w:rFonts w:hint="eastAsia" w:ascii="仿宋" w:hAnsi="仿宋" w:eastAsia="仿宋" w:cs="仿宋"/>
          <w:sz w:val="30"/>
        </w:rPr>
      </w:pPr>
    </w:p>
    <w:p w14:paraId="41836E8B">
      <w:pPr>
        <w:jc w:val="left"/>
        <w:outlineLvl w:val="0"/>
        <w:rPr>
          <w:rStyle w:val="21"/>
          <w:rFonts w:hint="eastAsia" w:ascii="仿宋" w:hAnsi="仿宋" w:eastAsia="仿宋" w:cs="仿宋"/>
          <w:sz w:val="30"/>
        </w:rPr>
      </w:pPr>
    </w:p>
    <w:p w14:paraId="5E6F0AB0">
      <w:pPr>
        <w:jc w:val="left"/>
        <w:outlineLvl w:val="0"/>
        <w:rPr>
          <w:rStyle w:val="21"/>
          <w:rFonts w:hint="eastAsia" w:ascii="仿宋" w:hAnsi="仿宋" w:eastAsia="仿宋" w:cs="仿宋"/>
          <w:sz w:val="30"/>
        </w:rPr>
      </w:pPr>
    </w:p>
    <w:p w14:paraId="2A6C9D94">
      <w:pPr>
        <w:jc w:val="left"/>
        <w:outlineLvl w:val="0"/>
        <w:rPr>
          <w:rStyle w:val="21"/>
          <w:rFonts w:hint="eastAsia" w:ascii="仿宋" w:hAnsi="仿宋" w:eastAsia="仿宋" w:cs="仿宋"/>
          <w:sz w:val="30"/>
        </w:rPr>
      </w:pPr>
    </w:p>
    <w:p w14:paraId="49FC582B">
      <w:pPr>
        <w:jc w:val="left"/>
        <w:outlineLvl w:val="0"/>
        <w:rPr>
          <w:rStyle w:val="21"/>
          <w:rFonts w:hint="eastAsia" w:ascii="仿宋" w:hAnsi="仿宋" w:eastAsia="仿宋" w:cs="仿宋"/>
          <w:sz w:val="30"/>
        </w:rPr>
      </w:pPr>
    </w:p>
    <w:p w14:paraId="48887529">
      <w:pPr>
        <w:jc w:val="left"/>
        <w:outlineLvl w:val="0"/>
        <w:rPr>
          <w:rStyle w:val="21"/>
          <w:rFonts w:hint="eastAsia" w:ascii="仿宋" w:hAnsi="仿宋" w:eastAsia="仿宋" w:cs="仿宋"/>
          <w:sz w:val="30"/>
        </w:rPr>
      </w:pPr>
    </w:p>
    <w:p w14:paraId="764599F8">
      <w:pPr>
        <w:jc w:val="left"/>
        <w:outlineLvl w:val="0"/>
        <w:rPr>
          <w:rStyle w:val="21"/>
          <w:rFonts w:hint="eastAsia" w:ascii="仿宋" w:hAnsi="仿宋" w:eastAsia="仿宋" w:cs="仿宋"/>
          <w:sz w:val="30"/>
        </w:rPr>
      </w:pPr>
    </w:p>
    <w:p w14:paraId="60289D8E">
      <w:pPr>
        <w:jc w:val="left"/>
        <w:outlineLvl w:val="0"/>
        <w:rPr>
          <w:rStyle w:val="21"/>
          <w:rFonts w:hint="eastAsia" w:ascii="仿宋" w:hAnsi="仿宋" w:eastAsia="仿宋" w:cs="仿宋"/>
          <w:sz w:val="30"/>
        </w:rPr>
      </w:pPr>
    </w:p>
    <w:p w14:paraId="0FC3E4AF">
      <w:pPr>
        <w:jc w:val="left"/>
        <w:outlineLvl w:val="0"/>
        <w:rPr>
          <w:rStyle w:val="21"/>
          <w:rFonts w:hint="eastAsia" w:ascii="仿宋" w:hAnsi="仿宋" w:eastAsia="仿宋" w:cs="仿宋"/>
          <w:sz w:val="30"/>
        </w:rPr>
      </w:pPr>
    </w:p>
    <w:p w14:paraId="2C9A322D">
      <w:pPr>
        <w:jc w:val="left"/>
        <w:outlineLvl w:val="0"/>
        <w:rPr>
          <w:rStyle w:val="21"/>
          <w:rFonts w:hint="eastAsia" w:ascii="仿宋" w:hAnsi="仿宋" w:eastAsia="仿宋" w:cs="仿宋"/>
          <w:sz w:val="30"/>
        </w:rPr>
      </w:pPr>
    </w:p>
    <w:p w14:paraId="566F031E">
      <w:pPr>
        <w:jc w:val="left"/>
        <w:outlineLvl w:val="0"/>
        <w:rPr>
          <w:rStyle w:val="21"/>
          <w:rFonts w:hint="eastAsia" w:ascii="仿宋" w:hAnsi="仿宋" w:eastAsia="仿宋" w:cs="仿宋"/>
          <w:sz w:val="30"/>
        </w:rPr>
      </w:pPr>
    </w:p>
    <w:p w14:paraId="0272915C">
      <w:pPr>
        <w:jc w:val="left"/>
        <w:outlineLvl w:val="0"/>
        <w:rPr>
          <w:rStyle w:val="21"/>
          <w:rFonts w:hint="eastAsia" w:ascii="仿宋" w:hAnsi="仿宋" w:eastAsia="仿宋" w:cs="仿宋"/>
          <w:sz w:val="30"/>
        </w:rPr>
      </w:pPr>
    </w:p>
    <w:p w14:paraId="657D6C18">
      <w:pPr>
        <w:jc w:val="left"/>
        <w:outlineLvl w:val="0"/>
        <w:rPr>
          <w:rStyle w:val="21"/>
          <w:rFonts w:hint="eastAsia" w:ascii="仿宋" w:hAnsi="仿宋" w:eastAsia="仿宋" w:cs="仿宋"/>
          <w:sz w:val="30"/>
        </w:rPr>
      </w:pPr>
    </w:p>
    <w:p w14:paraId="0DF354F1">
      <w:pPr>
        <w:jc w:val="left"/>
        <w:outlineLvl w:val="0"/>
        <w:rPr>
          <w:rStyle w:val="21"/>
          <w:rFonts w:hint="eastAsia" w:ascii="仿宋" w:hAnsi="仿宋" w:eastAsia="仿宋" w:cs="仿宋"/>
          <w:sz w:val="30"/>
        </w:rPr>
      </w:pPr>
    </w:p>
    <w:p w14:paraId="748C5A06">
      <w:pPr>
        <w:jc w:val="left"/>
        <w:outlineLvl w:val="0"/>
        <w:rPr>
          <w:rStyle w:val="21"/>
          <w:rFonts w:hint="eastAsia" w:ascii="仿宋" w:hAnsi="仿宋" w:eastAsia="仿宋" w:cs="仿宋"/>
          <w:sz w:val="30"/>
        </w:rPr>
      </w:pPr>
    </w:p>
    <w:p w14:paraId="4B91D774">
      <w:pPr>
        <w:jc w:val="left"/>
        <w:outlineLvl w:val="0"/>
        <w:rPr>
          <w:rStyle w:val="21"/>
          <w:rFonts w:hint="eastAsia" w:ascii="仿宋" w:hAnsi="仿宋" w:eastAsia="仿宋" w:cs="仿宋"/>
          <w:sz w:val="30"/>
        </w:rPr>
      </w:pPr>
    </w:p>
    <w:p w14:paraId="045C7AB0">
      <w:pPr>
        <w:jc w:val="left"/>
        <w:outlineLvl w:val="0"/>
        <w:rPr>
          <w:rStyle w:val="21"/>
          <w:rFonts w:hint="eastAsia" w:ascii="仿宋" w:hAnsi="仿宋" w:eastAsia="仿宋" w:cs="仿宋"/>
          <w:sz w:val="30"/>
        </w:rPr>
      </w:pPr>
    </w:p>
    <w:p w14:paraId="2BBCBD9C">
      <w:pPr>
        <w:jc w:val="left"/>
        <w:outlineLvl w:val="0"/>
        <w:rPr>
          <w:rStyle w:val="21"/>
          <w:rFonts w:hint="eastAsia" w:ascii="仿宋" w:hAnsi="仿宋" w:eastAsia="仿宋" w:cs="仿宋"/>
          <w:sz w:val="30"/>
        </w:rPr>
      </w:pPr>
    </w:p>
    <w:p w14:paraId="679AED15">
      <w:pPr>
        <w:jc w:val="left"/>
        <w:outlineLvl w:val="0"/>
        <w:rPr>
          <w:rStyle w:val="21"/>
          <w:rFonts w:hint="eastAsia" w:ascii="仿宋" w:hAnsi="仿宋" w:eastAsia="仿宋" w:cs="仿宋"/>
          <w:sz w:val="30"/>
        </w:rPr>
      </w:pPr>
    </w:p>
    <w:p w14:paraId="04507092">
      <w:pPr>
        <w:jc w:val="left"/>
        <w:outlineLvl w:val="0"/>
        <w:rPr>
          <w:rStyle w:val="21"/>
          <w:rFonts w:hint="eastAsia" w:ascii="仿宋" w:hAnsi="仿宋" w:eastAsia="仿宋" w:cs="仿宋"/>
          <w:sz w:val="30"/>
        </w:rPr>
      </w:pPr>
    </w:p>
    <w:p w14:paraId="76DD92E9">
      <w:pPr>
        <w:jc w:val="left"/>
        <w:outlineLvl w:val="0"/>
        <w:rPr>
          <w:rStyle w:val="21"/>
          <w:rFonts w:hint="eastAsia" w:ascii="仿宋" w:hAnsi="仿宋" w:eastAsia="仿宋" w:cs="仿宋"/>
          <w:sz w:val="30"/>
        </w:rPr>
      </w:pPr>
    </w:p>
    <w:p w14:paraId="06FFBA61">
      <w:pPr>
        <w:jc w:val="left"/>
        <w:outlineLvl w:val="0"/>
        <w:rPr>
          <w:rStyle w:val="21"/>
          <w:rFonts w:hint="eastAsia" w:ascii="仿宋" w:hAnsi="仿宋" w:eastAsia="仿宋" w:cs="仿宋"/>
          <w:sz w:val="30"/>
        </w:rPr>
      </w:pPr>
    </w:p>
    <w:p w14:paraId="2D140C18">
      <w:pPr>
        <w:jc w:val="left"/>
        <w:outlineLvl w:val="0"/>
        <w:rPr>
          <w:rStyle w:val="21"/>
          <w:rFonts w:hint="eastAsia" w:ascii="仿宋" w:hAnsi="仿宋" w:eastAsia="仿宋" w:cs="仿宋"/>
          <w:sz w:val="30"/>
        </w:rPr>
      </w:pPr>
    </w:p>
    <w:p w14:paraId="76B888A8">
      <w:pPr>
        <w:jc w:val="left"/>
        <w:outlineLvl w:val="0"/>
        <w:rPr>
          <w:rStyle w:val="21"/>
          <w:rFonts w:hint="eastAsia" w:ascii="仿宋" w:hAnsi="仿宋" w:eastAsia="仿宋" w:cs="仿宋"/>
          <w:sz w:val="30"/>
        </w:rPr>
      </w:pPr>
    </w:p>
    <w:p w14:paraId="336E927E">
      <w:pPr>
        <w:jc w:val="left"/>
        <w:outlineLvl w:val="0"/>
        <w:rPr>
          <w:rStyle w:val="21"/>
          <w:rFonts w:hint="eastAsia" w:ascii="仿宋" w:hAnsi="仿宋" w:eastAsia="仿宋" w:cs="仿宋"/>
          <w:sz w:val="30"/>
        </w:rPr>
      </w:pPr>
    </w:p>
    <w:p w14:paraId="08CA967B">
      <w:pPr>
        <w:jc w:val="left"/>
        <w:outlineLvl w:val="0"/>
        <w:rPr>
          <w:rStyle w:val="21"/>
          <w:rFonts w:hint="eastAsia" w:ascii="仿宋" w:hAnsi="仿宋" w:eastAsia="仿宋" w:cs="仿宋"/>
          <w:sz w:val="30"/>
        </w:rPr>
      </w:pPr>
      <w:bookmarkStart w:id="18" w:name="_Toc32040"/>
      <w:r>
        <w:rPr>
          <w:rStyle w:val="21"/>
          <w:rFonts w:hint="eastAsia" w:ascii="仿宋" w:hAnsi="仿宋" w:eastAsia="仿宋" w:cs="仿宋"/>
          <w:sz w:val="30"/>
        </w:rPr>
        <w:t>附件二：</w:t>
      </w:r>
      <w:bookmarkEnd w:id="18"/>
      <w:r>
        <w:rPr>
          <w:rStyle w:val="21"/>
          <w:rFonts w:hint="eastAsia" w:ascii="仿宋" w:hAnsi="仿宋" w:eastAsia="仿宋" w:cs="仿宋"/>
          <w:sz w:val="30"/>
        </w:rPr>
        <w:t xml:space="preserve">  </w:t>
      </w:r>
    </w:p>
    <w:p w14:paraId="2ECC617D">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42106014">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64A5D01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2026年度土壤地下水自行监测、有毒有害物质排放报告编制 </w:t>
      </w:r>
      <w:r>
        <w:rPr>
          <w:rFonts w:hint="eastAsia" w:ascii="仿宋" w:hAnsi="仿宋" w:eastAsia="仿宋" w:cs="仿宋"/>
          <w:sz w:val="30"/>
          <w:szCs w:val="30"/>
          <w:u w:val="none"/>
          <w:lang w:val="en-US" w:eastAsia="zh-CN"/>
        </w:rPr>
        <w:t>项目。</w:t>
      </w:r>
    </w:p>
    <w:tbl>
      <w:tblPr>
        <w:tblStyle w:val="13"/>
        <w:tblW w:w="5000" w:type="pct"/>
        <w:jc w:val="center"/>
        <w:tblLayout w:type="fixed"/>
        <w:tblCellMar>
          <w:top w:w="0" w:type="dxa"/>
          <w:left w:w="108" w:type="dxa"/>
          <w:bottom w:w="0" w:type="dxa"/>
          <w:right w:w="108" w:type="dxa"/>
        </w:tblCellMar>
      </w:tblPr>
      <w:tblGrid>
        <w:gridCol w:w="556"/>
        <w:gridCol w:w="2060"/>
        <w:gridCol w:w="3594"/>
        <w:gridCol w:w="962"/>
        <w:gridCol w:w="909"/>
        <w:gridCol w:w="1207"/>
      </w:tblGrid>
      <w:tr w14:paraId="79CF91F7">
        <w:tblPrEx>
          <w:tblCellMar>
            <w:top w:w="0" w:type="dxa"/>
            <w:left w:w="108" w:type="dxa"/>
            <w:bottom w:w="0" w:type="dxa"/>
            <w:right w:w="108" w:type="dxa"/>
          </w:tblCellMar>
        </w:tblPrEx>
        <w:trPr>
          <w:trHeight w:val="581" w:hRule="atLeast"/>
          <w:jc w:val="center"/>
        </w:trPr>
        <w:tc>
          <w:tcPr>
            <w:tcW w:w="556" w:type="dxa"/>
            <w:tcBorders>
              <w:top w:val="single" w:color="000000" w:sz="4" w:space="0"/>
              <w:left w:val="single" w:color="000000" w:sz="4" w:space="0"/>
              <w:bottom w:val="single" w:color="000000" w:sz="4" w:space="0"/>
              <w:right w:val="single" w:color="000000" w:sz="4" w:space="0"/>
            </w:tcBorders>
            <w:noWrap/>
            <w:vAlign w:val="center"/>
          </w:tcPr>
          <w:p w14:paraId="5DBDEB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060" w:type="dxa"/>
            <w:tcBorders>
              <w:top w:val="single" w:color="000000" w:sz="4" w:space="0"/>
              <w:left w:val="single" w:color="000000" w:sz="4" w:space="0"/>
              <w:bottom w:val="single" w:color="000000" w:sz="4" w:space="0"/>
              <w:right w:val="single" w:color="000000" w:sz="4" w:space="0"/>
            </w:tcBorders>
            <w:noWrap/>
            <w:vAlign w:val="center"/>
          </w:tcPr>
          <w:p w14:paraId="086B25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内容</w:t>
            </w:r>
          </w:p>
        </w:tc>
        <w:tc>
          <w:tcPr>
            <w:tcW w:w="3594" w:type="dxa"/>
            <w:tcBorders>
              <w:top w:val="single" w:color="000000" w:sz="4" w:space="0"/>
              <w:left w:val="single" w:color="000000" w:sz="4" w:space="0"/>
              <w:bottom w:val="single" w:color="000000" w:sz="4" w:space="0"/>
              <w:right w:val="single" w:color="000000" w:sz="4" w:space="0"/>
            </w:tcBorders>
            <w:noWrap/>
            <w:vAlign w:val="center"/>
          </w:tcPr>
          <w:p w14:paraId="04AF649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技术要求</w:t>
            </w:r>
          </w:p>
        </w:tc>
        <w:tc>
          <w:tcPr>
            <w:tcW w:w="962" w:type="dxa"/>
            <w:tcBorders>
              <w:top w:val="single" w:color="000000" w:sz="4" w:space="0"/>
              <w:left w:val="single" w:color="000000" w:sz="4" w:space="0"/>
              <w:bottom w:val="single" w:color="000000" w:sz="4" w:space="0"/>
              <w:right w:val="single" w:color="000000" w:sz="4" w:space="0"/>
            </w:tcBorders>
            <w:noWrap/>
            <w:vAlign w:val="center"/>
          </w:tcPr>
          <w:p w14:paraId="1F86AF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909" w:type="dxa"/>
            <w:tcBorders>
              <w:top w:val="single" w:color="000000" w:sz="4" w:space="0"/>
              <w:left w:val="single" w:color="000000" w:sz="4" w:space="0"/>
              <w:bottom w:val="single" w:color="000000" w:sz="4" w:space="0"/>
              <w:right w:val="single" w:color="000000" w:sz="4" w:space="0"/>
            </w:tcBorders>
            <w:noWrap/>
            <w:vAlign w:val="center"/>
          </w:tcPr>
          <w:p w14:paraId="1B8408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207" w:type="dxa"/>
            <w:tcBorders>
              <w:top w:val="single" w:color="000000" w:sz="4" w:space="0"/>
              <w:left w:val="single" w:color="000000" w:sz="4" w:space="0"/>
              <w:bottom w:val="single" w:color="000000" w:sz="4" w:space="0"/>
              <w:right w:val="single" w:color="000000" w:sz="4" w:space="0"/>
            </w:tcBorders>
            <w:noWrap/>
            <w:vAlign w:val="center"/>
          </w:tcPr>
          <w:p w14:paraId="55F4DE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p w14:paraId="0822CA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（元）</w:t>
            </w:r>
          </w:p>
        </w:tc>
      </w:tr>
      <w:tr w14:paraId="31AA46CA">
        <w:tblPrEx>
          <w:tblCellMar>
            <w:top w:w="0" w:type="dxa"/>
            <w:left w:w="108" w:type="dxa"/>
            <w:bottom w:w="0" w:type="dxa"/>
            <w:right w:w="108" w:type="dxa"/>
          </w:tblCellMar>
        </w:tblPrEx>
        <w:trPr>
          <w:trHeight w:val="532" w:hRule="atLeast"/>
          <w:jc w:val="center"/>
        </w:trPr>
        <w:tc>
          <w:tcPr>
            <w:tcW w:w="556" w:type="dxa"/>
            <w:tcBorders>
              <w:top w:val="single" w:color="000000" w:sz="4" w:space="0"/>
              <w:left w:val="single" w:color="000000" w:sz="4" w:space="0"/>
              <w:bottom w:val="single" w:color="000000" w:sz="4" w:space="0"/>
              <w:right w:val="single" w:color="000000" w:sz="4" w:space="0"/>
            </w:tcBorders>
            <w:noWrap/>
            <w:vAlign w:val="center"/>
          </w:tcPr>
          <w:p w14:paraId="595B569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14:paraId="34D9375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default" w:ascii="仿宋" w:hAnsi="仿宋" w:eastAsia="仿宋" w:cs="仿宋"/>
                <w:i w:val="0"/>
                <w:iCs w:val="0"/>
                <w:color w:val="000000"/>
                <w:sz w:val="24"/>
                <w:szCs w:val="24"/>
                <w:highlight w:val="none"/>
                <w:u w:val="none"/>
                <w:lang w:val="en-US" w:eastAsia="zh-CN"/>
              </w:rPr>
              <w:t>年度土壤地下水自行监测服务</w:t>
            </w:r>
          </w:p>
        </w:tc>
        <w:tc>
          <w:tcPr>
            <w:tcW w:w="3594" w:type="dxa"/>
            <w:tcBorders>
              <w:top w:val="single" w:color="000000" w:sz="4" w:space="0"/>
              <w:left w:val="single" w:color="000000" w:sz="4" w:space="0"/>
              <w:bottom w:val="single" w:color="000000" w:sz="4" w:space="0"/>
              <w:right w:val="single" w:color="000000" w:sz="4" w:space="0"/>
            </w:tcBorders>
            <w:noWrap w:val="0"/>
            <w:vAlign w:val="center"/>
          </w:tcPr>
          <w:p w14:paraId="125DDE19">
            <w:pPr>
              <w:keepNext w:val="0"/>
              <w:keepLines w:val="0"/>
              <w:widowControl/>
              <w:suppressLineNumbers w:val="0"/>
              <w:jc w:val="center"/>
              <w:textAlignment w:val="center"/>
              <w:rPr>
                <w:rFonts w:hint="eastAsia" w:ascii="宋体" w:hAnsi="宋体" w:eastAsia="仿宋_GB2312" w:cs="宋体"/>
                <w:kern w:val="0"/>
                <w:sz w:val="24"/>
                <w:lang w:val="en-US" w:eastAsia="zh-CN"/>
              </w:rPr>
            </w:pPr>
            <w:r>
              <w:rPr>
                <w:rFonts w:hint="eastAsia" w:ascii="宋体" w:hAnsi="宋体" w:eastAsia="仿宋_GB2312" w:cs="宋体"/>
                <w:kern w:val="0"/>
                <w:sz w:val="24"/>
                <w:lang w:val="en-US" w:eastAsia="zh-CN"/>
              </w:rPr>
              <w:t>结合《工业企业土壤和地下水自行监测技术指南(试</w:t>
            </w:r>
          </w:p>
          <w:p w14:paraId="2E7B46AE">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仿宋_GB2312" w:cs="宋体"/>
                <w:kern w:val="0"/>
                <w:sz w:val="24"/>
                <w:lang w:val="en-US" w:eastAsia="zh-CN"/>
              </w:rPr>
              <w:t>行)》和现场实际情况，编制自行监测方案，经专家评审后开展监测，地下水一年两次，土壤一年一次；最终编制自行监测报告</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6F2A12AC">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017A8D85">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5D138E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0F44515E">
        <w:tblPrEx>
          <w:tblCellMar>
            <w:top w:w="0" w:type="dxa"/>
            <w:left w:w="108" w:type="dxa"/>
            <w:bottom w:w="0" w:type="dxa"/>
            <w:right w:w="108" w:type="dxa"/>
          </w:tblCellMar>
        </w:tblPrEx>
        <w:trPr>
          <w:trHeight w:val="1681" w:hRule="atLeast"/>
          <w:jc w:val="center"/>
        </w:trPr>
        <w:tc>
          <w:tcPr>
            <w:tcW w:w="556" w:type="dxa"/>
            <w:tcBorders>
              <w:top w:val="single" w:color="000000" w:sz="4" w:space="0"/>
              <w:left w:val="single" w:color="000000" w:sz="4" w:space="0"/>
              <w:bottom w:val="single" w:color="000000" w:sz="4" w:space="0"/>
              <w:right w:val="single" w:color="000000" w:sz="4" w:space="0"/>
            </w:tcBorders>
            <w:noWrap/>
            <w:vAlign w:val="center"/>
          </w:tcPr>
          <w:p w14:paraId="413EBC8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14:paraId="45880E68">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default" w:ascii="仿宋" w:hAnsi="仿宋" w:eastAsia="仿宋" w:cs="仿宋"/>
                <w:i w:val="0"/>
                <w:iCs w:val="0"/>
                <w:color w:val="000000"/>
                <w:sz w:val="24"/>
                <w:szCs w:val="24"/>
                <w:highlight w:val="none"/>
                <w:u w:val="none"/>
                <w:lang w:val="en-US" w:eastAsia="zh-CN"/>
              </w:rPr>
              <w:t>土壤及地下水隐患排查服务</w:t>
            </w:r>
          </w:p>
        </w:tc>
        <w:tc>
          <w:tcPr>
            <w:tcW w:w="3594" w:type="dxa"/>
            <w:tcBorders>
              <w:top w:val="single" w:color="000000" w:sz="4" w:space="0"/>
              <w:left w:val="single" w:color="000000" w:sz="4" w:space="0"/>
              <w:bottom w:val="single" w:color="000000" w:sz="4" w:space="0"/>
              <w:right w:val="single" w:color="000000" w:sz="4" w:space="0"/>
            </w:tcBorders>
            <w:noWrap w:val="0"/>
            <w:vAlign w:val="center"/>
          </w:tcPr>
          <w:p w14:paraId="5C0B1099">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仿宋_GB2312" w:cs="宋体"/>
                <w:kern w:val="0"/>
                <w:sz w:val="24"/>
                <w:lang w:val="en-US" w:eastAsia="zh-CN"/>
              </w:rPr>
              <w:t>结合《重点监管单位土壤隐患排查指南(试行)》开展隐患排查，并完成隐患排查报告，有毒有害物质排放报告；</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4C7FA859">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071BEFE3">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2009DB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3F3D308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14:paraId="7FA506A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14:paraId="1AF896A4">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sz w:val="30"/>
          <w:szCs w:val="30"/>
          <w:lang w:val="en-US" w:eastAsia="zh-CN"/>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每次阶段性服务完成并经采购人确认后，服务方提供经双方确认的检测报告及等额、合法、有效的增值税专用发票，采购人自收到准确报告和发票且核对无误后，于次二月完成对应阶段款项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在合同签订前提供履约保证金（合同价的5%），履约保证金于合同期满且无未决违约行为及质量争议后无息退</w:t>
      </w:r>
      <w:r>
        <w:rPr>
          <w:rFonts w:hint="eastAsia" w:ascii="仿宋" w:hAnsi="仿宋" w:eastAsia="仿宋" w:cs="仿宋"/>
          <w:sz w:val="30"/>
          <w:szCs w:val="30"/>
          <w:highlight w:val="none"/>
          <w:lang w:val="en-US" w:eastAsia="zh-CN"/>
        </w:rPr>
        <w:t>还</w:t>
      </w:r>
      <w:r>
        <w:rPr>
          <w:rFonts w:hint="eastAsia" w:ascii="仿宋" w:hAnsi="仿宋" w:eastAsia="仿宋" w:cs="仿宋"/>
          <w:color w:val="auto"/>
          <w:kern w:val="2"/>
          <w:sz w:val="30"/>
          <w:szCs w:val="30"/>
          <w:highlight w:val="none"/>
        </w:rPr>
        <w:t>。</w:t>
      </w:r>
    </w:p>
    <w:p w14:paraId="1DD4443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【禁止擅自修改付款条件，未满足该条件则视为无效投标】</w:t>
      </w:r>
    </w:p>
    <w:p w14:paraId="02B1203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相关要求：</w:t>
      </w:r>
    </w:p>
    <w:p w14:paraId="2FF6291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highlight w:val="none"/>
          <w:lang w:eastAsia="zh-CN"/>
        </w:rPr>
      </w:pPr>
      <w:r>
        <w:rPr>
          <w:rFonts w:hint="eastAsia" w:ascii="仿宋" w:hAnsi="仿宋" w:eastAsia="仿宋" w:cs="仿宋"/>
          <w:color w:val="auto"/>
          <w:sz w:val="30"/>
          <w:szCs w:val="30"/>
          <w:highlight w:val="none"/>
          <w:lang w:val="en-US" w:eastAsia="zh-CN"/>
        </w:rPr>
        <w:t>1、</w:t>
      </w:r>
      <w:r>
        <w:rPr>
          <w:rFonts w:hint="eastAsia" w:ascii="仿宋" w:hAnsi="仿宋" w:eastAsia="仿宋" w:cs="仿宋"/>
          <w:sz w:val="30"/>
          <w:szCs w:val="30"/>
          <w:highlight w:val="none"/>
        </w:rPr>
        <w:t>本项</w:t>
      </w:r>
      <w:r>
        <w:rPr>
          <w:rFonts w:hint="eastAsia" w:ascii="仿宋" w:hAnsi="仿宋" w:eastAsia="仿宋" w:cs="仿宋"/>
          <w:sz w:val="30"/>
          <w:szCs w:val="30"/>
          <w:highlight w:val="none"/>
          <w:lang w:eastAsia="zh-CN"/>
        </w:rPr>
        <w:t>目采购总金额限价人民币6.3</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r>
        <w:rPr>
          <w:rFonts w:hint="eastAsia" w:ascii="仿宋" w:hAnsi="仿宋" w:eastAsia="仿宋" w:cs="仿宋"/>
          <w:sz w:val="30"/>
          <w:szCs w:val="30"/>
          <w:highlight w:val="none"/>
          <w:lang w:eastAsia="zh-CN"/>
        </w:rPr>
        <w:t>。</w:t>
      </w:r>
    </w:p>
    <w:p w14:paraId="41BC282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color w:val="auto"/>
          <w:sz w:val="30"/>
          <w:szCs w:val="30"/>
          <w:highlight w:val="none"/>
          <w:lang w:val="en-US" w:eastAsia="zh-CN"/>
        </w:rPr>
        <w:t>2、该采购项目履约保证金为合同价的5%。中标人于合同签订前将履约保证金打入招标人指定账户。合同履行完成后，招标人退还质保金（无息）。</w:t>
      </w:r>
    </w:p>
    <w:p w14:paraId="7597BA8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highlight w:val="none"/>
          <w:lang w:val="en-US" w:eastAsia="zh-CN"/>
        </w:rPr>
        <w:t>3、</w:t>
      </w:r>
      <w:r>
        <w:rPr>
          <w:rFonts w:hint="eastAsia" w:ascii="仿宋" w:hAnsi="仿宋" w:eastAsia="仿宋" w:cs="仿宋"/>
          <w:color w:val="auto"/>
          <w:sz w:val="30"/>
          <w:szCs w:val="30"/>
          <w:highlight w:val="none"/>
          <w:lang w:val="en-US" w:eastAsia="zh-CN"/>
        </w:rPr>
        <w:t>预成交公示结束后，中标人在收到招标人拟订合同（所中标项</w:t>
      </w:r>
      <w:r>
        <w:rPr>
          <w:rFonts w:hint="eastAsia" w:ascii="仿宋" w:hAnsi="仿宋" w:eastAsia="仿宋" w:cs="仿宋"/>
          <w:color w:val="auto"/>
          <w:sz w:val="30"/>
          <w:szCs w:val="30"/>
          <w:lang w:val="en-US" w:eastAsia="zh-CN"/>
        </w:rPr>
        <w:t>目）电子版本后，确认无误并签署盖章，2天内邮寄给招标人。合同上的签订时间与招标人实际收到合同时间原则上不超过5天。否则视为中标人自动放弃，招标人有权解除合同。</w:t>
      </w:r>
    </w:p>
    <w:p w14:paraId="5EB59C3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4、以上总价应为含税全包价，包括运费、税费等一切费用，发票必须为增值税专用发票。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30A224C0">
      <w:pPr>
        <w:snapToGrid w:val="0"/>
        <w:ind w:firstLine="480" w:firstLineChars="200"/>
        <w:jc w:val="right"/>
        <w:rPr>
          <w:rFonts w:hint="eastAsia" w:ascii="仿宋" w:hAnsi="仿宋" w:eastAsia="仿宋" w:cs="仿宋"/>
          <w:sz w:val="24"/>
          <w:szCs w:val="24"/>
        </w:rPr>
      </w:pPr>
    </w:p>
    <w:p w14:paraId="149D5B0F">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29CE7E8">
      <w:pPr>
        <w:snapToGrid w:val="0"/>
        <w:ind w:firstLine="480" w:firstLineChars="200"/>
        <w:jc w:val="right"/>
        <w:rPr>
          <w:rFonts w:hint="eastAsia" w:ascii="仿宋" w:hAnsi="仿宋" w:eastAsia="仿宋" w:cs="仿宋"/>
          <w:sz w:val="24"/>
          <w:szCs w:val="24"/>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79437E17">
      <w:pPr>
        <w:spacing w:line="360" w:lineRule="auto"/>
        <w:jc w:val="left"/>
        <w:rPr>
          <w:rStyle w:val="21"/>
          <w:rFonts w:hint="eastAsia" w:ascii="仿宋" w:hAnsi="仿宋" w:eastAsia="仿宋" w:cs="仿宋"/>
          <w:sz w:val="30"/>
        </w:rPr>
      </w:pPr>
      <w:bookmarkStart w:id="19" w:name="_Toc108839328"/>
      <w:bookmarkStart w:id="20" w:name="_Toc103165678"/>
      <w:r>
        <w:rPr>
          <w:rStyle w:val="21"/>
          <w:rFonts w:hint="eastAsia" w:ascii="仿宋" w:hAnsi="仿宋" w:eastAsia="仿宋" w:cs="仿宋"/>
          <w:sz w:val="30"/>
        </w:rPr>
        <w:t>附件</w:t>
      </w:r>
      <w:r>
        <w:rPr>
          <w:rStyle w:val="21"/>
          <w:rFonts w:hint="eastAsia" w:ascii="仿宋" w:hAnsi="仿宋" w:eastAsia="仿宋" w:cs="仿宋"/>
          <w:sz w:val="30"/>
          <w:lang w:val="en-US"/>
        </w:rPr>
        <w:t>三</w:t>
      </w:r>
      <w:r>
        <w:rPr>
          <w:rStyle w:val="21"/>
          <w:rFonts w:hint="eastAsia" w:ascii="仿宋" w:hAnsi="仿宋" w:eastAsia="仿宋" w:cs="仿宋"/>
          <w:sz w:val="30"/>
        </w:rPr>
        <w:t>：</w:t>
      </w:r>
    </w:p>
    <w:p w14:paraId="6CE07EB2">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7E16C454">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06333E9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2026年度土壤地下水自行监测、有毒有害物质排放报告编制 </w:t>
      </w:r>
      <w:r>
        <w:rPr>
          <w:rFonts w:hint="eastAsia" w:ascii="仿宋" w:hAnsi="仿宋" w:eastAsia="仿宋" w:cs="仿宋"/>
          <w:color w:val="auto"/>
          <w:sz w:val="30"/>
          <w:szCs w:val="30"/>
          <w:u w:val="none"/>
          <w:lang w:val="en-US" w:eastAsia="zh-CN"/>
        </w:rPr>
        <w:t>项目。</w:t>
      </w:r>
    </w:p>
    <w:tbl>
      <w:tblPr>
        <w:tblStyle w:val="13"/>
        <w:tblW w:w="4890" w:type="pct"/>
        <w:jc w:val="center"/>
        <w:tblLayout w:type="fixed"/>
        <w:tblCellMar>
          <w:top w:w="0" w:type="dxa"/>
          <w:left w:w="108" w:type="dxa"/>
          <w:bottom w:w="0" w:type="dxa"/>
          <w:right w:w="108" w:type="dxa"/>
        </w:tblCellMar>
      </w:tblPr>
      <w:tblGrid>
        <w:gridCol w:w="861"/>
        <w:gridCol w:w="1650"/>
        <w:gridCol w:w="2739"/>
        <w:gridCol w:w="1266"/>
        <w:gridCol w:w="817"/>
        <w:gridCol w:w="1751"/>
      </w:tblGrid>
      <w:tr w14:paraId="00777C50">
        <w:tblPrEx>
          <w:tblCellMar>
            <w:top w:w="0" w:type="dxa"/>
            <w:left w:w="108" w:type="dxa"/>
            <w:bottom w:w="0" w:type="dxa"/>
            <w:right w:w="108" w:type="dxa"/>
          </w:tblCellMar>
        </w:tblPrEx>
        <w:trPr>
          <w:trHeight w:val="467" w:hRule="atLeast"/>
          <w:jc w:val="center"/>
        </w:trPr>
        <w:tc>
          <w:tcPr>
            <w:tcW w:w="861" w:type="dxa"/>
            <w:tcBorders>
              <w:top w:val="single" w:color="000000" w:sz="4" w:space="0"/>
              <w:left w:val="single" w:color="000000" w:sz="4" w:space="0"/>
              <w:bottom w:val="single" w:color="000000" w:sz="4" w:space="0"/>
              <w:right w:val="single" w:color="000000" w:sz="4" w:space="0"/>
            </w:tcBorders>
            <w:noWrap/>
            <w:vAlign w:val="center"/>
          </w:tcPr>
          <w:p w14:paraId="0B7D8B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650" w:type="dxa"/>
            <w:tcBorders>
              <w:top w:val="single" w:color="000000" w:sz="4" w:space="0"/>
              <w:left w:val="single" w:color="000000" w:sz="4" w:space="0"/>
              <w:bottom w:val="single" w:color="000000" w:sz="4" w:space="0"/>
              <w:right w:val="single" w:color="000000" w:sz="4" w:space="0"/>
            </w:tcBorders>
            <w:noWrap/>
            <w:vAlign w:val="center"/>
          </w:tcPr>
          <w:p w14:paraId="1359EB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内容</w:t>
            </w:r>
          </w:p>
        </w:tc>
        <w:tc>
          <w:tcPr>
            <w:tcW w:w="2739" w:type="dxa"/>
            <w:tcBorders>
              <w:top w:val="single" w:color="000000" w:sz="4" w:space="0"/>
              <w:left w:val="single" w:color="000000" w:sz="4" w:space="0"/>
              <w:bottom w:val="single" w:color="000000" w:sz="4" w:space="0"/>
              <w:right w:val="single" w:color="000000" w:sz="4" w:space="0"/>
            </w:tcBorders>
            <w:noWrap/>
            <w:vAlign w:val="center"/>
          </w:tcPr>
          <w:p w14:paraId="6A06C44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技术要求</w:t>
            </w:r>
          </w:p>
        </w:tc>
        <w:tc>
          <w:tcPr>
            <w:tcW w:w="1266" w:type="dxa"/>
            <w:tcBorders>
              <w:top w:val="single" w:color="000000" w:sz="4" w:space="0"/>
              <w:left w:val="single" w:color="000000" w:sz="4" w:space="0"/>
              <w:bottom w:val="single" w:color="000000" w:sz="4" w:space="0"/>
              <w:right w:val="single" w:color="000000" w:sz="4" w:space="0"/>
            </w:tcBorders>
            <w:noWrap/>
            <w:vAlign w:val="center"/>
          </w:tcPr>
          <w:p w14:paraId="09B549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数量</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21AFB9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751" w:type="dxa"/>
            <w:tcBorders>
              <w:top w:val="single" w:color="000000" w:sz="4" w:space="0"/>
              <w:left w:val="single" w:color="000000" w:sz="4" w:space="0"/>
              <w:bottom w:val="single" w:color="000000" w:sz="4" w:space="0"/>
              <w:right w:val="single" w:color="000000" w:sz="4" w:space="0"/>
            </w:tcBorders>
            <w:noWrap/>
            <w:vAlign w:val="center"/>
          </w:tcPr>
          <w:p w14:paraId="63C1BA1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p w14:paraId="081F35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（元）</w:t>
            </w:r>
          </w:p>
        </w:tc>
      </w:tr>
      <w:tr w14:paraId="22871409">
        <w:tblPrEx>
          <w:tblCellMar>
            <w:top w:w="0" w:type="dxa"/>
            <w:left w:w="108" w:type="dxa"/>
            <w:bottom w:w="0" w:type="dxa"/>
            <w:right w:w="108" w:type="dxa"/>
          </w:tblCellMar>
        </w:tblPrEx>
        <w:trPr>
          <w:trHeight w:val="532" w:hRule="atLeast"/>
          <w:jc w:val="center"/>
        </w:trPr>
        <w:tc>
          <w:tcPr>
            <w:tcW w:w="861" w:type="dxa"/>
            <w:tcBorders>
              <w:top w:val="single" w:color="000000" w:sz="4" w:space="0"/>
              <w:left w:val="single" w:color="000000" w:sz="4" w:space="0"/>
              <w:bottom w:val="single" w:color="000000" w:sz="4" w:space="0"/>
              <w:right w:val="single" w:color="000000" w:sz="4" w:space="0"/>
            </w:tcBorders>
            <w:noWrap/>
            <w:vAlign w:val="center"/>
          </w:tcPr>
          <w:p w14:paraId="62A2D5DF">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1AB2BF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p>
        </w:tc>
        <w:tc>
          <w:tcPr>
            <w:tcW w:w="2739" w:type="dxa"/>
            <w:tcBorders>
              <w:top w:val="single" w:color="000000" w:sz="4" w:space="0"/>
              <w:left w:val="single" w:color="000000" w:sz="4" w:space="0"/>
              <w:bottom w:val="single" w:color="000000" w:sz="4" w:space="0"/>
              <w:right w:val="single" w:color="000000" w:sz="4" w:space="0"/>
            </w:tcBorders>
            <w:noWrap w:val="0"/>
            <w:vAlign w:val="center"/>
          </w:tcPr>
          <w:p w14:paraId="739FB135">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4649C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B8BEF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1751" w:type="dxa"/>
            <w:tcBorders>
              <w:top w:val="single" w:color="000000" w:sz="4" w:space="0"/>
              <w:left w:val="single" w:color="000000" w:sz="4" w:space="0"/>
              <w:bottom w:val="single" w:color="000000" w:sz="4" w:space="0"/>
              <w:right w:val="single" w:color="000000" w:sz="4" w:space="0"/>
            </w:tcBorders>
            <w:noWrap w:val="0"/>
            <w:vAlign w:val="center"/>
          </w:tcPr>
          <w:p w14:paraId="098C94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r>
    </w:tbl>
    <w:p w14:paraId="6129434C">
      <w:pPr>
        <w:pStyle w:val="10"/>
        <w:rPr>
          <w:rFonts w:hint="eastAsia" w:ascii="仿宋" w:hAnsi="仿宋" w:eastAsia="仿宋" w:cs="仿宋"/>
          <w:color w:val="auto"/>
        </w:rPr>
      </w:pPr>
    </w:p>
    <w:p w14:paraId="74940A5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F5F728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5375FEF">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highlight w:val="none"/>
          <w:lang w:val="en-US" w:eastAsia="zh-CN"/>
        </w:rPr>
        <w:t>每次阶段性服务完成并经采购人确认后，服务方提供经双方确认的检测报告及等额、合法、有效的增值税专用发票，采购人自收到准确报告和发票且核对无误后，于次二月完成对应阶段款项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在合同签订前提供履约保证金（合同价的5%），履约保证金于合同期满且无未决违约行为及质量争议后无息退还</w:t>
      </w:r>
      <w:r>
        <w:rPr>
          <w:rFonts w:hint="eastAsia" w:ascii="仿宋" w:hAnsi="仿宋" w:eastAsia="仿宋" w:cs="仿宋"/>
          <w:color w:val="auto"/>
          <w:kern w:val="2"/>
          <w:sz w:val="30"/>
          <w:szCs w:val="30"/>
          <w:highlight w:val="none"/>
          <w:lang w:eastAsia="zh-CN"/>
        </w:rPr>
        <w:t>。</w:t>
      </w:r>
    </w:p>
    <w:p w14:paraId="7D027474">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719192A6">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本次报价为最终投标报价依据。</w:t>
      </w:r>
    </w:p>
    <w:p w14:paraId="706D4B9D">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8F5B3D5">
      <w:pPr>
        <w:snapToGrid w:val="0"/>
        <w:ind w:firstLine="480" w:firstLineChars="200"/>
        <w:jc w:val="right"/>
        <w:rPr>
          <w:rFonts w:hint="eastAsia" w:ascii="仿宋" w:hAnsi="仿宋" w:eastAsia="仿宋" w:cs="仿宋"/>
          <w:color w:val="auto"/>
          <w:sz w:val="24"/>
          <w:szCs w:val="24"/>
        </w:rPr>
      </w:pPr>
    </w:p>
    <w:p w14:paraId="1D6DE1CE">
      <w:pPr>
        <w:snapToGrid w:val="0"/>
        <w:ind w:firstLine="480" w:firstLineChars="200"/>
        <w:jc w:val="right"/>
        <w:rPr>
          <w:rFonts w:hint="eastAsia" w:ascii="仿宋" w:hAnsi="仿宋" w:eastAsia="仿宋" w:cs="仿宋"/>
          <w:color w:val="auto"/>
          <w:sz w:val="24"/>
          <w:szCs w:val="24"/>
        </w:rPr>
      </w:pPr>
    </w:p>
    <w:p w14:paraId="7AB185B8">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426ABE7F">
      <w:pPr>
        <w:wordWrap w:val="0"/>
        <w:snapToGrid w:val="0"/>
        <w:ind w:firstLine="480" w:firstLineChars="200"/>
        <w:jc w:val="right"/>
        <w:rPr>
          <w:rFonts w:hint="eastAsia" w:ascii="仿宋" w:hAnsi="仿宋" w:eastAsia="仿宋" w:cs="仿宋"/>
          <w:color w:val="auto"/>
          <w:sz w:val="24"/>
          <w:szCs w:val="24"/>
          <w:lang w:val="en-US" w:eastAsia="zh-CN"/>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20F1898A">
      <w:pPr>
        <w:spacing w:line="480" w:lineRule="auto"/>
        <w:jc w:val="left"/>
        <w:outlineLvl w:val="0"/>
        <w:rPr>
          <w:rFonts w:hint="eastAsia" w:ascii="仿宋" w:hAnsi="仿宋" w:eastAsia="仿宋" w:cs="仿宋"/>
          <w:b/>
          <w:spacing w:val="-2"/>
          <w:sz w:val="30"/>
        </w:rPr>
      </w:pPr>
      <w:bookmarkStart w:id="21" w:name="_Toc21415"/>
      <w:r>
        <w:rPr>
          <w:rStyle w:val="21"/>
          <w:rFonts w:hint="eastAsia" w:ascii="仿宋" w:hAnsi="仿宋" w:eastAsia="仿宋" w:cs="仿宋"/>
          <w:sz w:val="30"/>
        </w:rPr>
        <w:t>附件</w:t>
      </w:r>
      <w:bookmarkEnd w:id="19"/>
      <w:bookmarkEnd w:id="20"/>
      <w:r>
        <w:rPr>
          <w:rStyle w:val="21"/>
          <w:rFonts w:hint="eastAsia" w:ascii="仿宋" w:hAnsi="仿宋" w:eastAsia="仿宋" w:cs="仿宋"/>
          <w:sz w:val="30"/>
          <w:lang w:val="en-US"/>
        </w:rPr>
        <w:t>四：</w:t>
      </w:r>
      <w:bookmarkEnd w:id="21"/>
    </w:p>
    <w:p w14:paraId="15204FE8">
      <w:pPr>
        <w:snapToGrid w:val="0"/>
        <w:ind w:firstLine="1926" w:firstLineChars="600"/>
        <w:jc w:val="left"/>
        <w:rPr>
          <w:rFonts w:hint="eastAsia" w:ascii="仿宋" w:hAnsi="仿宋" w:eastAsia="仿宋" w:cs="仿宋"/>
          <w:b/>
          <w:spacing w:val="40"/>
          <w:sz w:val="24"/>
          <w:szCs w:val="24"/>
        </w:rPr>
      </w:pPr>
    </w:p>
    <w:p w14:paraId="7BE9022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812399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971B0CA">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2026年度土壤地下水自行监测、有毒有害物质排放报告编制项目</w:t>
      </w:r>
      <w:r>
        <w:rPr>
          <w:rFonts w:hint="eastAsia" w:ascii="仿宋" w:hAnsi="仿宋" w:eastAsia="仿宋" w:cs="仿宋"/>
          <w:sz w:val="28"/>
          <w:szCs w:val="28"/>
        </w:rPr>
        <w:t>询价采购，并作如下承诺：</w:t>
      </w:r>
    </w:p>
    <w:p w14:paraId="1565491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495C0D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DBA28D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7B084CC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A206B2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674FC0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3C4430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145A857D">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p>
    <w:p w14:paraId="3F739F22">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1DF6E2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7D90430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56C0FBE4">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DDD0A">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963489C">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ACADD0A"/>
    <w:multiLevelType w:val="singleLevel"/>
    <w:tmpl w:val="8ACADD0A"/>
    <w:lvl w:ilvl="0" w:tentative="0">
      <w:start w:val="1"/>
      <w:numFmt w:val="decimal"/>
      <w:suff w:val="nothing"/>
      <w:lvlText w:val="%1、"/>
      <w:lvlJc w:val="left"/>
    </w:lvl>
  </w:abstractNum>
  <w:abstractNum w:abstractNumId="2">
    <w:nsid w:val="8C79575F"/>
    <w:multiLevelType w:val="singleLevel"/>
    <w:tmpl w:val="8C79575F"/>
    <w:lvl w:ilvl="0" w:tentative="0">
      <w:start w:val="12"/>
      <w:numFmt w:val="chineseCounting"/>
      <w:suff w:val="space"/>
      <w:lvlText w:val="第%1条"/>
      <w:lvlJc w:val="left"/>
      <w:rPr>
        <w:rFonts w:hint="eastAsia"/>
      </w:rPr>
    </w:lvl>
  </w:abstractNum>
  <w:abstractNum w:abstractNumId="3">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4">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5AF6242"/>
    <w:multiLevelType w:val="singleLevel"/>
    <w:tmpl w:val="05AF6242"/>
    <w:lvl w:ilvl="0" w:tentative="0">
      <w:start w:val="5"/>
      <w:numFmt w:val="chineseCounting"/>
      <w:suff w:val="space"/>
      <w:lvlText w:val="第%1条"/>
      <w:lvlJc w:val="left"/>
      <w:rPr>
        <w:rFonts w:hint="eastAsia"/>
      </w:rPr>
    </w:lvl>
  </w:abstractNum>
  <w:abstractNum w:abstractNumId="6">
    <w:nsid w:val="4CC8527C"/>
    <w:multiLevelType w:val="singleLevel"/>
    <w:tmpl w:val="4CC8527C"/>
    <w:lvl w:ilvl="0" w:tentative="0">
      <w:start w:val="6"/>
      <w:numFmt w:val="chineseCounting"/>
      <w:suff w:val="nothing"/>
      <w:lvlText w:val="%1、"/>
      <w:lvlJc w:val="left"/>
      <w:rPr>
        <w:rFonts w:hint="eastAsia"/>
      </w:rPr>
    </w:lvl>
  </w:abstractNum>
  <w:num w:numId="1">
    <w:abstractNumId w:val="4"/>
  </w:num>
  <w:num w:numId="2">
    <w:abstractNumId w:val="6"/>
  </w:num>
  <w:num w:numId="3">
    <w:abstractNumId w:val="3"/>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ZDFhNTA3NTBkYjYwNzBmOWEzNGQxZTA1ZTZlYTEifQ=="/>
    <w:docVar w:name="KSO_WPS_MARK_KEY" w:val="54ff61b0-739e-42aa-8a2e-a4bc9060d795"/>
  </w:docVars>
  <w:rsids>
    <w:rsidRoot w:val="1297576D"/>
    <w:rsid w:val="0029396E"/>
    <w:rsid w:val="003A657B"/>
    <w:rsid w:val="00517D5D"/>
    <w:rsid w:val="005926A3"/>
    <w:rsid w:val="008746A5"/>
    <w:rsid w:val="00B574EC"/>
    <w:rsid w:val="01D22213"/>
    <w:rsid w:val="02834D04"/>
    <w:rsid w:val="031428FF"/>
    <w:rsid w:val="038D5656"/>
    <w:rsid w:val="03F95A31"/>
    <w:rsid w:val="04605697"/>
    <w:rsid w:val="04FD1ABF"/>
    <w:rsid w:val="056A79D6"/>
    <w:rsid w:val="05D22118"/>
    <w:rsid w:val="05D355DF"/>
    <w:rsid w:val="06057AB3"/>
    <w:rsid w:val="062B00FD"/>
    <w:rsid w:val="064C5457"/>
    <w:rsid w:val="067A3460"/>
    <w:rsid w:val="076328DA"/>
    <w:rsid w:val="07A76692"/>
    <w:rsid w:val="08186607"/>
    <w:rsid w:val="083A3947"/>
    <w:rsid w:val="08F93082"/>
    <w:rsid w:val="097479E0"/>
    <w:rsid w:val="0A0C6ADD"/>
    <w:rsid w:val="0A32752C"/>
    <w:rsid w:val="0A9D29B8"/>
    <w:rsid w:val="0B2C6C02"/>
    <w:rsid w:val="0B8E6D39"/>
    <w:rsid w:val="0BC12699"/>
    <w:rsid w:val="0BCC31F9"/>
    <w:rsid w:val="0C5A16A4"/>
    <w:rsid w:val="0DC35837"/>
    <w:rsid w:val="0DE61498"/>
    <w:rsid w:val="10416259"/>
    <w:rsid w:val="110C39D4"/>
    <w:rsid w:val="1297576D"/>
    <w:rsid w:val="12BF4C87"/>
    <w:rsid w:val="12E70A09"/>
    <w:rsid w:val="1325794A"/>
    <w:rsid w:val="141C36BF"/>
    <w:rsid w:val="15061C4B"/>
    <w:rsid w:val="15341747"/>
    <w:rsid w:val="164F6705"/>
    <w:rsid w:val="16646293"/>
    <w:rsid w:val="16827860"/>
    <w:rsid w:val="16A83419"/>
    <w:rsid w:val="16FE5921"/>
    <w:rsid w:val="17B042A1"/>
    <w:rsid w:val="18987177"/>
    <w:rsid w:val="1906629D"/>
    <w:rsid w:val="190D0CE8"/>
    <w:rsid w:val="1A2B7D96"/>
    <w:rsid w:val="1A62541A"/>
    <w:rsid w:val="1BD33B78"/>
    <w:rsid w:val="1BE0140E"/>
    <w:rsid w:val="1BEC2FB3"/>
    <w:rsid w:val="1CE262BC"/>
    <w:rsid w:val="1D6D770B"/>
    <w:rsid w:val="1D94296D"/>
    <w:rsid w:val="1DF976C9"/>
    <w:rsid w:val="1E191157"/>
    <w:rsid w:val="1E1A21EF"/>
    <w:rsid w:val="203B090D"/>
    <w:rsid w:val="21135480"/>
    <w:rsid w:val="211D7593"/>
    <w:rsid w:val="212C3971"/>
    <w:rsid w:val="214D7086"/>
    <w:rsid w:val="21BA7E4E"/>
    <w:rsid w:val="22DF5956"/>
    <w:rsid w:val="22ED7F5E"/>
    <w:rsid w:val="23AD6C0F"/>
    <w:rsid w:val="23D12305"/>
    <w:rsid w:val="24130D0C"/>
    <w:rsid w:val="259E2C64"/>
    <w:rsid w:val="26F76768"/>
    <w:rsid w:val="27AC61A6"/>
    <w:rsid w:val="27FE02E6"/>
    <w:rsid w:val="28C57566"/>
    <w:rsid w:val="29084622"/>
    <w:rsid w:val="29F704EF"/>
    <w:rsid w:val="2A0049E3"/>
    <w:rsid w:val="2A495F37"/>
    <w:rsid w:val="2AC220DE"/>
    <w:rsid w:val="2ADB5E21"/>
    <w:rsid w:val="2ADF08BA"/>
    <w:rsid w:val="2B603075"/>
    <w:rsid w:val="2C305EB2"/>
    <w:rsid w:val="2C4666C4"/>
    <w:rsid w:val="2C980D1B"/>
    <w:rsid w:val="2CD9238D"/>
    <w:rsid w:val="2D023CA7"/>
    <w:rsid w:val="2E003054"/>
    <w:rsid w:val="2E255A7A"/>
    <w:rsid w:val="2EB2531B"/>
    <w:rsid w:val="2F3D045F"/>
    <w:rsid w:val="2F6F3EAC"/>
    <w:rsid w:val="2F7D3F84"/>
    <w:rsid w:val="2F844FB7"/>
    <w:rsid w:val="30256074"/>
    <w:rsid w:val="302C4175"/>
    <w:rsid w:val="30890978"/>
    <w:rsid w:val="30A52DD9"/>
    <w:rsid w:val="31713FF6"/>
    <w:rsid w:val="32B04D2F"/>
    <w:rsid w:val="33A35EAC"/>
    <w:rsid w:val="3464504B"/>
    <w:rsid w:val="34E00D83"/>
    <w:rsid w:val="34E40873"/>
    <w:rsid w:val="355F7D2E"/>
    <w:rsid w:val="36216F0D"/>
    <w:rsid w:val="36316A75"/>
    <w:rsid w:val="3667119D"/>
    <w:rsid w:val="36ED02B2"/>
    <w:rsid w:val="37836223"/>
    <w:rsid w:val="37DB73A7"/>
    <w:rsid w:val="389D7311"/>
    <w:rsid w:val="398E418A"/>
    <w:rsid w:val="3996009B"/>
    <w:rsid w:val="3997709B"/>
    <w:rsid w:val="39A55AE7"/>
    <w:rsid w:val="3A351BE0"/>
    <w:rsid w:val="3B0953A4"/>
    <w:rsid w:val="3C302F1C"/>
    <w:rsid w:val="3C8719BD"/>
    <w:rsid w:val="3C9A29B9"/>
    <w:rsid w:val="3CE46170"/>
    <w:rsid w:val="3D7933CA"/>
    <w:rsid w:val="3DAC3CC7"/>
    <w:rsid w:val="3E16524F"/>
    <w:rsid w:val="3E490C93"/>
    <w:rsid w:val="3EA30F9B"/>
    <w:rsid w:val="3F2D02B4"/>
    <w:rsid w:val="3F7C50B1"/>
    <w:rsid w:val="3F996DE7"/>
    <w:rsid w:val="3FAE19C2"/>
    <w:rsid w:val="406B2371"/>
    <w:rsid w:val="407E15A7"/>
    <w:rsid w:val="40AA3B81"/>
    <w:rsid w:val="411C5733"/>
    <w:rsid w:val="417112FA"/>
    <w:rsid w:val="419E57A5"/>
    <w:rsid w:val="42D57A4D"/>
    <w:rsid w:val="436A096E"/>
    <w:rsid w:val="43A970E7"/>
    <w:rsid w:val="43BA0460"/>
    <w:rsid w:val="44322CE6"/>
    <w:rsid w:val="44544A76"/>
    <w:rsid w:val="449544C5"/>
    <w:rsid w:val="44A55070"/>
    <w:rsid w:val="45530393"/>
    <w:rsid w:val="469F7AF8"/>
    <w:rsid w:val="475812CD"/>
    <w:rsid w:val="475D1115"/>
    <w:rsid w:val="478F3581"/>
    <w:rsid w:val="47B96D86"/>
    <w:rsid w:val="47D615F1"/>
    <w:rsid w:val="47D93555"/>
    <w:rsid w:val="48034DA7"/>
    <w:rsid w:val="486F4BB5"/>
    <w:rsid w:val="48A60514"/>
    <w:rsid w:val="48E14418"/>
    <w:rsid w:val="490432DC"/>
    <w:rsid w:val="491635D4"/>
    <w:rsid w:val="49E7480F"/>
    <w:rsid w:val="4A0333C5"/>
    <w:rsid w:val="4AE97537"/>
    <w:rsid w:val="4AF173EE"/>
    <w:rsid w:val="4B0D618C"/>
    <w:rsid w:val="4C2F1B9C"/>
    <w:rsid w:val="4C870D35"/>
    <w:rsid w:val="4D2832EB"/>
    <w:rsid w:val="4DB81983"/>
    <w:rsid w:val="4DF66F25"/>
    <w:rsid w:val="4E376DB9"/>
    <w:rsid w:val="4E716394"/>
    <w:rsid w:val="4ECC39F8"/>
    <w:rsid w:val="4F0A3ECF"/>
    <w:rsid w:val="4F595384"/>
    <w:rsid w:val="4F72433C"/>
    <w:rsid w:val="4F7F3CCA"/>
    <w:rsid w:val="4FE50BFA"/>
    <w:rsid w:val="502844C8"/>
    <w:rsid w:val="51131CCB"/>
    <w:rsid w:val="51D845E4"/>
    <w:rsid w:val="52341DDD"/>
    <w:rsid w:val="531111FC"/>
    <w:rsid w:val="533444FB"/>
    <w:rsid w:val="55C54FE9"/>
    <w:rsid w:val="55E07717"/>
    <w:rsid w:val="56397366"/>
    <w:rsid w:val="57105FDC"/>
    <w:rsid w:val="58080247"/>
    <w:rsid w:val="58C27322"/>
    <w:rsid w:val="5950112B"/>
    <w:rsid w:val="59774954"/>
    <w:rsid w:val="59C3293C"/>
    <w:rsid w:val="5A1C766A"/>
    <w:rsid w:val="5B3710B2"/>
    <w:rsid w:val="5CF528AB"/>
    <w:rsid w:val="5D132301"/>
    <w:rsid w:val="5E970206"/>
    <w:rsid w:val="5ED1360A"/>
    <w:rsid w:val="5F1E1E73"/>
    <w:rsid w:val="612A3DEE"/>
    <w:rsid w:val="614D7B82"/>
    <w:rsid w:val="62B67083"/>
    <w:rsid w:val="64787E17"/>
    <w:rsid w:val="649C599A"/>
    <w:rsid w:val="66B027B6"/>
    <w:rsid w:val="671A2875"/>
    <w:rsid w:val="67966EFB"/>
    <w:rsid w:val="67B628F5"/>
    <w:rsid w:val="682119CD"/>
    <w:rsid w:val="69A94E0C"/>
    <w:rsid w:val="6B656B47"/>
    <w:rsid w:val="6B7E1643"/>
    <w:rsid w:val="6C714475"/>
    <w:rsid w:val="6CDB032D"/>
    <w:rsid w:val="6DB2110D"/>
    <w:rsid w:val="6DBD736C"/>
    <w:rsid w:val="6DF45A5A"/>
    <w:rsid w:val="6E5526FF"/>
    <w:rsid w:val="6F2B1820"/>
    <w:rsid w:val="6F412F7A"/>
    <w:rsid w:val="707E74C2"/>
    <w:rsid w:val="70CC0A36"/>
    <w:rsid w:val="710D0440"/>
    <w:rsid w:val="71C5585F"/>
    <w:rsid w:val="720E79AF"/>
    <w:rsid w:val="73A1381E"/>
    <w:rsid w:val="7459468D"/>
    <w:rsid w:val="749131D7"/>
    <w:rsid w:val="756F240E"/>
    <w:rsid w:val="759D3BC6"/>
    <w:rsid w:val="779817DA"/>
    <w:rsid w:val="77D476E8"/>
    <w:rsid w:val="782A7918"/>
    <w:rsid w:val="79715756"/>
    <w:rsid w:val="7A500C84"/>
    <w:rsid w:val="7A7B08FF"/>
    <w:rsid w:val="7AE21E9E"/>
    <w:rsid w:val="7B027F4F"/>
    <w:rsid w:val="7B09318D"/>
    <w:rsid w:val="7B6004E6"/>
    <w:rsid w:val="7BE14791"/>
    <w:rsid w:val="7C4C470C"/>
    <w:rsid w:val="7C920257"/>
    <w:rsid w:val="7CD03426"/>
    <w:rsid w:val="7DDA7768"/>
    <w:rsid w:val="7DFA5FDE"/>
    <w:rsid w:val="7E0B3994"/>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6"/>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480" w:lineRule="auto"/>
      <w:ind w:firstLine="600"/>
    </w:pPr>
    <w:rPr>
      <w:sz w:val="28"/>
    </w:rPr>
  </w:style>
  <w:style w:type="paragraph" w:styleId="5">
    <w:name w:val="annotation text"/>
    <w:basedOn w:val="1"/>
    <w:qFormat/>
    <w:uiPriority w:val="0"/>
    <w:pPr>
      <w:jc w:val="left"/>
    </w:pPr>
  </w:style>
  <w:style w:type="paragraph" w:styleId="6">
    <w:name w:val="Body Text"/>
    <w:basedOn w:val="1"/>
    <w:next w:val="1"/>
    <w:qFormat/>
    <w:uiPriority w:val="1"/>
    <w:pPr>
      <w:spacing w:after="120" w:afterLines="0"/>
    </w:pPr>
  </w:style>
  <w:style w:type="paragraph" w:styleId="7">
    <w:name w:val="Balloon Text"/>
    <w:basedOn w:val="1"/>
    <w:link w:val="2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Emphasis"/>
    <w:basedOn w:val="15"/>
    <w:qFormat/>
    <w:uiPriority w:val="0"/>
    <w:rPr>
      <w:i/>
    </w:rPr>
  </w:style>
  <w:style w:type="character" w:styleId="18">
    <w:name w:val="Hyperlink"/>
    <w:qFormat/>
    <w:uiPriority w:val="99"/>
    <w:rPr>
      <w:color w:val="0000FF"/>
      <w:u w:val="single"/>
    </w:rPr>
  </w:style>
  <w:style w:type="character" w:styleId="19">
    <w:name w:val="annotation reference"/>
    <w:basedOn w:val="15"/>
    <w:qFormat/>
    <w:uiPriority w:val="0"/>
    <w:rPr>
      <w:sz w:val="21"/>
      <w:szCs w:val="21"/>
    </w:rPr>
  </w:style>
  <w:style w:type="paragraph" w:customStyle="1" w:styleId="20">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1">
    <w:name w:val="标题 1 Char Char"/>
    <w:qFormat/>
    <w:uiPriority w:val="0"/>
    <w:rPr>
      <w:rFonts w:eastAsia="宋体"/>
      <w:b/>
      <w:spacing w:val="-2"/>
      <w:sz w:val="24"/>
      <w:lang w:val="en-US" w:eastAsia="zh-CN"/>
    </w:rPr>
  </w:style>
  <w:style w:type="paragraph" w:customStyle="1" w:styleId="22">
    <w:name w:val="一、标题"/>
    <w:basedOn w:val="1"/>
    <w:qFormat/>
    <w:uiPriority w:val="0"/>
    <w:rPr>
      <w:b/>
      <w:sz w:val="28"/>
    </w:rPr>
  </w:style>
  <w:style w:type="paragraph" w:styleId="23">
    <w:name w:val="List Paragraph"/>
    <w:basedOn w:val="1"/>
    <w:qFormat/>
    <w:uiPriority w:val="34"/>
    <w:pPr>
      <w:ind w:firstLine="420" w:firstLineChars="200"/>
    </w:pPr>
  </w:style>
  <w:style w:type="character" w:customStyle="1" w:styleId="24">
    <w:name w:val="页眉 Char"/>
    <w:basedOn w:val="15"/>
    <w:link w:val="9"/>
    <w:qFormat/>
    <w:uiPriority w:val="0"/>
    <w:rPr>
      <w:kern w:val="2"/>
      <w:sz w:val="18"/>
      <w:szCs w:val="18"/>
    </w:rPr>
  </w:style>
  <w:style w:type="character" w:customStyle="1" w:styleId="25">
    <w:name w:val="批注框文本 Char"/>
    <w:basedOn w:val="15"/>
    <w:link w:val="7"/>
    <w:qFormat/>
    <w:uiPriority w:val="0"/>
    <w:rPr>
      <w:kern w:val="2"/>
      <w:sz w:val="18"/>
      <w:szCs w:val="18"/>
    </w:rPr>
  </w:style>
  <w:style w:type="character" w:customStyle="1" w:styleId="26">
    <w:name w:val="font31"/>
    <w:basedOn w:val="15"/>
    <w:qFormat/>
    <w:uiPriority w:val="0"/>
    <w:rPr>
      <w:rFonts w:hint="eastAsia" w:ascii="宋体" w:hAnsi="宋体" w:eastAsia="宋体" w:cs="宋体"/>
      <w:color w:val="000000"/>
      <w:sz w:val="22"/>
      <w:szCs w:val="22"/>
      <w:u w:val="none"/>
    </w:rPr>
  </w:style>
  <w:style w:type="character" w:customStyle="1" w:styleId="27">
    <w:name w:val="font51"/>
    <w:basedOn w:val="15"/>
    <w:qFormat/>
    <w:uiPriority w:val="0"/>
    <w:rPr>
      <w:rFonts w:hint="default" w:ascii="Times New Roman" w:hAnsi="Times New Roman" w:cs="Times New Roman"/>
      <w:color w:val="000000"/>
      <w:sz w:val="22"/>
      <w:szCs w:val="22"/>
      <w:u w:val="none"/>
    </w:rPr>
  </w:style>
  <w:style w:type="character" w:customStyle="1" w:styleId="28">
    <w:name w:val="font41"/>
    <w:basedOn w:val="15"/>
    <w:qFormat/>
    <w:uiPriority w:val="0"/>
    <w:rPr>
      <w:rFonts w:ascii="仿宋_GB2312" w:eastAsia="仿宋_GB2312" w:cs="仿宋_GB2312"/>
      <w:color w:val="000000"/>
      <w:sz w:val="22"/>
      <w:szCs w:val="22"/>
      <w:u w:val="none"/>
    </w:rPr>
  </w:style>
  <w:style w:type="character" w:customStyle="1" w:styleId="29">
    <w:name w:val="font21"/>
    <w:basedOn w:val="15"/>
    <w:qFormat/>
    <w:uiPriority w:val="0"/>
    <w:rPr>
      <w:rFonts w:hint="eastAsia" w:ascii="宋体" w:hAnsi="宋体" w:eastAsia="宋体" w:cs="宋体"/>
      <w:color w:val="000000"/>
      <w:sz w:val="22"/>
      <w:szCs w:val="22"/>
      <w:u w:val="none"/>
      <w:vertAlign w:val="superscript"/>
    </w:rPr>
  </w:style>
  <w:style w:type="character" w:customStyle="1" w:styleId="30">
    <w:name w:val="font01"/>
    <w:basedOn w:val="15"/>
    <w:qFormat/>
    <w:uiPriority w:val="0"/>
    <w:rPr>
      <w:rFonts w:hint="eastAsia" w:ascii="宋体" w:hAnsi="宋体" w:eastAsia="宋体" w:cs="宋体"/>
      <w:color w:val="000000"/>
      <w:sz w:val="22"/>
      <w:szCs w:val="22"/>
      <w:u w:val="none"/>
    </w:rPr>
  </w:style>
  <w:style w:type="character" w:customStyle="1" w:styleId="31">
    <w:name w:val="font11"/>
    <w:basedOn w:val="15"/>
    <w:qFormat/>
    <w:uiPriority w:val="0"/>
    <w:rPr>
      <w:rFonts w:hint="eastAsia" w:ascii="宋体" w:hAnsi="宋体" w:eastAsia="宋体" w:cs="宋体"/>
      <w:color w:val="000000"/>
      <w:sz w:val="24"/>
      <w:szCs w:val="24"/>
      <w:u w:val="none"/>
    </w:rPr>
  </w:style>
  <w:style w:type="paragraph" w:customStyle="1" w:styleId="3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3">
    <w:name w:val="font81"/>
    <w:basedOn w:val="15"/>
    <w:qFormat/>
    <w:uiPriority w:val="0"/>
    <w:rPr>
      <w:rFonts w:ascii="宋体" w:hAnsi="宋体" w:eastAsia="宋体" w:cs="宋体"/>
      <w:color w:val="000000"/>
      <w:sz w:val="20"/>
      <w:szCs w:val="20"/>
      <w:u w:val="none"/>
    </w:rPr>
  </w:style>
  <w:style w:type="character" w:customStyle="1" w:styleId="34">
    <w:name w:val="font71"/>
    <w:basedOn w:val="15"/>
    <w:qFormat/>
    <w:uiPriority w:val="0"/>
    <w:rPr>
      <w:rFonts w:hint="eastAsia" w:ascii="仿宋" w:hAnsi="仿宋" w:eastAsia="仿宋" w:cs="仿宋"/>
      <w:color w:val="000000"/>
      <w:sz w:val="22"/>
      <w:szCs w:val="22"/>
      <w:u w:val="none"/>
    </w:rPr>
  </w:style>
  <w:style w:type="paragraph" w:customStyle="1" w:styleId="35">
    <w:name w:val="样式1"/>
    <w:basedOn w:val="1"/>
    <w:qFormat/>
    <w:uiPriority w:val="0"/>
    <w:pPr>
      <w:spacing w:line="240" w:lineRule="exact"/>
    </w:pPr>
    <w:rPr>
      <w:rFonts w:ascii="宋体" w:hAnsi="宋体" w:eastAsia="宋体"/>
      <w:sz w:val="24"/>
      <w:szCs w:val="24"/>
    </w:rPr>
  </w:style>
  <w:style w:type="character" w:customStyle="1" w:styleId="36">
    <w:name w:val="标题 1 Char"/>
    <w:link w:val="4"/>
    <w:qFormat/>
    <w:uiPriority w:val="0"/>
    <w:rPr>
      <w:rFonts w:ascii="宋体" w:hAnsi="Arial" w:eastAsia="黑体"/>
      <w:b/>
      <w:color w:val="000000"/>
      <w:kern w:val="44"/>
      <w:sz w:val="36"/>
    </w:rPr>
  </w:style>
  <w:style w:type="paragraph" w:customStyle="1" w:styleId="37">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26</Pages>
  <Words>9565</Words>
  <Characters>9836</Characters>
  <Lines>53</Lines>
  <Paragraphs>15</Paragraphs>
  <TotalTime>24</TotalTime>
  <ScaleCrop>false</ScaleCrop>
  <LinksUpToDate>false</LinksUpToDate>
  <CharactersWithSpaces>10845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2026-05-19T07:35:00Z</cp:lastPrinted>
  <dcterms:modified xsi:type="dcterms:W3CDTF">2026-05-29T06:57:40Z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1D97586F4D2E4D80BDA93E4D7067307D_13</vt:lpwstr>
  </property>
  <property fmtid="{D5CDD505-2E9C-101B-9397-08002B2CF9AE}" pid="4" name="KSOTemplateDocerSaveRecord">
    <vt:lpwstr>eyJoZGlkIjoiZDU5ZmYzODUyNjg1MTM3NmE2OTBjZTA2MmE1ZDJlMDUiLCJ1c2VySWQiOiI0MTkyNjk4ODkifQ==</vt:lpwstr>
  </property>
</Properties>
</file>