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highlight w:val="none"/>
        </w:rPr>
      </w:pPr>
      <w:bookmarkStart w:id="0" w:name="_Toc12107"/>
      <w:r>
        <w:rPr>
          <w:rFonts w:hint="eastAsia" w:ascii="仿宋_GB2312" w:hAnsi="宋体" w:eastAsia="仿宋_GB2312"/>
          <w:b/>
          <w:sz w:val="52"/>
          <w:szCs w:val="52"/>
          <w:highlight w:val="none"/>
          <w:lang w:eastAsia="zh-CN"/>
        </w:rPr>
        <w:t>绍兴市再生能源发展有限公司</w:t>
      </w:r>
      <w:bookmarkEnd w:id="0"/>
    </w:p>
    <w:p w14:paraId="4EEA6687">
      <w:pPr>
        <w:pStyle w:val="11"/>
        <w:rPr>
          <w:highlight w:val="none"/>
        </w:rPr>
      </w:pPr>
    </w:p>
    <w:p w14:paraId="2B1BF8E5">
      <w:pPr>
        <w:jc w:val="center"/>
        <w:rPr>
          <w:rFonts w:hint="default" w:ascii="仿宋_GB2312" w:hAnsi="宋体" w:eastAsia="仿宋_GB2312"/>
          <w:b/>
          <w:sz w:val="52"/>
          <w:szCs w:val="52"/>
          <w:highlight w:val="none"/>
          <w:lang w:val="en-US" w:eastAsia="zh-CN"/>
        </w:rPr>
      </w:pPr>
      <w:r>
        <w:rPr>
          <w:rFonts w:hint="eastAsia" w:ascii="仿宋_GB2312" w:hAnsi="宋体" w:eastAsia="仿宋_GB2312"/>
          <w:b/>
          <w:sz w:val="52"/>
          <w:szCs w:val="52"/>
          <w:highlight w:val="none"/>
          <w:lang w:val="en-US" w:eastAsia="zh-CN"/>
        </w:rPr>
        <w:t>厂区废弃金属回收项目</w:t>
      </w:r>
    </w:p>
    <w:p w14:paraId="659FFE53">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highlight w:val="none"/>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SX-ZH-HS-</w:t>
      </w:r>
      <w:bookmarkEnd w:id="1"/>
      <w:r>
        <w:rPr>
          <w:rFonts w:hint="eastAsia" w:ascii="仿宋" w:hAnsi="仿宋" w:eastAsia="仿宋" w:cs="仿宋"/>
          <w:sz w:val="32"/>
          <w:szCs w:val="32"/>
          <w:highlight w:val="none"/>
          <w:u w:val="single"/>
          <w:lang w:val="en-US" w:eastAsia="zh-CN"/>
        </w:rPr>
        <w:t xml:space="preserve">2604011  </w:t>
      </w:r>
    </w:p>
    <w:p w14:paraId="619BC30A">
      <w:pPr>
        <w:spacing w:line="360" w:lineRule="auto"/>
        <w:ind w:firstLine="80" w:firstLineChars="25"/>
        <w:jc w:val="center"/>
        <w:rPr>
          <w:rFonts w:hint="eastAsia" w:ascii="仿宋" w:hAnsi="仿宋" w:eastAsia="仿宋" w:cs="仿宋"/>
          <w:sz w:val="84"/>
          <w:highlight w:val="none"/>
        </w:rPr>
      </w:pPr>
      <w:bookmarkStart w:id="2" w:name="OLE_LINK52"/>
      <w:bookmarkStart w:id="3" w:name="OLE_LINK53"/>
      <w:r>
        <w:rPr>
          <w:rFonts w:hint="eastAsia" w:ascii="仿宋" w:hAnsi="仿宋" w:eastAsia="仿宋" w:cs="仿宋"/>
          <w:sz w:val="32"/>
          <w:szCs w:val="32"/>
          <w:highlight w:val="none"/>
        </w:rPr>
        <w:t>项目名称：</w:t>
      </w:r>
      <w:bookmarkEnd w:id="2"/>
      <w:bookmarkEnd w:id="3"/>
      <w:r>
        <w:rPr>
          <w:rFonts w:hint="eastAsia" w:ascii="仿宋" w:hAnsi="仿宋" w:eastAsia="仿宋" w:cs="仿宋"/>
          <w:sz w:val="32"/>
          <w:szCs w:val="32"/>
          <w:highlight w:val="none"/>
          <w:u w:val="single"/>
          <w:lang w:val="en-US" w:eastAsia="zh-CN"/>
        </w:rPr>
        <w:t>厂区废弃金属回收项目</w:t>
      </w:r>
    </w:p>
    <w:p w14:paraId="379DFA08">
      <w:pPr>
        <w:rPr>
          <w:rFonts w:hint="eastAsia" w:ascii="仿宋" w:hAnsi="仿宋" w:eastAsia="仿宋" w:cs="仿宋"/>
          <w:sz w:val="84"/>
        </w:rPr>
      </w:pPr>
    </w:p>
    <w:p w14:paraId="35399FB6">
      <w:pPr>
        <w:rPr>
          <w:rFonts w:hint="eastAsia" w:ascii="仿宋" w:hAnsi="仿宋" w:eastAsia="仿宋" w:cs="仿宋"/>
          <w:sz w:val="84"/>
        </w:rPr>
      </w:pPr>
    </w:p>
    <w:p w14:paraId="7158776F">
      <w:pPr>
        <w:rPr>
          <w:rFonts w:hint="eastAsia" w:ascii="仿宋" w:hAnsi="仿宋" w:eastAsia="仿宋" w:cs="仿宋"/>
          <w:sz w:val="84"/>
        </w:rPr>
      </w:pPr>
    </w:p>
    <w:p w14:paraId="5CEDDC98">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lang w:val="en-US" w:eastAsia="zh-CN"/>
        </w:rPr>
        <w:t>五</w:t>
      </w:r>
      <w:r>
        <w:rPr>
          <w:rFonts w:hint="eastAsia" w:ascii="仿宋" w:hAnsi="仿宋" w:eastAsia="仿宋" w:cs="仿宋"/>
          <w:sz w:val="32"/>
          <w:szCs w:val="32"/>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21391136">
      <w:pPr>
        <w:pStyle w:val="2"/>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TOC \o "1-1" \h \u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_Toc12107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_Toc12107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58E62A0">
      <w:pPr>
        <w:pStyle w:val="2"/>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_Toc25386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第一部分   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_Toc25386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9185423">
      <w:pPr>
        <w:pStyle w:val="2"/>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_Toc12282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w:t>
      </w:r>
      <w:r>
        <w:rPr>
          <w:rFonts w:hint="eastAsia" w:ascii="Times New Roman" w:hAnsi="Times New Roman" w:eastAsia="仿宋" w:cs="Times New Roman"/>
          <w:b w:val="0"/>
          <w:bCs/>
          <w:sz w:val="32"/>
          <w:szCs w:val="32"/>
          <w:lang w:val="en-US" w:eastAsia="zh-CN"/>
        </w:rPr>
        <w:t>二</w:t>
      </w:r>
      <w:r>
        <w:rPr>
          <w:rFonts w:hint="eastAsia" w:ascii="Times New Roman" w:hAnsi="Times New Roman" w:eastAsia="仿宋" w:cs="Times New Roman"/>
          <w:b w:val="0"/>
          <w:bCs/>
          <w:sz w:val="32"/>
          <w:szCs w:val="32"/>
        </w:rPr>
        <w:t xml:space="preserve">部分 </w:t>
      </w:r>
      <w:r>
        <w:rPr>
          <w:rFonts w:hint="eastAsia" w:eastAsia="仿宋" w:cs="Times New Roman"/>
          <w:b w:val="0"/>
          <w:bCs/>
          <w:sz w:val="32"/>
          <w:szCs w:val="32"/>
          <w:lang w:val="en-US" w:eastAsia="zh-CN"/>
        </w:rPr>
        <w:t xml:space="preserve">  须知</w:t>
      </w:r>
      <w:r>
        <w:rPr>
          <w:rFonts w:hint="eastAsia" w:ascii="Times New Roman" w:hAnsi="Times New Roman" w:eastAsia="仿宋" w:cs="Times New Roman"/>
          <w:b w:val="0"/>
          <w:bCs/>
          <w:sz w:val="32"/>
          <w:szCs w:val="32"/>
        </w:rPr>
        <w:tab/>
      </w:r>
      <w:r>
        <w:rPr>
          <w:rFonts w:hint="eastAsia" w:eastAsia="仿宋" w:cs="Times New Roman"/>
          <w:b w:val="0"/>
          <w:bCs/>
          <w:sz w:val="32"/>
          <w:szCs w:val="32"/>
          <w:lang w:val="en-US" w:eastAsia="zh-CN"/>
        </w:rPr>
        <w:t>5</w:t>
      </w:r>
      <w:r>
        <w:rPr>
          <w:rFonts w:hint="eastAsia" w:ascii="Times New Roman" w:hAnsi="Times New Roman" w:eastAsia="仿宋" w:cs="Times New Roman"/>
          <w:b w:val="0"/>
          <w:bCs/>
          <w:sz w:val="32"/>
          <w:szCs w:val="32"/>
        </w:rPr>
        <w:fldChar w:fldCharType="end"/>
      </w:r>
    </w:p>
    <w:p w14:paraId="7A1CDB32">
      <w:pPr>
        <w:pStyle w:val="2"/>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_Toc24972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第三部分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_Toc24972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8</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9419028">
      <w:pPr>
        <w:pStyle w:val="2"/>
        <w:tabs>
          <w:tab w:val="right" w:leader="dot" w:pos="9070"/>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25386"/>
      <w:r>
        <w:rPr>
          <w:rFonts w:hint="eastAsia" w:ascii="仿宋" w:hAnsi="仿宋" w:eastAsia="仿宋" w:cs="仿宋"/>
          <w:b/>
          <w:snapToGrid w:val="0"/>
          <w:color w:val="000000"/>
          <w:kern w:val="44"/>
          <w:sz w:val="44"/>
          <w:szCs w:val="44"/>
          <w:lang w:val="en-US" w:eastAsia="zh-CN" w:bidi="ar-SA"/>
        </w:rPr>
        <w:t>第一部分   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对公司内</w:t>
      </w:r>
      <w:r>
        <w:rPr>
          <w:rFonts w:hint="eastAsia" w:ascii="仿宋" w:hAnsi="仿宋" w:eastAsia="仿宋" w:cs="仿宋"/>
          <w:sz w:val="30"/>
          <w:szCs w:val="30"/>
          <w:lang w:val="en-US" w:eastAsia="zh-CN"/>
        </w:rPr>
        <w:t>厂区废弃金属回收项目进行询价</w:t>
      </w:r>
      <w:r>
        <w:rPr>
          <w:rFonts w:hint="eastAsia" w:ascii="仿宋" w:hAnsi="仿宋" w:eastAsia="仿宋" w:cs="仿宋"/>
          <w:sz w:val="30"/>
          <w:szCs w:val="30"/>
        </w:rPr>
        <w:t>，欢迎符合要求的供应商积极参与。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SX-ZH-HS-2604011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4289" w:type="pct"/>
        <w:jc w:val="center"/>
        <w:tblLayout w:type="autofit"/>
        <w:tblCellMar>
          <w:top w:w="0" w:type="dxa"/>
          <w:left w:w="108" w:type="dxa"/>
          <w:bottom w:w="0" w:type="dxa"/>
          <w:right w:w="108" w:type="dxa"/>
        </w:tblCellMar>
      </w:tblPr>
      <w:tblGrid>
        <w:gridCol w:w="820"/>
        <w:gridCol w:w="1906"/>
        <w:gridCol w:w="2826"/>
        <w:gridCol w:w="1176"/>
        <w:gridCol w:w="1238"/>
      </w:tblGrid>
      <w:tr w14:paraId="69744A34">
        <w:tblPrEx>
          <w:tblCellMar>
            <w:top w:w="0" w:type="dxa"/>
            <w:left w:w="108" w:type="dxa"/>
            <w:bottom w:w="0" w:type="dxa"/>
            <w:right w:w="108" w:type="dxa"/>
          </w:tblCellMar>
        </w:tblPrEx>
        <w:trPr>
          <w:trHeight w:val="90"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14:paraId="41F1A2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4B86D4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产品名称</w:t>
            </w:r>
          </w:p>
        </w:tc>
        <w:tc>
          <w:tcPr>
            <w:tcW w:w="1815" w:type="pct"/>
            <w:tcBorders>
              <w:top w:val="single" w:color="000000" w:sz="4" w:space="0"/>
              <w:left w:val="single" w:color="000000" w:sz="4" w:space="0"/>
              <w:bottom w:val="single" w:color="000000" w:sz="4" w:space="0"/>
              <w:right w:val="single" w:color="000000" w:sz="4" w:space="0"/>
            </w:tcBorders>
            <w:noWrap/>
            <w:vAlign w:val="center"/>
          </w:tcPr>
          <w:p w14:paraId="49C5937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型号规格</w:t>
            </w:r>
          </w:p>
        </w:tc>
        <w:tc>
          <w:tcPr>
            <w:tcW w:w="569" w:type="pct"/>
            <w:tcBorders>
              <w:top w:val="single" w:color="000000" w:sz="4" w:space="0"/>
              <w:left w:val="single" w:color="000000" w:sz="4" w:space="0"/>
              <w:bottom w:val="single" w:color="000000" w:sz="4" w:space="0"/>
              <w:right w:val="single" w:color="000000" w:sz="4" w:space="0"/>
            </w:tcBorders>
            <w:noWrap/>
            <w:vAlign w:val="center"/>
          </w:tcPr>
          <w:p w14:paraId="76F6BC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预估数量</w:t>
            </w:r>
          </w:p>
        </w:tc>
        <w:tc>
          <w:tcPr>
            <w:tcW w:w="819" w:type="pct"/>
            <w:tcBorders>
              <w:top w:val="single" w:color="000000" w:sz="4" w:space="0"/>
              <w:left w:val="single" w:color="000000" w:sz="4" w:space="0"/>
              <w:bottom w:val="single" w:color="000000" w:sz="4" w:space="0"/>
              <w:right w:val="single" w:color="000000" w:sz="4" w:space="0"/>
            </w:tcBorders>
            <w:noWrap/>
            <w:vAlign w:val="center"/>
          </w:tcPr>
          <w:p w14:paraId="449A6A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r>
      <w:tr w14:paraId="15DB7AC8">
        <w:tblPrEx>
          <w:tblCellMar>
            <w:top w:w="0" w:type="dxa"/>
            <w:left w:w="108" w:type="dxa"/>
            <w:bottom w:w="0" w:type="dxa"/>
            <w:right w:w="108" w:type="dxa"/>
          </w:tblCellMar>
        </w:tblPrEx>
        <w:trPr>
          <w:trHeight w:val="561"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14:paraId="371A7BFD">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1</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0D6FCA89">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废铁</w:t>
            </w:r>
          </w:p>
        </w:tc>
        <w:tc>
          <w:tcPr>
            <w:tcW w:w="1815" w:type="pct"/>
            <w:tcBorders>
              <w:top w:val="single" w:color="000000" w:sz="4" w:space="0"/>
              <w:left w:val="single" w:color="000000" w:sz="4" w:space="0"/>
              <w:bottom w:val="single" w:color="000000" w:sz="4" w:space="0"/>
              <w:right w:val="single" w:color="000000" w:sz="4" w:space="0"/>
            </w:tcBorders>
            <w:noWrap w:val="0"/>
            <w:vAlign w:val="center"/>
          </w:tcPr>
          <w:p w14:paraId="0D11C5FC">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7B0FB62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default" w:ascii="仿宋" w:hAnsi="仿宋" w:eastAsia="仿宋" w:cs="仿宋"/>
                <w:i w:val="0"/>
                <w:iCs w:val="0"/>
                <w:color w:val="000000"/>
                <w:kern w:val="0"/>
                <w:sz w:val="22"/>
                <w:szCs w:val="22"/>
                <w:u w:val="none"/>
                <w:lang w:val="en-US" w:eastAsia="zh-CN" w:bidi="ar"/>
              </w:rPr>
              <w:t>250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637E5C51">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吨</w:t>
            </w:r>
          </w:p>
        </w:tc>
      </w:tr>
      <w:tr w14:paraId="43949AF0">
        <w:tblPrEx>
          <w:tblCellMar>
            <w:top w:w="0" w:type="dxa"/>
            <w:left w:w="108" w:type="dxa"/>
            <w:bottom w:w="0" w:type="dxa"/>
            <w:right w:w="108" w:type="dxa"/>
          </w:tblCellMar>
        </w:tblPrEx>
        <w:trPr>
          <w:trHeight w:val="561" w:hRule="atLeast"/>
          <w:jc w:val="center"/>
        </w:trPr>
        <w:tc>
          <w:tcPr>
            <w:tcW w:w="557" w:type="pct"/>
            <w:tcBorders>
              <w:top w:val="single" w:color="000000" w:sz="4" w:space="0"/>
              <w:left w:val="single" w:color="000000" w:sz="4" w:space="0"/>
              <w:bottom w:val="single" w:color="000000" w:sz="4" w:space="0"/>
              <w:right w:val="single" w:color="000000" w:sz="4" w:space="0"/>
            </w:tcBorders>
            <w:noWrap/>
            <w:vAlign w:val="center"/>
          </w:tcPr>
          <w:p w14:paraId="480CA3B2">
            <w:pPr>
              <w:keepNext w:val="0"/>
              <w:keepLines w:val="0"/>
              <w:widowControl/>
              <w:suppressLineNumbers w:val="0"/>
              <w:jc w:val="center"/>
              <w:textAlignment w:val="center"/>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2</w:t>
            </w:r>
          </w:p>
        </w:tc>
        <w:tc>
          <w:tcPr>
            <w:tcW w:w="1238" w:type="pct"/>
            <w:tcBorders>
              <w:top w:val="single" w:color="000000" w:sz="4" w:space="0"/>
              <w:left w:val="single" w:color="000000" w:sz="4" w:space="0"/>
              <w:bottom w:val="single" w:color="000000" w:sz="4" w:space="0"/>
              <w:right w:val="single" w:color="000000" w:sz="4" w:space="0"/>
            </w:tcBorders>
            <w:noWrap w:val="0"/>
            <w:vAlign w:val="center"/>
          </w:tcPr>
          <w:p w14:paraId="4DDCD90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废瓦</w:t>
            </w:r>
          </w:p>
        </w:tc>
        <w:tc>
          <w:tcPr>
            <w:tcW w:w="1815" w:type="pct"/>
            <w:tcBorders>
              <w:top w:val="single" w:color="000000" w:sz="4" w:space="0"/>
              <w:left w:val="single" w:color="000000" w:sz="4" w:space="0"/>
              <w:bottom w:val="single" w:color="000000" w:sz="4" w:space="0"/>
              <w:right w:val="single" w:color="000000" w:sz="4" w:space="0"/>
            </w:tcBorders>
            <w:noWrap w:val="0"/>
            <w:vAlign w:val="center"/>
          </w:tcPr>
          <w:p w14:paraId="3E05CF7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w:t>
            </w:r>
          </w:p>
        </w:tc>
        <w:tc>
          <w:tcPr>
            <w:tcW w:w="569" w:type="pct"/>
            <w:tcBorders>
              <w:top w:val="single" w:color="000000" w:sz="4" w:space="0"/>
              <w:left w:val="single" w:color="000000" w:sz="4" w:space="0"/>
              <w:bottom w:val="single" w:color="000000" w:sz="4" w:space="0"/>
              <w:right w:val="single" w:color="000000" w:sz="4" w:space="0"/>
            </w:tcBorders>
            <w:noWrap w:val="0"/>
            <w:vAlign w:val="center"/>
          </w:tcPr>
          <w:p w14:paraId="1E4C17B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w:t>
            </w:r>
          </w:p>
        </w:tc>
        <w:tc>
          <w:tcPr>
            <w:tcW w:w="819" w:type="pct"/>
            <w:tcBorders>
              <w:top w:val="single" w:color="000000" w:sz="4" w:space="0"/>
              <w:left w:val="single" w:color="000000" w:sz="4" w:space="0"/>
              <w:bottom w:val="single" w:color="000000" w:sz="4" w:space="0"/>
              <w:right w:val="single" w:color="000000" w:sz="4" w:space="0"/>
            </w:tcBorders>
            <w:noWrap w:val="0"/>
            <w:vAlign w:val="center"/>
          </w:tcPr>
          <w:p w14:paraId="49F03E4B">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吨</w:t>
            </w:r>
          </w:p>
        </w:tc>
      </w:tr>
    </w:tbl>
    <w:p w14:paraId="7BBD5AF3">
      <w:pPr>
        <w:rPr>
          <w:rFonts w:hint="eastAsia"/>
          <w:highlight w:val="none"/>
        </w:rPr>
      </w:pPr>
    </w:p>
    <w:p w14:paraId="07AA582C">
      <w:pPr>
        <w:pStyle w:val="12"/>
        <w:snapToGrid/>
        <w:spacing w:line="360" w:lineRule="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3.本次废品库废铁、废瓦回收项目废铁报价不得低于1500元/吨，废瓦报价不得低于1200元/吨，否则做无效报价处理。</w:t>
      </w:r>
    </w:p>
    <w:p w14:paraId="3DBB0E24">
      <w:pPr>
        <w:pStyle w:val="1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4.本次询价开标采用线下开标方式，参与本项目人员须在本招标文件规定时间内到厂由采购人组织集中看现场废铁，后一并</w:t>
      </w:r>
      <w:r>
        <w:rPr>
          <w:rFonts w:hint="eastAsia" w:ascii="仿宋" w:hAnsi="仿宋" w:eastAsia="仿宋" w:cs="仿宋"/>
          <w:sz w:val="30"/>
          <w:szCs w:val="30"/>
          <w:highlight w:val="none"/>
          <w:lang w:val="en-US" w:eastAsia="zh-CN"/>
        </w:rPr>
        <w:t>在四楼培训室分别进行报价，参与本项目人员须自备</w:t>
      </w:r>
      <w:r>
        <w:rPr>
          <w:rFonts w:hint="eastAsia" w:ascii="仿宋" w:hAnsi="仿宋" w:eastAsia="仿宋" w:cs="仿宋"/>
          <w:b/>
          <w:bCs/>
          <w:sz w:val="30"/>
          <w:szCs w:val="30"/>
          <w:highlight w:val="none"/>
          <w:lang w:val="en-US" w:eastAsia="zh-CN"/>
        </w:rPr>
        <w:t>身份证复印件（正反面）</w:t>
      </w:r>
      <w:r>
        <w:rPr>
          <w:rFonts w:hint="eastAsia" w:ascii="仿宋" w:hAnsi="仿宋" w:eastAsia="仿宋" w:cs="仿宋"/>
          <w:b/>
          <w:bCs/>
          <w:sz w:val="30"/>
          <w:szCs w:val="30"/>
          <w:lang w:val="en-US" w:eastAsia="zh-CN"/>
        </w:rPr>
        <w:t>两份并署名</w:t>
      </w:r>
      <w:r>
        <w:rPr>
          <w:rFonts w:hint="eastAsia" w:ascii="仿宋" w:hAnsi="仿宋" w:eastAsia="仿宋" w:cs="仿宋"/>
          <w:sz w:val="30"/>
          <w:szCs w:val="30"/>
          <w:lang w:val="en-US" w:eastAsia="zh-CN"/>
        </w:rPr>
        <w:t>，若未满足以上要求，做无效报价处理。</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19A7E53E">
      <w:pPr>
        <w:pStyle w:val="12"/>
        <w:snapToGrid/>
        <w:spacing w:line="360" w:lineRule="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1.报价单位负责人为同一人或者存在控股、管理关系的不同单位，不得同时参加本项目。  </w:t>
      </w:r>
    </w:p>
    <w:p w14:paraId="1ADFA4F5">
      <w:pPr>
        <w:pStyle w:val="12"/>
        <w:snapToGrid/>
        <w:spacing w:line="360" w:lineRule="auto"/>
        <w:rPr>
          <w:rFonts w:hint="default"/>
          <w:highlight w:val="none"/>
          <w:lang w:val="en-US" w:eastAsia="zh-CN"/>
        </w:rPr>
      </w:pPr>
      <w:r>
        <w:rPr>
          <w:rFonts w:hint="eastAsia" w:ascii="仿宋" w:hAnsi="仿宋" w:eastAsia="仿宋" w:cs="仿宋"/>
          <w:sz w:val="30"/>
          <w:szCs w:val="30"/>
          <w:highlight w:val="none"/>
          <w:lang w:val="en-US" w:eastAsia="zh-CN"/>
        </w:rPr>
        <w:t>2.本项目不接受联合体报价。</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3"/>
      <w:bookmarkStart w:id="8"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7735B2F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6月5日</w:t>
      </w:r>
      <w:r>
        <w:rPr>
          <w:rFonts w:hint="eastAsia" w:ascii="仿宋_GB2312" w:eastAsia="仿宋_GB2312"/>
          <w:sz w:val="30"/>
          <w:szCs w:val="30"/>
        </w:rPr>
        <w:t>。</w:t>
      </w:r>
    </w:p>
    <w:p w14:paraId="0CD2B13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2.地点：</w:t>
      </w:r>
      <w:r>
        <w:rPr>
          <w:rFonts w:hint="eastAsia" w:ascii="仿宋_GB2312" w:eastAsia="仿宋_GB2312"/>
          <w:sz w:val="30"/>
          <w:szCs w:val="30"/>
          <w:lang w:eastAsia="zh-CN"/>
        </w:rPr>
        <w:t>浙江省绍兴市柯桥区钱滨线二线海塘绍兴市再生能源发展有限公司。</w:t>
      </w:r>
    </w:p>
    <w:p w14:paraId="01827482">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w:t>
      </w:r>
      <w:r>
        <w:rPr>
          <w:rFonts w:hint="eastAsia" w:ascii="仿宋_GB2312" w:eastAsia="仿宋_GB2312"/>
          <w:sz w:val="30"/>
          <w:szCs w:val="30"/>
          <w:lang w:eastAsia="zh-CN"/>
        </w:rPr>
        <w:t>报价方式</w:t>
      </w:r>
      <w:r>
        <w:rPr>
          <w:rFonts w:hint="eastAsia" w:ascii="仿宋_GB2312" w:eastAsia="仿宋_GB2312"/>
          <w:sz w:val="30"/>
          <w:szCs w:val="30"/>
        </w:rPr>
        <w:t>：</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w:t>
      </w:r>
      <w:r>
        <w:rPr>
          <w:rFonts w:hint="eastAsia" w:ascii="仿宋_GB2312" w:eastAsia="仿宋_GB2312"/>
          <w:sz w:val="30"/>
          <w:szCs w:val="30"/>
          <w:lang w:val="en-US" w:eastAsia="zh-CN"/>
        </w:rPr>
        <w:t>2026年6月5日上午10点集中看现场废铁，后一并在四楼培训室分别进行报价</w:t>
      </w:r>
      <w:r>
        <w:rPr>
          <w:rFonts w:hint="eastAsia" w:ascii="仿宋_GB2312" w:eastAsia="仿宋_GB2312"/>
          <w:sz w:val="30"/>
          <w:szCs w:val="30"/>
        </w:rPr>
        <w:t>。</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1BAFDEF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招标文件中废弃金属的种类、预估数量、堆放地点、看货方式或提货要求存在疑义，应在投标前向本公司进行咨询确认。开标后本公司不再回答相关问题。若报价人中标后以货物实际情况与预期不符为由拒绝履行合同或拒绝支付货款，则由报价人自行承担全部责任，且本公司有权没收其投标保证金。</w:t>
      </w:r>
    </w:p>
    <w:p w14:paraId="5AE7D10E">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2.本项目严格采用“现场看货、现状出售”的方式进行交易。报价人必须在招标文件规定的时间内，前往采购人指定地点参与集中现场踏勘，对标的物（包括但不限于金属种类、规格型号、锈蚀程度、杂质含量、堆放现状等）进行全面查验。报价人一旦提交报价文件，即视为已充分了解并接受货物的实物现状，完全认可采购人对货物数量及质量的描述，并自愿承担由此产生的一切风险。预估数量仅作为报价参考，不作为最终结算依据，最终结算重量以实际出库过磅重量为准。 报价人不得在成交后以货物现状、质量瑕疵或实际数量与预估不符等为由提出异议、拒收货物或要求调整价格。</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3</w:t>
      </w:r>
      <w:r>
        <w:rPr>
          <w:rFonts w:hint="eastAsia" w:ascii="仿宋_GB2312" w:hAnsi="Times New Roman" w:eastAsia="仿宋_GB2312" w:cs="Times New Roman"/>
          <w:sz w:val="30"/>
          <w:szCs w:val="30"/>
          <w:lang w:val="en-US" w:eastAsia="zh-CN"/>
        </w:rPr>
        <w:t>.联系人：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0C5AC8FA">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_GB2312" w:eastAsia="仿宋_GB2312"/>
          <w:sz w:val="30"/>
          <w:szCs w:val="30"/>
          <w:lang w:val="en-US" w:eastAsia="zh-CN"/>
        </w:rPr>
        <w:t xml:space="preserve">                                         2026</w:t>
      </w:r>
      <w:r>
        <w:rPr>
          <w:rFonts w:hint="default" w:ascii="仿宋_GB2312" w:eastAsia="仿宋_GB2312"/>
          <w:sz w:val="30"/>
          <w:szCs w:val="30"/>
          <w:lang w:val="en-US"/>
        </w:rPr>
        <w:t>年</w:t>
      </w:r>
      <w:r>
        <w:rPr>
          <w:rFonts w:hint="eastAsia" w:ascii="仿宋_GB2312" w:eastAsia="仿宋_GB2312"/>
          <w:sz w:val="30"/>
          <w:szCs w:val="30"/>
          <w:lang w:val="en-US" w:eastAsia="zh-CN"/>
        </w:rPr>
        <w:t>5月29</w:t>
      </w:r>
      <w:r>
        <w:rPr>
          <w:rFonts w:hint="eastAsia" w:ascii="仿宋_GB2312" w:eastAsia="仿宋_GB2312"/>
          <w:sz w:val="30"/>
          <w:szCs w:val="30"/>
        </w:rPr>
        <w:t>日</w:t>
      </w:r>
      <w:bookmarkStart w:id="15" w:name="_GoBack"/>
      <w:bookmarkEnd w:id="15"/>
      <w:r>
        <w:rPr>
          <w:rFonts w:hint="eastAsia" w:ascii="仿宋_GB2312" w:eastAsia="仿宋_GB2312"/>
          <w:sz w:val="30"/>
          <w:szCs w:val="30"/>
        </w:rPr>
        <w:br w:type="page"/>
      </w:r>
      <w:bookmarkStart w:id="9" w:name="_Toc530583922"/>
      <w:bookmarkStart w:id="10" w:name="_Toc530583879"/>
      <w:r>
        <w:rPr>
          <w:rFonts w:hint="eastAsia" w:ascii="仿宋" w:hAnsi="仿宋" w:eastAsia="仿宋" w:cs="仿宋"/>
          <w:b/>
          <w:snapToGrid w:val="0"/>
          <w:color w:val="000000"/>
          <w:kern w:val="44"/>
          <w:sz w:val="44"/>
          <w:szCs w:val="44"/>
          <w:lang w:val="en-US" w:eastAsia="zh-CN" w:bidi="ar-SA"/>
        </w:rPr>
        <w:t>第二部分   须知</w:t>
      </w:r>
      <w:bookmarkEnd w:id="9"/>
      <w:bookmarkEnd w:id="10"/>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2322E8E0">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p>
    <w:p w14:paraId="3A7E1AED">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二、报价。</w:t>
      </w:r>
    </w:p>
    <w:p w14:paraId="16886DD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11F0D0CA">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eastAsia="zh-CN"/>
        </w:rPr>
        <w:t>二</w:t>
      </w:r>
      <w:r>
        <w:rPr>
          <w:rFonts w:hint="eastAsia" w:ascii="仿宋_GB2312" w:hAnsi="宋体" w:eastAsia="仿宋_GB2312"/>
          <w:sz w:val="30"/>
          <w:szCs w:val="30"/>
        </w:rPr>
        <w:t>）</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77B2ABDD">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三、询价过程。</w:t>
      </w:r>
    </w:p>
    <w:p w14:paraId="56F9CD43">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71D74AE0">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1BF02B07">
      <w:pPr>
        <w:pageBreakBefore w:val="0"/>
        <w:kinsoku/>
        <w:wordWrap/>
        <w:topLinePunct w:val="0"/>
        <w:bidi w:val="0"/>
        <w:snapToGrid w:val="0"/>
        <w:spacing w:line="360" w:lineRule="auto"/>
        <w:ind w:firstLine="602" w:firstLineChars="200"/>
        <w:jc w:val="left"/>
        <w:outlineLvl w:val="1"/>
        <w:rPr>
          <w:rFonts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成交原则与方法。</w:t>
      </w:r>
    </w:p>
    <w:p w14:paraId="0009E4CA">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本公司</w:t>
      </w:r>
      <w:r>
        <w:rPr>
          <w:rFonts w:hint="eastAsia" w:ascii="仿宋_GB2312" w:eastAsia="仿宋_GB2312"/>
          <w:sz w:val="30"/>
          <w:szCs w:val="30"/>
        </w:rPr>
        <w:t>组织评审小组对各单位的报价资料进行审核，在满足要求的前提下，按经评审通过后总金额</w:t>
      </w:r>
      <w:r>
        <w:rPr>
          <w:rFonts w:hint="eastAsia" w:ascii="仿宋_GB2312" w:eastAsia="仿宋_GB2312"/>
          <w:sz w:val="30"/>
          <w:szCs w:val="30"/>
          <w:lang w:eastAsia="zh-CN"/>
        </w:rPr>
        <w:t>最高价</w:t>
      </w:r>
      <w:r>
        <w:rPr>
          <w:rFonts w:hint="eastAsia" w:ascii="仿宋_GB2312" w:eastAsia="仿宋_GB2312"/>
          <w:sz w:val="30"/>
          <w:szCs w:val="30"/>
        </w:rPr>
        <w:t>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w:t>
      </w:r>
      <w:r>
        <w:rPr>
          <w:rFonts w:hint="eastAsia" w:ascii="仿宋_GB2312" w:eastAsia="仿宋_GB2312"/>
          <w:sz w:val="30"/>
          <w:szCs w:val="30"/>
          <w:lang w:eastAsia="zh-CN"/>
        </w:rPr>
        <w:t>高</w:t>
      </w:r>
      <w:r>
        <w:rPr>
          <w:rFonts w:hint="eastAsia" w:ascii="仿宋_GB2312" w:eastAsia="仿宋_GB2312"/>
          <w:sz w:val="30"/>
          <w:szCs w:val="30"/>
        </w:rPr>
        <w:t>报价情况时，总金额最</w:t>
      </w:r>
      <w:r>
        <w:rPr>
          <w:rFonts w:hint="eastAsia" w:ascii="仿宋_GB2312" w:eastAsia="仿宋_GB2312"/>
          <w:sz w:val="30"/>
          <w:szCs w:val="30"/>
          <w:lang w:eastAsia="zh-CN"/>
        </w:rPr>
        <w:t>高</w:t>
      </w:r>
      <w:r>
        <w:rPr>
          <w:rFonts w:hint="eastAsia" w:ascii="仿宋_GB2312" w:eastAsia="仿宋_GB2312"/>
          <w:sz w:val="30"/>
          <w:szCs w:val="30"/>
        </w:rPr>
        <w:t>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14:paraId="201BDA4C">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五</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1EC29599">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w:t>
      </w:r>
      <w:r>
        <w:rPr>
          <w:rFonts w:hint="eastAsia" w:ascii="仿宋_GB2312" w:eastAsia="仿宋_GB2312"/>
          <w:sz w:val="30"/>
          <w:szCs w:val="30"/>
          <w:lang w:val="en-US" w:eastAsia="zh-CN"/>
        </w:rPr>
        <w:t>四</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w:t>
      </w:r>
    </w:p>
    <w:p w14:paraId="6A5FC62D">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、其他。</w:t>
      </w:r>
    </w:p>
    <w:p w14:paraId="7604BB5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本公司</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3C367A0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3"/>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5"/>
        <w:rPr>
          <w:rFonts w:hint="eastAsia" w:ascii="仿宋" w:hAnsi="仿宋" w:eastAsia="仿宋" w:cs="仿宋"/>
          <w:snapToGrid w:val="0"/>
          <w:sz w:val="44"/>
          <w:szCs w:val="44"/>
        </w:rPr>
      </w:pPr>
    </w:p>
    <w:p w14:paraId="5677F180">
      <w:pPr>
        <w:pStyle w:val="3"/>
        <w:numPr>
          <w:ilvl w:val="0"/>
          <w:numId w:val="0"/>
        </w:numPr>
        <w:jc w:val="both"/>
        <w:rPr>
          <w:rFonts w:hint="eastAsia" w:ascii="仿宋" w:hAnsi="仿宋" w:eastAsia="仿宋" w:cs="仿宋"/>
          <w:snapToGrid w:val="0"/>
          <w:sz w:val="44"/>
          <w:szCs w:val="44"/>
        </w:rPr>
      </w:pPr>
    </w:p>
    <w:p w14:paraId="4BFC861E">
      <w:pPr>
        <w:rPr>
          <w:rFonts w:hint="eastAsia" w:ascii="仿宋" w:hAnsi="仿宋" w:eastAsia="仿宋" w:cs="仿宋"/>
          <w:snapToGrid w:val="0"/>
          <w:sz w:val="44"/>
          <w:szCs w:val="44"/>
        </w:rPr>
      </w:pPr>
    </w:p>
    <w:p w14:paraId="694DD683">
      <w:pPr>
        <w:pStyle w:val="12"/>
        <w:rPr>
          <w:rFonts w:hint="eastAsia"/>
        </w:rPr>
      </w:pPr>
    </w:p>
    <w:p w14:paraId="38EBAF5E">
      <w:pPr>
        <w:pStyle w:val="12"/>
        <w:rPr>
          <w:rFonts w:hint="eastAsia"/>
        </w:rPr>
      </w:pPr>
    </w:p>
    <w:p w14:paraId="558BCE78">
      <w:pPr>
        <w:pStyle w:val="12"/>
        <w:rPr>
          <w:rFonts w:hint="eastAsia"/>
        </w:rPr>
      </w:pPr>
    </w:p>
    <w:p w14:paraId="44EECF5C">
      <w:pPr>
        <w:pStyle w:val="12"/>
        <w:rPr>
          <w:rFonts w:hint="eastAsia"/>
        </w:rPr>
      </w:pPr>
    </w:p>
    <w:p w14:paraId="6AEEB475">
      <w:pPr>
        <w:pStyle w:val="12"/>
        <w:rPr>
          <w:rFonts w:hint="eastAsia"/>
        </w:rPr>
      </w:pPr>
    </w:p>
    <w:p w14:paraId="00C75337">
      <w:pPr>
        <w:pStyle w:val="12"/>
        <w:rPr>
          <w:rFonts w:hint="eastAsia"/>
        </w:rPr>
      </w:pPr>
    </w:p>
    <w:p w14:paraId="5E8B4763">
      <w:pPr>
        <w:pStyle w:val="12"/>
        <w:rPr>
          <w:rFonts w:hint="eastAsia"/>
        </w:rPr>
      </w:pPr>
    </w:p>
    <w:p w14:paraId="0A40157F">
      <w:pPr>
        <w:pStyle w:val="12"/>
        <w:rPr>
          <w:rFonts w:hint="eastAsia"/>
        </w:rPr>
      </w:pPr>
    </w:p>
    <w:p w14:paraId="0020011C">
      <w:pPr>
        <w:pStyle w:val="12"/>
        <w:rPr>
          <w:rFonts w:hint="eastAsia"/>
        </w:rPr>
      </w:pPr>
    </w:p>
    <w:p w14:paraId="170A655F">
      <w:pPr>
        <w:pStyle w:val="3"/>
        <w:numPr>
          <w:ilvl w:val="0"/>
          <w:numId w:val="0"/>
        </w:numPr>
        <w:ind w:leftChars="0"/>
        <w:jc w:val="center"/>
        <w:rPr>
          <w:rFonts w:hint="eastAsia" w:ascii="仿宋" w:hAnsi="仿宋" w:eastAsia="仿宋" w:cs="仿宋"/>
          <w:snapToGrid w:val="0"/>
          <w:sz w:val="44"/>
          <w:szCs w:val="44"/>
        </w:rPr>
      </w:pPr>
      <w:bookmarkStart w:id="11" w:name="_Toc24972"/>
      <w:r>
        <w:rPr>
          <w:rFonts w:hint="eastAsia" w:ascii="仿宋" w:hAnsi="仿宋" w:eastAsia="仿宋" w:cs="仿宋"/>
          <w:snapToGrid w:val="0"/>
          <w:sz w:val="44"/>
          <w:szCs w:val="44"/>
        </w:rPr>
        <w:t xml:space="preserve">第三部分   </w:t>
      </w:r>
      <w:bookmarkEnd w:id="7"/>
      <w:bookmarkEnd w:id="8"/>
      <w:r>
        <w:rPr>
          <w:rFonts w:hint="eastAsia" w:ascii="仿宋" w:hAnsi="仿宋" w:eastAsia="仿宋" w:cs="仿宋"/>
          <w:snapToGrid w:val="0"/>
          <w:sz w:val="44"/>
          <w:szCs w:val="44"/>
        </w:rPr>
        <w:t xml:space="preserve">   </w:t>
      </w:r>
      <w:bookmarkStart w:id="12" w:name="_Toc12282"/>
      <w:r>
        <w:rPr>
          <w:rFonts w:hint="eastAsia" w:ascii="仿宋" w:hAnsi="仿宋" w:eastAsia="仿宋" w:cs="仿宋"/>
          <w:snapToGrid w:val="0"/>
          <w:sz w:val="44"/>
          <w:szCs w:val="44"/>
        </w:rPr>
        <w:t>报价文件格式</w:t>
      </w:r>
      <w:bookmarkEnd w:id="11"/>
      <w:bookmarkEnd w:id="12"/>
    </w:p>
    <w:p w14:paraId="6C45D942">
      <w:pPr>
        <w:jc w:val="left"/>
        <w:outlineLvl w:val="0"/>
        <w:rPr>
          <w:rStyle w:val="21"/>
          <w:rFonts w:hint="eastAsia" w:ascii="仿宋" w:hAnsi="仿宋" w:eastAsia="仿宋" w:cs="仿宋"/>
          <w:sz w:val="30"/>
          <w:lang w:eastAsia="zh-CN"/>
        </w:rPr>
      </w:pPr>
      <w:bookmarkStart w:id="13" w:name="_Toc20284"/>
      <w:bookmarkStart w:id="14" w:name="_Toc1559"/>
      <w:r>
        <w:rPr>
          <w:rStyle w:val="21"/>
          <w:rFonts w:hint="eastAsia" w:ascii="仿宋" w:hAnsi="仿宋" w:eastAsia="仿宋" w:cs="仿宋"/>
          <w:sz w:val="30"/>
          <w:lang w:eastAsia="zh-CN"/>
        </w:rPr>
        <w:t>附件一</w:t>
      </w:r>
      <w:bookmarkEnd w:id="13"/>
      <w:bookmarkEnd w:id="14"/>
    </w:p>
    <w:p w14:paraId="17C39F2C">
      <w:pPr>
        <w:spacing w:line="360" w:lineRule="auto"/>
        <w:jc w:val="center"/>
        <w:rPr>
          <w:rFonts w:ascii="仿宋_GB2312" w:eastAsia="仿宋_GB2312"/>
          <w:b/>
          <w:sz w:val="44"/>
        </w:rPr>
      </w:pPr>
      <w:r>
        <w:rPr>
          <w:rFonts w:hint="eastAsia" w:ascii="仿宋_GB2312" w:eastAsia="仿宋_GB2312"/>
          <w:b/>
          <w:sz w:val="44"/>
        </w:rPr>
        <w:t>报 价 一 览 表</w:t>
      </w:r>
    </w:p>
    <w:p w14:paraId="1B1585A5">
      <w:pPr>
        <w:pStyle w:val="22"/>
        <w:snapToGrid w:val="0"/>
        <w:spacing w:line="360" w:lineRule="auto"/>
        <w:jc w:val="left"/>
        <w:rPr>
          <w:rFonts w:ascii="仿宋_GB2312" w:eastAsia="仿宋_GB2312"/>
          <w:b w:val="0"/>
          <w:sz w:val="40"/>
          <w:szCs w:val="40"/>
        </w:rPr>
      </w:pPr>
      <w:r>
        <w:rPr>
          <w:rFonts w:hint="eastAsia" w:ascii="仿宋" w:hAnsi="仿宋" w:eastAsia="仿宋" w:cs="仿宋"/>
          <w:color w:val="auto"/>
          <w:kern w:val="2"/>
          <w:sz w:val="36"/>
          <w:szCs w:val="36"/>
          <w:highlight w:val="none"/>
          <w:lang w:val="en-US" w:eastAsia="zh-CN" w:bidi="ar-SA"/>
        </w:rPr>
        <w:t>绍兴市再生能源发展有限公司</w:t>
      </w:r>
      <w:r>
        <w:rPr>
          <w:rFonts w:hint="eastAsia" w:ascii="仿宋_GB2312" w:eastAsia="仿宋_GB2312"/>
          <w:b w:val="0"/>
          <w:sz w:val="40"/>
          <w:szCs w:val="40"/>
        </w:rPr>
        <w:t>：</w:t>
      </w:r>
    </w:p>
    <w:p w14:paraId="579F324D">
      <w:pPr>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w:t>
      </w:r>
      <w:r>
        <w:rPr>
          <w:rFonts w:hint="eastAsia" w:ascii="仿宋" w:hAnsi="仿宋" w:eastAsia="仿宋" w:cs="仿宋"/>
          <w:sz w:val="30"/>
          <w:szCs w:val="30"/>
        </w:rPr>
        <w:t>根据贵单位询价要求，参加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厂区废弃金属回收</w:t>
      </w:r>
      <w:r>
        <w:rPr>
          <w:rFonts w:hint="eastAsia" w:ascii="仿宋" w:hAnsi="仿宋" w:eastAsia="仿宋" w:cs="仿宋"/>
          <w:sz w:val="30"/>
          <w:szCs w:val="30"/>
        </w:rPr>
        <w:t>项目询价，项目编号</w:t>
      </w:r>
      <w:r>
        <w:rPr>
          <w:rFonts w:hint="eastAsia" w:ascii="仿宋" w:hAnsi="仿宋" w:eastAsia="仿宋" w:cs="仿宋"/>
          <w:sz w:val="30"/>
          <w:szCs w:val="30"/>
          <w:u w:val="single"/>
          <w:lang w:val="en-US" w:eastAsia="zh-CN"/>
        </w:rPr>
        <w:t>SX-ZH-HS-2604011</w:t>
      </w:r>
      <w:r>
        <w:rPr>
          <w:rFonts w:hint="eastAsia" w:ascii="仿宋" w:hAnsi="仿宋" w:eastAsia="仿宋" w:cs="仿宋"/>
          <w:sz w:val="30"/>
          <w:szCs w:val="30"/>
        </w:rPr>
        <w:t>，本次报价如下：</w:t>
      </w:r>
    </w:p>
    <w:p w14:paraId="4A575D95">
      <w:pPr>
        <w:pStyle w:val="2"/>
        <w:rPr>
          <w:rFonts w:hint="eastAsia" w:ascii="仿宋" w:hAnsi="仿宋" w:eastAsia="仿宋" w:cs="仿宋"/>
          <w:sz w:val="30"/>
          <w:szCs w:val="30"/>
        </w:rPr>
      </w:pPr>
    </w:p>
    <w:tbl>
      <w:tblPr>
        <w:tblStyle w:val="13"/>
        <w:tblpPr w:leftFromText="180" w:rightFromText="180" w:vertAnchor="text" w:horzAnchor="page" w:tblpXSpec="center" w:tblpY="339"/>
        <w:tblOverlap w:val="never"/>
        <w:tblW w:w="5306" w:type="pct"/>
        <w:jc w:val="center"/>
        <w:tblLayout w:type="fixed"/>
        <w:tblCellMar>
          <w:top w:w="0" w:type="dxa"/>
          <w:left w:w="0" w:type="dxa"/>
          <w:bottom w:w="0" w:type="dxa"/>
          <w:right w:w="0" w:type="dxa"/>
        </w:tblCellMar>
      </w:tblPr>
      <w:tblGrid>
        <w:gridCol w:w="995"/>
        <w:gridCol w:w="1405"/>
        <w:gridCol w:w="976"/>
        <w:gridCol w:w="1360"/>
        <w:gridCol w:w="1499"/>
        <w:gridCol w:w="1827"/>
        <w:gridCol w:w="1596"/>
      </w:tblGrid>
      <w:tr w14:paraId="4BFB76B3">
        <w:tblPrEx>
          <w:tblCellMar>
            <w:top w:w="0" w:type="dxa"/>
            <w:left w:w="0" w:type="dxa"/>
            <w:bottom w:w="0" w:type="dxa"/>
            <w:right w:w="0" w:type="dxa"/>
          </w:tblCellMar>
        </w:tblPrEx>
        <w:trPr>
          <w:trHeight w:val="593" w:hRule="atLeast"/>
          <w:jc w:val="center"/>
        </w:trPr>
        <w:tc>
          <w:tcPr>
            <w:tcW w:w="5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BF4EC">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序号</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3929">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物资名称</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444CD">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单位</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5A53D">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lang w:val="en-US" w:eastAsia="zh-CN"/>
              </w:rPr>
              <w:t>预估</w:t>
            </w:r>
            <w:r>
              <w:rPr>
                <w:rFonts w:hint="eastAsia" w:ascii="仿宋" w:hAnsi="仿宋" w:eastAsia="仿宋" w:cs="仿宋"/>
                <w:sz w:val="30"/>
                <w:szCs w:val="30"/>
              </w:rPr>
              <w:t>数量</w:t>
            </w: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4CCE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单价</w:t>
            </w:r>
          </w:p>
          <w:p w14:paraId="460938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rPr>
              <w:t>元)</w:t>
            </w: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452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金额</w:t>
            </w:r>
          </w:p>
          <w:p w14:paraId="765950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元）</w:t>
            </w:r>
          </w:p>
        </w:tc>
        <w:tc>
          <w:tcPr>
            <w:tcW w:w="8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44902">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备注</w:t>
            </w:r>
          </w:p>
        </w:tc>
      </w:tr>
      <w:tr w14:paraId="46653F2B">
        <w:tblPrEx>
          <w:tblCellMar>
            <w:top w:w="0" w:type="dxa"/>
            <w:left w:w="0" w:type="dxa"/>
            <w:bottom w:w="0" w:type="dxa"/>
            <w:right w:w="0" w:type="dxa"/>
          </w:tblCellMar>
        </w:tblPrEx>
        <w:trPr>
          <w:trHeight w:val="639" w:hRule="atLeast"/>
          <w:jc w:val="center"/>
        </w:trPr>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D8DBE">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1</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F0D80">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废铁</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57EF8">
            <w:pPr>
              <w:snapToGrid w:val="0"/>
              <w:spacing w:line="360" w:lineRule="auto"/>
              <w:jc w:val="center"/>
              <w:rPr>
                <w:rFonts w:hint="eastAsia" w:ascii="仿宋" w:hAnsi="仿宋" w:eastAsia="仿宋" w:cs="仿宋"/>
                <w:sz w:val="30"/>
                <w:szCs w:val="30"/>
              </w:rPr>
            </w:pPr>
            <w:r>
              <w:rPr>
                <w:rFonts w:hint="eastAsia" w:ascii="仿宋" w:hAnsi="仿宋" w:eastAsia="仿宋" w:cs="仿宋"/>
                <w:sz w:val="30"/>
                <w:szCs w:val="30"/>
              </w:rPr>
              <w:t>吨</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AE66B">
            <w:pPr>
              <w:snapToGrid w:val="0"/>
              <w:spacing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250</w:t>
            </w: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C99B1">
            <w:pPr>
              <w:snapToGrid w:val="0"/>
              <w:spacing w:line="360" w:lineRule="auto"/>
              <w:ind w:firstLine="600" w:firstLineChars="200"/>
              <w:jc w:val="center"/>
              <w:rPr>
                <w:rFonts w:hint="eastAsia" w:ascii="仿宋" w:hAnsi="仿宋" w:eastAsia="仿宋" w:cs="仿宋"/>
                <w:sz w:val="30"/>
                <w:szCs w:val="30"/>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D6358">
            <w:pPr>
              <w:snapToGrid w:val="0"/>
              <w:spacing w:line="360" w:lineRule="auto"/>
              <w:ind w:firstLine="600" w:firstLineChars="200"/>
              <w:jc w:val="center"/>
              <w:rPr>
                <w:rFonts w:hint="eastAsia" w:ascii="仿宋" w:hAnsi="仿宋" w:eastAsia="仿宋" w:cs="仿宋"/>
                <w:sz w:val="30"/>
                <w:szCs w:val="30"/>
              </w:rPr>
            </w:pP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D0F0">
            <w:pPr>
              <w:snapToGrid w:val="0"/>
              <w:spacing w:line="360" w:lineRule="auto"/>
              <w:ind w:firstLine="600" w:firstLineChars="200"/>
              <w:jc w:val="center"/>
              <w:rPr>
                <w:rFonts w:hint="eastAsia" w:ascii="仿宋" w:hAnsi="仿宋" w:eastAsia="仿宋" w:cs="仿宋"/>
                <w:sz w:val="30"/>
                <w:szCs w:val="30"/>
              </w:rPr>
            </w:pPr>
          </w:p>
        </w:tc>
      </w:tr>
      <w:tr w14:paraId="0CA6949A">
        <w:tblPrEx>
          <w:tblCellMar>
            <w:top w:w="0" w:type="dxa"/>
            <w:left w:w="0" w:type="dxa"/>
            <w:bottom w:w="0" w:type="dxa"/>
            <w:right w:w="0" w:type="dxa"/>
          </w:tblCellMar>
        </w:tblPrEx>
        <w:trPr>
          <w:trHeight w:val="699" w:hRule="atLeast"/>
          <w:jc w:val="center"/>
        </w:trPr>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3824E">
            <w:pPr>
              <w:snapToGrid w:val="0"/>
              <w:spacing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5BE21">
            <w:pPr>
              <w:snapToGrid w:val="0"/>
              <w:spacing w:line="360" w:lineRule="auto"/>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废瓦</w:t>
            </w:r>
          </w:p>
        </w:tc>
        <w:tc>
          <w:tcPr>
            <w:tcW w:w="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E5475">
            <w:pPr>
              <w:snapToGrid w:val="0"/>
              <w:spacing w:line="360" w:lineRule="auto"/>
              <w:jc w:val="center"/>
              <w:rPr>
                <w:rFonts w:hint="eastAsia" w:ascii="仿宋" w:hAnsi="仿宋" w:eastAsia="仿宋" w:cs="仿宋"/>
                <w:sz w:val="30"/>
                <w:szCs w:val="30"/>
                <w:lang w:eastAsia="zh-CN"/>
              </w:rPr>
            </w:pPr>
            <w:r>
              <w:rPr>
                <w:rFonts w:hint="eastAsia" w:ascii="仿宋" w:hAnsi="仿宋" w:eastAsia="仿宋" w:cs="仿宋"/>
                <w:sz w:val="30"/>
                <w:szCs w:val="30"/>
                <w:lang w:eastAsia="zh-CN"/>
              </w:rPr>
              <w:t>吨</w:t>
            </w:r>
          </w:p>
        </w:tc>
        <w:tc>
          <w:tcPr>
            <w:tcW w:w="7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5B675">
            <w:pPr>
              <w:snapToGrid w:val="0"/>
              <w:spacing w:line="360" w:lineRule="auto"/>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50</w:t>
            </w:r>
          </w:p>
        </w:tc>
        <w:tc>
          <w:tcPr>
            <w:tcW w:w="7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FAC83">
            <w:pPr>
              <w:snapToGrid w:val="0"/>
              <w:spacing w:line="360" w:lineRule="auto"/>
              <w:ind w:firstLine="600" w:firstLineChars="200"/>
              <w:jc w:val="center"/>
              <w:rPr>
                <w:rFonts w:hint="eastAsia" w:ascii="仿宋" w:hAnsi="仿宋" w:eastAsia="仿宋" w:cs="仿宋"/>
                <w:sz w:val="30"/>
                <w:szCs w:val="30"/>
              </w:rPr>
            </w:pPr>
          </w:p>
        </w:tc>
        <w:tc>
          <w:tcPr>
            <w:tcW w:w="9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614C8">
            <w:pPr>
              <w:snapToGrid w:val="0"/>
              <w:spacing w:line="360" w:lineRule="auto"/>
              <w:ind w:firstLine="600" w:firstLineChars="200"/>
              <w:jc w:val="center"/>
              <w:rPr>
                <w:rFonts w:hint="eastAsia" w:ascii="仿宋" w:hAnsi="仿宋" w:eastAsia="仿宋" w:cs="仿宋"/>
                <w:sz w:val="30"/>
                <w:szCs w:val="30"/>
              </w:rPr>
            </w:pP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6B10">
            <w:pPr>
              <w:snapToGrid w:val="0"/>
              <w:spacing w:line="360" w:lineRule="auto"/>
              <w:ind w:firstLine="600" w:firstLineChars="200"/>
              <w:jc w:val="center"/>
              <w:rPr>
                <w:rFonts w:hint="eastAsia" w:ascii="仿宋" w:hAnsi="仿宋" w:eastAsia="仿宋" w:cs="仿宋"/>
                <w:sz w:val="30"/>
                <w:szCs w:val="30"/>
              </w:rPr>
            </w:pPr>
          </w:p>
        </w:tc>
      </w:tr>
    </w:tbl>
    <w:p w14:paraId="11EBDED7">
      <w:pPr>
        <w:pStyle w:val="2"/>
        <w:spacing w:line="360" w:lineRule="auto"/>
        <w:rPr>
          <w:rFonts w:hint="eastAsia" w:ascii="仿宋" w:hAnsi="仿宋" w:eastAsia="仿宋" w:cs="仿宋"/>
          <w:bCs/>
          <w:caps w:val="0"/>
          <w:sz w:val="30"/>
          <w:szCs w:val="30"/>
        </w:rPr>
      </w:pPr>
      <w:r>
        <w:rPr>
          <w:rFonts w:hint="eastAsia" w:ascii="仿宋" w:hAnsi="仿宋" w:eastAsia="仿宋" w:cs="仿宋"/>
          <w:bCs/>
          <w:caps w:val="0"/>
          <w:sz w:val="30"/>
          <w:szCs w:val="30"/>
        </w:rPr>
        <w:t>备注：</w:t>
      </w:r>
    </w:p>
    <w:p w14:paraId="1ED677CB">
      <w:pPr>
        <w:numPr>
          <w:ilvl w:val="0"/>
          <w:numId w:val="0"/>
        </w:numPr>
        <w:snapToGrid w:val="0"/>
        <w:spacing w:line="360" w:lineRule="auto"/>
        <w:ind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1.本项目报价为一次性报价，报价包含废铁、废瓦的切割费、运输费、人工上车费及税费等一切费用。</w:t>
      </w:r>
    </w:p>
    <w:p w14:paraId="4A886ED3">
      <w:pPr>
        <w:numPr>
          <w:ilvl w:val="0"/>
          <w:numId w:val="0"/>
        </w:numPr>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kern w:val="2"/>
          <w:sz w:val="30"/>
          <w:szCs w:val="30"/>
          <w:lang w:val="en-US" w:eastAsia="zh-CN" w:bidi="ar-SA"/>
        </w:rPr>
        <w:t>2.最终结算以绍兴市再生能源发展有限公司实际过磅吨位为结算依据，单价不变。</w:t>
      </w:r>
    </w:p>
    <w:p w14:paraId="23BDC3B5">
      <w:pPr>
        <w:numPr>
          <w:ilvl w:val="0"/>
          <w:numId w:val="0"/>
        </w:numPr>
        <w:snapToGrid w:val="0"/>
        <w:spacing w:line="360" w:lineRule="auto"/>
        <w:ind w:firstLine="600" w:firstLineChars="200"/>
        <w:rPr>
          <w:rFonts w:ascii="仿宋_GB2312" w:eastAsia="仿宋_GB2312"/>
          <w:sz w:val="30"/>
          <w:szCs w:val="30"/>
        </w:rPr>
      </w:pPr>
      <w:r>
        <w:rPr>
          <w:rFonts w:hint="eastAsia" w:ascii="仿宋_GB2312" w:eastAsia="仿宋_GB2312" w:cs="Times New Roman"/>
          <w:kern w:val="2"/>
          <w:sz w:val="30"/>
          <w:szCs w:val="30"/>
          <w:lang w:val="en-US" w:eastAsia="zh-CN" w:bidi="ar-SA"/>
        </w:rPr>
        <w:t>3</w:t>
      </w:r>
      <w:r>
        <w:rPr>
          <w:rFonts w:ascii="仿宋_GB2312" w:hAnsi="Times New Roman" w:eastAsia="仿宋_GB2312" w:cs="Times New Roman"/>
          <w:kern w:val="2"/>
          <w:sz w:val="30"/>
          <w:szCs w:val="30"/>
          <w:lang w:val="en-US" w:eastAsia="zh-CN" w:bidi="ar-SA"/>
        </w:rPr>
        <w:t>.</w:t>
      </w:r>
      <w:r>
        <w:rPr>
          <w:rFonts w:hint="eastAsia" w:ascii="仿宋" w:hAnsi="仿宋" w:eastAsia="仿宋" w:cs="仿宋"/>
          <w:sz w:val="30"/>
          <w:szCs w:val="30"/>
          <w:lang w:val="en-US" w:eastAsia="zh-CN"/>
        </w:rPr>
        <w:t>本次</w:t>
      </w:r>
      <w:r>
        <w:rPr>
          <w:rFonts w:hint="eastAsia" w:ascii="仿宋" w:hAnsi="仿宋" w:eastAsia="仿宋" w:cs="仿宋"/>
          <w:sz w:val="30"/>
          <w:szCs w:val="30"/>
          <w:lang w:eastAsia="zh-CN"/>
        </w:rPr>
        <w:t>废品库废铁、废瓦回收</w:t>
      </w:r>
      <w:r>
        <w:rPr>
          <w:rFonts w:hint="eastAsia" w:ascii="仿宋" w:hAnsi="仿宋" w:eastAsia="仿宋" w:cs="仿宋"/>
          <w:sz w:val="30"/>
          <w:szCs w:val="30"/>
          <w:lang w:val="en-US" w:eastAsia="zh-CN"/>
        </w:rPr>
        <w:t>项目废铁报价不得低</w:t>
      </w:r>
      <w:r>
        <w:rPr>
          <w:rFonts w:hint="eastAsia" w:ascii="仿宋" w:hAnsi="仿宋" w:eastAsia="仿宋" w:cs="仿宋"/>
          <w:sz w:val="30"/>
          <w:szCs w:val="30"/>
          <w:highlight w:val="none"/>
          <w:lang w:val="en-US" w:eastAsia="zh-CN"/>
        </w:rPr>
        <w:t>于1500元/吨，废瓦报价不得低于1200元/吨，否则做无效报价处理</w:t>
      </w:r>
      <w:r>
        <w:rPr>
          <w:rFonts w:hint="eastAsia" w:ascii="仿宋_GB2312" w:eastAsia="仿宋_GB2312"/>
          <w:sz w:val="30"/>
          <w:szCs w:val="30"/>
          <w:highlight w:val="none"/>
          <w:lang w:val="en-US" w:eastAsia="zh-CN"/>
        </w:rPr>
        <w:t>。</w:t>
      </w:r>
    </w:p>
    <w:p w14:paraId="6130137E">
      <w:pPr>
        <w:pStyle w:val="2"/>
        <w:spacing w:line="360" w:lineRule="auto"/>
        <w:rPr>
          <w:rFonts w:hint="eastAsia" w:ascii="仿宋_GB2312" w:eastAsia="仿宋_GB2312"/>
          <w:b w:val="0"/>
          <w:sz w:val="30"/>
          <w:szCs w:val="30"/>
        </w:rPr>
      </w:pPr>
    </w:p>
    <w:p w14:paraId="32AA5B33">
      <w:pPr>
        <w:rPr>
          <w:rFonts w:hint="eastAsia" w:ascii="仿宋" w:hAnsi="仿宋" w:eastAsia="仿宋" w:cs="仿宋"/>
          <w:sz w:val="30"/>
          <w:szCs w:val="30"/>
          <w:lang w:val="en-US" w:eastAsia="zh-CN"/>
        </w:rPr>
      </w:pPr>
    </w:p>
    <w:p w14:paraId="37E6D43D">
      <w:pPr>
        <w:pStyle w:val="22"/>
        <w:snapToGrid w:val="0"/>
        <w:spacing w:line="360" w:lineRule="auto"/>
        <w:ind w:firstLine="600" w:firstLineChars="200"/>
        <w:jc w:val="left"/>
        <w:rPr>
          <w:rFonts w:hint="eastAsia" w:ascii="仿宋" w:hAnsi="仿宋" w:eastAsia="仿宋" w:cs="仿宋"/>
          <w:b w:val="0"/>
          <w:sz w:val="30"/>
          <w:szCs w:val="30"/>
          <w:lang w:val="en-US" w:eastAsia="zh-CN"/>
        </w:rPr>
      </w:pPr>
      <w:r>
        <w:rPr>
          <w:rFonts w:hint="eastAsia" w:ascii="仿宋" w:hAnsi="仿宋" w:eastAsia="仿宋" w:cs="仿宋"/>
          <w:b w:val="0"/>
          <w:sz w:val="30"/>
          <w:szCs w:val="30"/>
          <w:lang w:val="en-US" w:eastAsia="zh-CN"/>
        </w:rPr>
        <w:t>代表</w:t>
      </w:r>
      <w:r>
        <w:rPr>
          <w:rFonts w:hint="eastAsia" w:ascii="仿宋" w:hAnsi="仿宋" w:eastAsia="仿宋" w:cs="仿宋"/>
          <w:b w:val="0"/>
          <w:sz w:val="30"/>
          <w:szCs w:val="30"/>
        </w:rPr>
        <w:t>签字：</w:t>
      </w:r>
      <w:r>
        <w:rPr>
          <w:rFonts w:hint="eastAsia" w:ascii="仿宋" w:hAnsi="仿宋" w:eastAsia="仿宋" w:cs="仿宋"/>
          <w:b w:val="0"/>
          <w:sz w:val="30"/>
          <w:szCs w:val="30"/>
          <w:lang w:val="en-US" w:eastAsia="zh-CN"/>
        </w:rPr>
        <w:t xml:space="preserve">                 身份证号：</w:t>
      </w:r>
    </w:p>
    <w:p w14:paraId="1D962511">
      <w:pPr>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联系方式：</w:t>
      </w:r>
    </w:p>
    <w:p w14:paraId="56C0FBE4">
      <w:pPr>
        <w:pStyle w:val="11"/>
        <w:ind w:left="0" w:leftChars="0" w:firstLine="0" w:firstLineChars="0"/>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日期： 202</w:t>
      </w:r>
      <w:r>
        <w:rPr>
          <w:rFonts w:hint="eastAsia" w:ascii="仿宋" w:hAnsi="仿宋" w:eastAsia="仿宋" w:cs="仿宋"/>
          <w:sz w:val="30"/>
          <w:szCs w:val="30"/>
          <w:lang w:val="en-US" w:eastAsia="zh-CN"/>
        </w:rPr>
        <w:t>6</w:t>
      </w:r>
      <w:r>
        <w:rPr>
          <w:rFonts w:hint="eastAsia" w:ascii="仿宋" w:hAnsi="仿宋" w:eastAsia="仿宋" w:cs="仿宋"/>
          <w:sz w:val="30"/>
          <w:szCs w:val="30"/>
        </w:rPr>
        <w:t>年  月   日</w:t>
      </w:r>
    </w:p>
    <w:sectPr>
      <w:footerReference r:id="rId3" w:type="default"/>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CC8527C"/>
    <w:multiLevelType w:val="singleLevel"/>
    <w:tmpl w:val="4CC8527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834D04"/>
    <w:rsid w:val="031428FF"/>
    <w:rsid w:val="038D5656"/>
    <w:rsid w:val="03F95A31"/>
    <w:rsid w:val="04605697"/>
    <w:rsid w:val="04FD1ABF"/>
    <w:rsid w:val="056A79D6"/>
    <w:rsid w:val="05D22118"/>
    <w:rsid w:val="05D355DF"/>
    <w:rsid w:val="06057AB3"/>
    <w:rsid w:val="062B00FD"/>
    <w:rsid w:val="067A3460"/>
    <w:rsid w:val="076328DA"/>
    <w:rsid w:val="07A76692"/>
    <w:rsid w:val="08186607"/>
    <w:rsid w:val="083A3947"/>
    <w:rsid w:val="08F93082"/>
    <w:rsid w:val="097479E0"/>
    <w:rsid w:val="0A0C6ADD"/>
    <w:rsid w:val="0A32752C"/>
    <w:rsid w:val="0A9D29B8"/>
    <w:rsid w:val="0B2C6C02"/>
    <w:rsid w:val="0B415065"/>
    <w:rsid w:val="0B8E6D39"/>
    <w:rsid w:val="0BC12699"/>
    <w:rsid w:val="0BCC31F9"/>
    <w:rsid w:val="0C5A16A4"/>
    <w:rsid w:val="0DC35837"/>
    <w:rsid w:val="0DE61498"/>
    <w:rsid w:val="110C39D4"/>
    <w:rsid w:val="1297576D"/>
    <w:rsid w:val="12BF4C87"/>
    <w:rsid w:val="12E70A09"/>
    <w:rsid w:val="1325794A"/>
    <w:rsid w:val="15061C4B"/>
    <w:rsid w:val="15341747"/>
    <w:rsid w:val="164F6705"/>
    <w:rsid w:val="16646293"/>
    <w:rsid w:val="16A83419"/>
    <w:rsid w:val="16FE5921"/>
    <w:rsid w:val="17B042A1"/>
    <w:rsid w:val="18987177"/>
    <w:rsid w:val="1906629D"/>
    <w:rsid w:val="190D0CE8"/>
    <w:rsid w:val="1A2B7D96"/>
    <w:rsid w:val="1A62541A"/>
    <w:rsid w:val="1BD33B78"/>
    <w:rsid w:val="1BE0140E"/>
    <w:rsid w:val="1BEC2FB3"/>
    <w:rsid w:val="1CE262BC"/>
    <w:rsid w:val="1D6D770B"/>
    <w:rsid w:val="1D94296D"/>
    <w:rsid w:val="1DF976C9"/>
    <w:rsid w:val="1E191157"/>
    <w:rsid w:val="1E1A21EF"/>
    <w:rsid w:val="203B090D"/>
    <w:rsid w:val="20FE7841"/>
    <w:rsid w:val="21135480"/>
    <w:rsid w:val="211D7593"/>
    <w:rsid w:val="212C3971"/>
    <w:rsid w:val="214D7086"/>
    <w:rsid w:val="21BA7E4E"/>
    <w:rsid w:val="21D35509"/>
    <w:rsid w:val="22DF5956"/>
    <w:rsid w:val="22ED7F5E"/>
    <w:rsid w:val="23D12305"/>
    <w:rsid w:val="24130D0C"/>
    <w:rsid w:val="259E2C64"/>
    <w:rsid w:val="26F76768"/>
    <w:rsid w:val="27AC61A6"/>
    <w:rsid w:val="27FE02E6"/>
    <w:rsid w:val="28C57566"/>
    <w:rsid w:val="29084622"/>
    <w:rsid w:val="29F704EF"/>
    <w:rsid w:val="2A0049E3"/>
    <w:rsid w:val="2AC220DE"/>
    <w:rsid w:val="2ADB5E21"/>
    <w:rsid w:val="2ADF08BA"/>
    <w:rsid w:val="2B4A1E95"/>
    <w:rsid w:val="2B603075"/>
    <w:rsid w:val="2C305EB2"/>
    <w:rsid w:val="2C4666C4"/>
    <w:rsid w:val="2C980D1B"/>
    <w:rsid w:val="2CD9238D"/>
    <w:rsid w:val="2D023CA7"/>
    <w:rsid w:val="2E003054"/>
    <w:rsid w:val="2E255A7A"/>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D02B2"/>
    <w:rsid w:val="37DB73A7"/>
    <w:rsid w:val="382D7BBC"/>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C55BAD"/>
    <w:rsid w:val="42D57A4D"/>
    <w:rsid w:val="436A096E"/>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E14418"/>
    <w:rsid w:val="490432DC"/>
    <w:rsid w:val="491635D4"/>
    <w:rsid w:val="49E7480F"/>
    <w:rsid w:val="49F96A7D"/>
    <w:rsid w:val="4AE97537"/>
    <w:rsid w:val="4AF173EE"/>
    <w:rsid w:val="4B0D618C"/>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7105FDC"/>
    <w:rsid w:val="58080247"/>
    <w:rsid w:val="58C27322"/>
    <w:rsid w:val="5950112B"/>
    <w:rsid w:val="59C3293C"/>
    <w:rsid w:val="5A1C766A"/>
    <w:rsid w:val="5B3710B2"/>
    <w:rsid w:val="5CF528AB"/>
    <w:rsid w:val="5D132301"/>
    <w:rsid w:val="5E970206"/>
    <w:rsid w:val="5ED1360A"/>
    <w:rsid w:val="5F1E1E73"/>
    <w:rsid w:val="612A3DEE"/>
    <w:rsid w:val="614D7B82"/>
    <w:rsid w:val="62B67083"/>
    <w:rsid w:val="64787E17"/>
    <w:rsid w:val="649C599A"/>
    <w:rsid w:val="660C2E06"/>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79817DA"/>
    <w:rsid w:val="77D476E8"/>
    <w:rsid w:val="782A7918"/>
    <w:rsid w:val="784A61F4"/>
    <w:rsid w:val="79715756"/>
    <w:rsid w:val="7A500C84"/>
    <w:rsid w:val="7A7B08FF"/>
    <w:rsid w:val="7AE21E9E"/>
    <w:rsid w:val="7B027F4F"/>
    <w:rsid w:val="7B09318D"/>
    <w:rsid w:val="7B6004E6"/>
    <w:rsid w:val="7BE14791"/>
    <w:rsid w:val="7C4C470C"/>
    <w:rsid w:val="7C920257"/>
    <w:rsid w:val="7CD03426"/>
    <w:rsid w:val="7DDA7768"/>
    <w:rsid w:val="7DFA5FDE"/>
    <w:rsid w:val="7E0B3994"/>
    <w:rsid w:val="7EF173E1"/>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next w:val="1"/>
    <w:qFormat/>
    <w:uiPriority w:val="1"/>
    <w:pPr>
      <w:spacing w:after="120" w:afterLines="0"/>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5"/>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6"/>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9"/>
    <w:qFormat/>
    <w:uiPriority w:val="0"/>
    <w:rPr>
      <w:kern w:val="2"/>
      <w:sz w:val="18"/>
      <w:szCs w:val="18"/>
    </w:rPr>
  </w:style>
  <w:style w:type="character" w:customStyle="1" w:styleId="25">
    <w:name w:val="批注框文本 Char"/>
    <w:basedOn w:val="15"/>
    <w:link w:val="7"/>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3"/>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1901</Words>
  <Characters>2014</Characters>
  <Lines>53</Lines>
  <Paragraphs>15</Paragraphs>
  <TotalTime>171</TotalTime>
  <ScaleCrop>false</ScaleCrop>
  <LinksUpToDate>false</LinksUpToDate>
  <CharactersWithSpaces>2193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2026-05-29T07:30:12Z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2053009699FE4364AF475471B6DED75C_13</vt:lpwstr>
  </property>
  <property fmtid="{D5CDD505-2E9C-101B-9397-08002B2CF9AE}" pid="4" name="KSOTemplateDocerSaveRecord">
    <vt:lpwstr>eyJoZGlkIjoiYzUwZDFhNTA3NTBkYjYwNzBmOWEzNGQxZTA1ZTZlYTEiLCJ1c2VySWQiOiI0MTkyNjk4ODkifQ==</vt:lpwstr>
  </property>
</Properties>
</file>