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18767"/>
      <w:r>
        <w:rPr>
          <w:rFonts w:hint="eastAsia" w:ascii="仿宋_GB2312" w:hAnsi="宋体" w:eastAsia="仿宋_GB2312"/>
          <w:b/>
          <w:sz w:val="52"/>
          <w:szCs w:val="52"/>
          <w:lang w:eastAsia="zh-CN"/>
        </w:rPr>
        <w:t>绍兴市再生能源发展有限公司</w:t>
      </w:r>
      <w:bookmarkEnd w:id="0"/>
    </w:p>
    <w:p w14:paraId="2A157F01">
      <w:pPr>
        <w:pStyle w:val="11"/>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渗滤液站厌氧中间池防臭封堵、调节池人孔露筋修复</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32A479A4">
      <w:pPr>
        <w:jc w:val="center"/>
        <w:rPr>
          <w:rFonts w:hint="eastAsia" w:ascii="仿宋" w:hAnsi="仿宋" w:eastAsia="仿宋" w:cs="仿宋"/>
          <w:b/>
          <w:sz w:val="48"/>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rPr>
      </w:pPr>
    </w:p>
    <w:p w14:paraId="66DA15D6">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SX-GC-XF-</w:t>
      </w:r>
      <w:bookmarkEnd w:id="1"/>
      <w:r>
        <w:rPr>
          <w:rFonts w:hint="eastAsia" w:ascii="仿宋" w:hAnsi="仿宋" w:eastAsia="仿宋" w:cs="仿宋"/>
          <w:sz w:val="32"/>
          <w:szCs w:val="32"/>
          <w:highlight w:val="none"/>
          <w:u w:val="single"/>
          <w:lang w:val="en-US" w:eastAsia="zh-CN"/>
        </w:rPr>
        <w:t xml:space="preserve">2605015  </w:t>
      </w:r>
    </w:p>
    <w:p w14:paraId="66E005F2">
      <w:pPr>
        <w:spacing w:line="360" w:lineRule="auto"/>
        <w:ind w:firstLine="80" w:firstLineChars="25"/>
        <w:jc w:val="center"/>
        <w:rPr>
          <w:rFonts w:hint="eastAsia" w:ascii="仿宋" w:hAnsi="仿宋" w:eastAsia="仿宋" w:cs="仿宋"/>
          <w:sz w:val="84"/>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渗滤液站厌氧中间池防臭封堵、调节池人孔露筋修复项目</w:t>
      </w: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w:t>
      </w:r>
      <w:r>
        <w:rPr>
          <w:rFonts w:hint="eastAsia" w:ascii="仿宋" w:hAnsi="仿宋" w:eastAsia="仿宋" w:cs="仿宋"/>
          <w:sz w:val="32"/>
          <w:szCs w:val="32"/>
          <w:highlight w:val="none"/>
          <w:lang w:eastAsia="zh-CN"/>
        </w:rPr>
        <w:t>能源发展有限公司</w:t>
      </w:r>
    </w:p>
    <w:p w14:paraId="7DA2248E">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29730A81">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_Toc18767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_Toc18767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327592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_Toc3397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_Toc3397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4417E706">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_Toc10879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_Toc10879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7</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E0AB4C7">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_Toc17965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_Toc17965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1F99216F">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_Toc19712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_Toc19712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14</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3AE300CF">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_Toc20260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_Toc20260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19</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079EF0A">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_Toc22606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_Toc22606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1FC5243">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_Toc21438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_Toc21438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AAC2794">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_Toc2963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_Toc2963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0031181D">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_Toc22746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三</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_Toc22746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27</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B44F96B">
      <w:pPr>
        <w:pStyle w:val="9"/>
        <w:tabs>
          <w:tab w:val="right" w:leader="dot" w:pos="9070"/>
        </w:tabs>
        <w:rPr>
          <w:rFonts w:hint="eastAsia" w:ascii="仿宋" w:hAnsi="仿宋" w:eastAsia="仿宋" w:cs="仿宋"/>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_Toc31009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四</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_Toc31009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29</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CB8FEBC">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3397"/>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渗滤液站厌氧中间池防臭封堵、调节池人孔露筋修复项目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SX-GC-XF-2605015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318" w:type="pct"/>
        <w:jc w:val="center"/>
        <w:tblLayout w:type="fixed"/>
        <w:tblCellMar>
          <w:top w:w="0" w:type="dxa"/>
          <w:left w:w="108" w:type="dxa"/>
          <w:bottom w:w="0" w:type="dxa"/>
          <w:right w:w="108" w:type="dxa"/>
        </w:tblCellMar>
      </w:tblPr>
      <w:tblGrid>
        <w:gridCol w:w="672"/>
        <w:gridCol w:w="1955"/>
        <w:gridCol w:w="5377"/>
        <w:gridCol w:w="1873"/>
      </w:tblGrid>
      <w:tr w14:paraId="0562B3A3">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377"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1873" w:type="dxa"/>
            <w:tcBorders>
              <w:top w:val="single" w:color="000000" w:sz="4" w:space="0"/>
              <w:left w:val="single" w:color="000000" w:sz="4" w:space="0"/>
              <w:bottom w:val="single" w:color="000000" w:sz="4" w:space="0"/>
              <w:right w:val="single" w:color="000000" w:sz="4" w:space="0"/>
            </w:tcBorders>
            <w:noWrap/>
            <w:vAlign w:val="center"/>
          </w:tcPr>
          <w:p w14:paraId="2B93C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工作量及技术要求</w:t>
            </w:r>
          </w:p>
        </w:tc>
      </w:tr>
      <w:tr w14:paraId="0D170546">
        <w:tblPrEx>
          <w:tblCellMar>
            <w:top w:w="0" w:type="dxa"/>
            <w:left w:w="108" w:type="dxa"/>
            <w:bottom w:w="0" w:type="dxa"/>
            <w:right w:w="108" w:type="dxa"/>
          </w:tblCellMar>
        </w:tblPrEx>
        <w:trPr>
          <w:trHeight w:val="3393"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渗滤液站厌氧中间池防臭封堵、调节池人孔露筋修复</w:t>
            </w:r>
          </w:p>
        </w:tc>
        <w:tc>
          <w:tcPr>
            <w:tcW w:w="5377" w:type="dxa"/>
            <w:tcBorders>
              <w:top w:val="single" w:color="000000" w:sz="4" w:space="0"/>
              <w:left w:val="single" w:color="000000" w:sz="4" w:space="0"/>
              <w:bottom w:val="single" w:color="000000" w:sz="4" w:space="0"/>
              <w:right w:val="single" w:color="000000" w:sz="4" w:space="0"/>
            </w:tcBorders>
            <w:noWrap w:val="0"/>
            <w:vAlign w:val="center"/>
          </w:tcPr>
          <w:p w14:paraId="1730801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（一）厌氧中间池防臭封堵</w:t>
            </w:r>
          </w:p>
          <w:p w14:paraId="7948AAB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厌氧中间池顶部人孔共 4处，人孔腐蚀严重，旧人孔结构破碎拆除、池体洞口修整、新人孔预埋 / 现浇制作、盖板安装、防腐防渗，重新制作。</w:t>
            </w:r>
          </w:p>
          <w:p w14:paraId="574D4AB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工作流程：停产放空→盲板隔离→通风检测→安全交底→旧人孔拆除及池顶面层拆除→洞口凿毛清理→植筋（环氧植筋胶，钢筋规格φ10预制）→模板支设→ 预埋安装(304不锈钢材质，厚度3mm）/灌浆料浇筑（灌浆料标号：H40） →养护→玻璃鳞片防腐→施工盖板安装（304不锈钢材质，厚度2mm）→验收恢复</w:t>
            </w:r>
          </w:p>
          <w:p w14:paraId="7B30C09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（二）调节池检修孔混凝土钢筋腐蚀处理</w:t>
            </w:r>
          </w:p>
          <w:p w14:paraId="3BC234A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混凝土脱落，钢筋腐蚀共一处，需要进行基层清理、钢筋除锈；涂刷环氧渗透底漆；刮涂环氧砂浆，覆盖钢筋；滚涂环氧玻璃鳞片防腐面漆。</w:t>
            </w:r>
          </w:p>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298FDD85">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详见询价文件</w:t>
            </w:r>
          </w:p>
        </w:tc>
      </w:tr>
    </w:tbl>
    <w:p w14:paraId="0F96E15B">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4B723A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（（1）建筑机械使用安全技术规范(JGJ33-2012)</w:t>
      </w:r>
    </w:p>
    <w:p w14:paraId="35D84D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（2）施工现场临时用电安全技术规范(JGJ46-2005)</w:t>
      </w:r>
    </w:p>
    <w:p w14:paraId="672BA3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（3）《工作场所空气中有害物质监测的采样规范》（GBZ/T159-2017）</w:t>
      </w:r>
    </w:p>
    <w:p w14:paraId="4D4B92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（4）《缺氧危险作业安全规程》GB8958-2006</w:t>
      </w:r>
    </w:p>
    <w:p w14:paraId="1C02D1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（5）《工作场所有害因素职业接触限值第1 部分：化学有害因素》GBZ2.1-2019</w:t>
      </w:r>
    </w:p>
    <w:p w14:paraId="1D3CD7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（6）《有毒作业分级》GB12331-90</w:t>
      </w:r>
    </w:p>
    <w:p w14:paraId="6FE140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（7）混凝土结构设计规范（构造与锚固）GB 50010-2010 </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（8）水泥基灌浆材料应用技术规范（通用）GB/T 50448-2015</w:t>
      </w:r>
    </w:p>
    <w:p w14:paraId="6F18D8D5">
      <w:pPr>
        <w:pStyle w:val="12"/>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24456D0C">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（一)现场准备</w:t>
      </w:r>
    </w:p>
    <w:p w14:paraId="49AC15F2">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停产隔离：厌氧中间池停止进水，放空污水，污泥清空，管道加装盲板隔离（严禁用阀门替代），沼气管道泄压、吹扫、封堵。区域围挡：施工区设硬质围挡、警示标识、夜间警示灯，严禁无关人员进入。通风检测：池体所有开口敞开，防爆风机强制通风≥60 分钟，作业前 / 中 / 后连续气体检测。水电布置：防爆临时用电、防爆照明（36V 及以下）、高压清洗水源、排水管路。​</w:t>
      </w:r>
    </w:p>
    <w:p w14:paraId="36D7FDE4">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(二）需要人员与设备</w:t>
      </w:r>
    </w:p>
    <w:p w14:paraId="221201E0">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防爆风机、四合一气体检测仪（O₂、H₂S、CO、CH₄）、救援三脚架、正压式空气呼吸器、风镐、液压钳、切割机、模板、钢筋加工设备；作业人员2名，监护一名。</w:t>
      </w:r>
    </w:p>
    <w:p w14:paraId="0EED30FE">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防护物资：全身式安全带、安全绳、防毒面具、耐腐手套、防滑鞋、急救箱、消防器材；</w:t>
      </w:r>
    </w:p>
    <w:p w14:paraId="204A70B9">
      <w:pPr>
        <w:widowControl w:val="0"/>
        <w:snapToGrid/>
        <w:spacing w:line="360" w:lineRule="auto"/>
        <w:ind w:firstLine="600" w:firstLineChars="200"/>
        <w:jc w:val="both"/>
        <w:rPr>
          <w:rFonts w:hint="default"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4.人员保险要求： 服务方须为所有进场作业人员购买人身意外伤害保险，单人保额不得低于100万元（含身故及伤残赔付）。保险有效期须覆盖项目施工全过程，进场施工前须将保单复印件提交采购人审核备案，否则严禁进场作业。</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人民币9.68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3.报价单位负责人为同一人或者存在控股、管理关系的不同单位，</w:t>
      </w:r>
      <w:r>
        <w:rPr>
          <w:rFonts w:hint="eastAsia" w:ascii="仿宋" w:hAnsi="仿宋" w:eastAsia="仿宋" w:cs="仿宋"/>
          <w:sz w:val="30"/>
          <w:szCs w:val="30"/>
          <w:highlight w:val="none"/>
          <w:lang w:val="en-US" w:eastAsia="zh-CN"/>
        </w:rPr>
        <w:t xml:space="preserve">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60B52E59">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具备防水防腐保温工程专业承包贰级;特种工程（结构补强）专业承包资质。</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6月5</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922"/>
      <w:bookmarkStart w:id="11" w:name="_Toc530583879"/>
      <w:bookmarkStart w:id="12" w:name="_Toc10879"/>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B1F2CE2">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bookmarkStart w:id="13" w:name="_Toc17965"/>
      <w:r>
        <w:rPr>
          <w:rFonts w:hint="eastAsia" w:ascii="仿宋" w:hAnsi="仿宋" w:eastAsia="仿宋" w:cs="仿宋"/>
          <w:snapToGrid w:val="0"/>
          <w:sz w:val="44"/>
          <w:szCs w:val="44"/>
        </w:rPr>
        <w:t>第三部分   询价内容</w:t>
      </w:r>
      <w:bookmarkEnd w:id="8"/>
      <w:bookmarkEnd w:id="9"/>
      <w:bookmarkEnd w:id="13"/>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施工周期为20天，服务方须在接到采购人进场通知后5天内响应并进场，进场后需立即开展停产隔离、区域围挡、通风检测等前期准备工作，严格按照既定施工流程推进厌氧中间池防臭封堵及调节池检修孔腐蚀处理作业，确保在20天内完成全部项目内容并通过采购人验收</w:t>
      </w:r>
      <w:r>
        <w:rPr>
          <w:rFonts w:hint="eastAsia" w:ascii="仿宋" w:hAnsi="仿宋" w:eastAsia="仿宋" w:cs="仿宋"/>
          <w:color w:val="auto"/>
          <w:kern w:val="2"/>
          <w:sz w:val="30"/>
          <w:szCs w:val="30"/>
        </w:rPr>
        <w:t>。</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服务方提供经双方确认的工程结算单及等额、合法、有效的增值税专用发票，采购人自收到准确结算单和发票且核对无误后，于次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其履约保证金（合同价的5%）到时自动转为质保金，质保期从验收合格之日起计算，质保金于质保期满且无未决质量争议（含防腐层脱落、人孔渗漏等质量问题）后无息退还</w:t>
      </w:r>
      <w:r>
        <w:rPr>
          <w:rFonts w:hint="eastAsia" w:ascii="仿宋" w:hAnsi="仿宋" w:eastAsia="仿宋" w:cs="仿宋"/>
          <w:color w:val="auto"/>
          <w:kern w:val="2"/>
          <w:sz w:val="30"/>
          <w:szCs w:val="30"/>
          <w:highlight w:val="none"/>
        </w:rPr>
        <w:t>。</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05EBF0DD">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56522A2F">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19712"/>
      <w:r>
        <w:rPr>
          <w:rFonts w:hint="eastAsia" w:ascii="仿宋" w:hAnsi="仿宋" w:eastAsia="仿宋" w:cs="仿宋"/>
          <w:snapToGrid w:val="0"/>
          <w:sz w:val="44"/>
          <w:szCs w:val="44"/>
          <w:lang w:val="en-US" w:eastAsia="zh-CN"/>
        </w:rPr>
        <w:t>合同主要条款（供参考）</w:t>
      </w:r>
      <w:bookmarkEnd w:id="15"/>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1720"/>
        <w:gridCol w:w="2532"/>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3129" w:type="dxa"/>
            <w:tcBorders>
              <w:top w:val="single" w:color="auto" w:sz="4" w:space="0"/>
              <w:left w:val="nil"/>
              <w:bottom w:val="single" w:color="auto" w:sz="4" w:space="0"/>
              <w:right w:val="single" w:color="auto" w:sz="4" w:space="0"/>
            </w:tcBorders>
            <w:noWrap w:val="0"/>
            <w:vAlign w:val="center"/>
          </w:tcPr>
          <w:p w14:paraId="1054710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项目内容</w:t>
            </w:r>
          </w:p>
        </w:tc>
        <w:tc>
          <w:tcPr>
            <w:tcW w:w="1720" w:type="dxa"/>
            <w:tcBorders>
              <w:top w:val="single" w:color="auto" w:sz="4" w:space="0"/>
              <w:left w:val="nil"/>
              <w:bottom w:val="single" w:color="auto" w:sz="4" w:space="0"/>
              <w:right w:val="single" w:color="auto" w:sz="4" w:space="0"/>
            </w:tcBorders>
            <w:noWrap w:val="0"/>
            <w:vAlign w:val="center"/>
          </w:tcPr>
          <w:p w14:paraId="79AA7BD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工作量及技术要求</w:t>
            </w:r>
          </w:p>
        </w:tc>
        <w:tc>
          <w:tcPr>
            <w:tcW w:w="2532"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rPr>
            </w:pPr>
          </w:p>
        </w:tc>
        <w:tc>
          <w:tcPr>
            <w:tcW w:w="1720"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2532"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7039" w:type="dxa"/>
            <w:gridSpan w:val="4"/>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532"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施工周期为20天，服务方须在接到采购人进场通知后5天内响应并进场，进场后需立即开展停产隔离、区域围挡、通风检测等前期准备工作，严格按照既定施工流程推进厌氧中间池防臭封堵及调节池检修孔腐蚀处理作业，确保在20天内完成全部项目内容并通过采购人验收</w:t>
      </w:r>
      <w:r>
        <w:rPr>
          <w:rFonts w:hint="eastAsia" w:ascii="方正仿宋_GBK" w:hAnsi="方正仿宋_GBK" w:eastAsia="方正仿宋_GBK" w:cs="方正仿宋_GBK"/>
          <w:sz w:val="28"/>
          <w:szCs w:val="28"/>
          <w:highlight w:val="none"/>
        </w:rPr>
        <w:t>。</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3、服务要求：交货时，应附有相应的装货清单、合格证及相关技术资料。（如有）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79F17C3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3657A6E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（1）建筑机械使用安全技术规范(JGJ33-2012)</w:t>
      </w:r>
    </w:p>
    <w:p w14:paraId="2B76E5E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（2）施工现场临时用电安全技术规范(JGJ46-2005)</w:t>
      </w:r>
    </w:p>
    <w:p w14:paraId="0A061E1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（3）《工作场所空气中有害物质监测的采样规范》（GBZ/T159-2017）</w:t>
      </w:r>
    </w:p>
    <w:p w14:paraId="34B2E76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（4）《缺氧危险作业安全规程》GB8958-2006</w:t>
      </w:r>
    </w:p>
    <w:p w14:paraId="74C5B9D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（5）《工作场所有害因素职业接触限值第1 部分：化学有害因素》GBZ2.1-2019</w:t>
      </w:r>
    </w:p>
    <w:p w14:paraId="0C162F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（6）《有毒作业分级》GB12331-90</w:t>
      </w:r>
    </w:p>
    <w:p w14:paraId="010EA54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（7）混凝土结构设计规范（构造与锚固）GB 50010-2010 </w:t>
      </w:r>
    </w:p>
    <w:p w14:paraId="22B38E1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（8）水泥基灌浆材料应用技术规范（通用）GB/T 50448-2015</w:t>
      </w:r>
    </w:p>
    <w:p w14:paraId="6293AA2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7FFBF72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（一)现场准备</w:t>
      </w:r>
    </w:p>
    <w:p w14:paraId="4A24D66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停产隔离：厌氧中间池停止进水，放空污水，污泥清空，管道加装盲板隔离（严禁用阀门替代），沼气管道泄压、吹扫、封堵。区域围挡：施工区设硬质围挡、警示标识、夜间警示灯，严禁无关人员进入。通风检测：池体所有开口敞开，防爆风机强制通风≥60 分钟，作业前 / 中 / 后连续气体检测。水电布置：防爆临时用电、防爆照明（36V 及以下）、高压清洗水源、排水管路。​</w:t>
      </w:r>
    </w:p>
    <w:p w14:paraId="589B0CC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(二）需要人员与设备</w:t>
      </w:r>
    </w:p>
    <w:p w14:paraId="21FC3B4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防爆风机、四合一气体检测仪（O₂、H₂S、CO、CH₄）、救援三脚架、正压式空气呼吸器、风镐、液压钳、切割机、模板、钢筋加工设备；作业人员2名，监护一名。</w:t>
      </w:r>
    </w:p>
    <w:p w14:paraId="62EBC94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防护物资：全身式安全带、安全绳、防毒面具、耐腐手套、防滑鞋、急救箱、消防器材；</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0CE35C6C">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服务方提供经双方确认的工程结算单及等额、合法、有效的增值税专用发票，采购人自收到准确结算单和发票且核对无误后，于次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其履约保证金（合同价的5%）到时自动转为质保金，质保期从验收合格之日起计算，质保金于质保期满且无未决质量争议（含防腐层脱落、人孔渗漏等质量问题）后无息退还</w:t>
      </w:r>
      <w:r>
        <w:rPr>
          <w:rFonts w:hint="eastAsia" w:ascii="仿宋" w:hAnsi="仿宋" w:eastAsia="仿宋" w:cs="仿宋"/>
          <w:color w:val="auto"/>
          <w:kern w:val="2"/>
          <w:sz w:val="30"/>
          <w:szCs w:val="30"/>
          <w:highlight w:val="none"/>
          <w:lang w:eastAsia="zh-CN"/>
        </w:rPr>
        <w:t>。</w:t>
      </w:r>
    </w:p>
    <w:p w14:paraId="1DAED00E">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lang w:val="en-US" w:eastAsia="zh-CN"/>
        </w:rPr>
        <w:t>供</w:t>
      </w:r>
      <w:r>
        <w:rPr>
          <w:rFonts w:hint="eastAsia" w:ascii="方正仿宋_GBK" w:hAnsi="方正仿宋_GBK" w:eastAsia="方正仿宋_GBK" w:cs="方正仿宋_GBK"/>
          <w:sz w:val="28"/>
          <w:szCs w:val="28"/>
          <w:highlight w:val="none"/>
        </w:rPr>
        <w:t>方保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174641F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463349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BF2CF5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CDB908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4A558F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1F049C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2F3B35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D98EC9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B9F21C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0FE6E3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108E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67ECA6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21CB56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16C58B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F98707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E27A0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0260"/>
      <w:r>
        <w:rPr>
          <w:rFonts w:hint="eastAsia" w:ascii="Times New Roman" w:hAnsi="Times New Roman" w:eastAsia="方正仿宋_GBK" w:cs="Times New Roman"/>
          <w:b/>
          <w:bCs/>
          <w:sz w:val="28"/>
          <w:szCs w:val="28"/>
          <w:highlight w:val="none"/>
          <w:lang w:val="en-US" w:eastAsia="zh-CN"/>
        </w:rPr>
        <w:t>附件：</w:t>
      </w:r>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渗滤液站厌氧中间池防臭封堵、调节池人孔露筋修复项目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22606"/>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4B3FCF8">
      <w:pPr>
        <w:spacing w:line="480" w:lineRule="auto"/>
        <w:jc w:val="right"/>
        <w:rPr>
          <w:rFonts w:hint="eastAsia" w:ascii="仿宋" w:hAnsi="仿宋" w:eastAsia="仿宋" w:cs="仿宋"/>
          <w:sz w:val="32"/>
        </w:rPr>
      </w:pPr>
    </w:p>
    <w:p w14:paraId="3F772441">
      <w:pPr>
        <w:pStyle w:val="38"/>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渗滤液站厌氧中间池防臭封堵、调节池人孔露筋修复</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SX-GC-XF-2605015</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67621B4C">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8" w:name="_Toc21438"/>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绍兴市再生能源发展有限公司渗滤液站厌氧中间池防臭封堵、调节池人孔露筋修复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004"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企业资质要求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防水防腐保温工程专业承包贰级</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35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企业资质要求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特种工程（结构补强）专业</w:t>
            </w:r>
            <w:bookmarkStart w:id="24" w:name="_GoBack"/>
            <w:bookmarkEnd w:id="24"/>
            <w:r>
              <w:rPr>
                <w:rFonts w:hint="eastAsia" w:ascii="仿宋" w:hAnsi="仿宋" w:eastAsia="仿宋" w:cs="仿宋"/>
                <w:b w:val="0"/>
                <w:bCs w:val="0"/>
                <w:i w:val="0"/>
                <w:iCs w:val="0"/>
                <w:kern w:val="0"/>
                <w:sz w:val="24"/>
                <w:szCs w:val="24"/>
                <w:lang w:val="en-US" w:eastAsia="zh-CN" w:bidi="ar"/>
              </w:rPr>
              <w:t>承包资质</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bl>
    <w:p w14:paraId="716596D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11D0FB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31FE750C">
      <w:pPr>
        <w:jc w:val="left"/>
        <w:outlineLvl w:val="0"/>
        <w:rPr>
          <w:rStyle w:val="21"/>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1"/>
          <w:rFonts w:hint="eastAsia" w:ascii="仿宋" w:hAnsi="仿宋" w:eastAsia="仿宋" w:cs="仿宋"/>
          <w:sz w:val="30"/>
        </w:rPr>
      </w:pPr>
      <w:bookmarkStart w:id="19" w:name="_Toc2963"/>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9"/>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渗滤液站厌氧中间池防臭封堵、调节池人孔露筋修复 </w:t>
      </w:r>
      <w:r>
        <w:rPr>
          <w:rFonts w:hint="eastAsia" w:ascii="仿宋" w:hAnsi="仿宋" w:eastAsia="仿宋" w:cs="仿宋"/>
          <w:sz w:val="30"/>
          <w:szCs w:val="30"/>
          <w:u w:val="none"/>
          <w:lang w:val="en-US" w:eastAsia="zh-CN"/>
        </w:rPr>
        <w:t>项目。</w:t>
      </w:r>
    </w:p>
    <w:tbl>
      <w:tblPr>
        <w:tblStyle w:val="13"/>
        <w:tblW w:w="5841" w:type="pct"/>
        <w:jc w:val="center"/>
        <w:tblLayout w:type="fixed"/>
        <w:tblCellMar>
          <w:top w:w="0" w:type="dxa"/>
          <w:left w:w="108" w:type="dxa"/>
          <w:bottom w:w="0" w:type="dxa"/>
          <w:right w:w="108" w:type="dxa"/>
        </w:tblCellMar>
      </w:tblPr>
      <w:tblGrid>
        <w:gridCol w:w="672"/>
        <w:gridCol w:w="1955"/>
        <w:gridCol w:w="5378"/>
        <w:gridCol w:w="1616"/>
        <w:gridCol w:w="1229"/>
      </w:tblGrid>
      <w:tr w14:paraId="1232DC46">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E7D2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noWrap/>
            <w:vAlign w:val="center"/>
          </w:tcPr>
          <w:p w14:paraId="42BD77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935" w:type="dxa"/>
            <w:tcBorders>
              <w:top w:val="single" w:color="000000" w:sz="4" w:space="0"/>
              <w:left w:val="single" w:color="000000" w:sz="4" w:space="0"/>
              <w:bottom w:val="single" w:color="000000" w:sz="4" w:space="0"/>
              <w:right w:val="single" w:color="000000" w:sz="4" w:space="0"/>
            </w:tcBorders>
            <w:noWrap/>
            <w:vAlign w:val="center"/>
          </w:tcPr>
          <w:p w14:paraId="48EF4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197C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工作量及技术要求</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B89A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5FD2F4E">
        <w:tblPrEx>
          <w:tblCellMar>
            <w:top w:w="0" w:type="dxa"/>
            <w:left w:w="108" w:type="dxa"/>
            <w:bottom w:w="0" w:type="dxa"/>
            <w:right w:w="108" w:type="dxa"/>
          </w:tblCellMar>
        </w:tblPrEx>
        <w:trPr>
          <w:trHeight w:val="3393"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B9307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44748A4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渗滤液站厌氧中间池防臭封堵、调节池人孔露筋修复</w:t>
            </w:r>
          </w:p>
        </w:tc>
        <w:tc>
          <w:tcPr>
            <w:tcW w:w="4935" w:type="dxa"/>
            <w:tcBorders>
              <w:top w:val="single" w:color="000000" w:sz="4" w:space="0"/>
              <w:left w:val="single" w:color="000000" w:sz="4" w:space="0"/>
              <w:bottom w:val="single" w:color="000000" w:sz="4" w:space="0"/>
              <w:right w:val="single" w:color="000000" w:sz="4" w:space="0"/>
            </w:tcBorders>
            <w:noWrap w:val="0"/>
            <w:vAlign w:val="center"/>
          </w:tcPr>
          <w:p w14:paraId="165C5A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（一）厌氧中间池防臭封堵</w:t>
            </w:r>
          </w:p>
          <w:p w14:paraId="0AE10D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厌氧中间池顶部人孔共 4处，人孔腐蚀严重，旧人孔结构破碎拆除、池体洞口修整、新人孔预埋 / 现浇制作、盖板安装、防腐防渗，重新制作。</w:t>
            </w:r>
          </w:p>
          <w:p w14:paraId="72F2DC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工作流程：停产放空→盲板隔离→通风检测→安全交底→旧人孔拆除及池顶面层拆除→洞口凿毛清理→植筋（环氧植筋胶，钢筋规格φ10预制）→模板支设→ 预埋安装(304不锈钢材质，厚度3mm）/灌浆料浇筑（灌浆料标号：H40） →养护→玻璃鳞片防腐→施工盖板安装（304不锈钢材质，厚度2mm）→验收恢复</w:t>
            </w:r>
          </w:p>
          <w:p w14:paraId="43DF2A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（二）调节池检修孔混凝土钢筋腐蚀处理</w:t>
            </w:r>
          </w:p>
          <w:p w14:paraId="2796DA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混凝土脱落，钢筋腐蚀共一处，需要进行基层清理、钢筋除锈；涂刷环氧渗透底漆；刮涂环氧砂浆，覆盖钢筋；滚涂环氧玻璃鳞片防腐面漆。</w:t>
            </w:r>
          </w:p>
          <w:p w14:paraId="17798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F7E2FFD">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详见询价文件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E0E9A8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04E2C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服务方提供经双方确认的工程结算单及等额、合法、有效的增值税专用发票，采购人自收到准确结算单和发票且核对无误后，于次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其履约保证金（合同价的5%）到时自动转为质保金，质保期从验收合格之日起计算，质保金于质保期满且无未决质量争议（含防腐层脱落、人孔渗漏等质量问题）后无</w:t>
      </w:r>
      <w:r>
        <w:rPr>
          <w:rFonts w:hint="eastAsia" w:ascii="仿宋" w:hAnsi="仿宋" w:eastAsia="仿宋" w:cs="仿宋"/>
          <w:sz w:val="30"/>
          <w:szCs w:val="30"/>
          <w:highlight w:val="none"/>
          <w:lang w:val="en-US" w:eastAsia="zh-CN"/>
        </w:rPr>
        <w:t>息退还</w:t>
      </w:r>
      <w:r>
        <w:rPr>
          <w:rFonts w:hint="eastAsia" w:ascii="仿宋" w:hAnsi="仿宋" w:eastAsia="仿宋" w:cs="仿宋"/>
          <w:color w:val="auto"/>
          <w:kern w:val="2"/>
          <w:sz w:val="30"/>
          <w:szCs w:val="30"/>
          <w:highlight w:val="none"/>
        </w:rPr>
        <w:t>。</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67CC8822">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目采购总金额限价人民币9.68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391F084A">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83BC764">
      <w:pPr>
        <w:jc w:val="left"/>
        <w:outlineLvl w:val="0"/>
        <w:rPr>
          <w:rStyle w:val="21"/>
          <w:rFonts w:hint="eastAsia" w:ascii="仿宋" w:hAnsi="仿宋" w:eastAsia="仿宋" w:cs="仿宋"/>
          <w:sz w:val="30"/>
        </w:rPr>
      </w:pPr>
      <w:bookmarkStart w:id="20" w:name="_Toc22746"/>
      <w:bookmarkStart w:id="21" w:name="_Toc103165678"/>
      <w:bookmarkStart w:id="22" w:name="_Toc10883932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0"/>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渗滤液站厌氧中间池防臭封堵、调节池人孔露筋修复 </w:t>
      </w:r>
      <w:r>
        <w:rPr>
          <w:rFonts w:hint="eastAsia" w:ascii="仿宋" w:hAnsi="仿宋" w:eastAsia="仿宋" w:cs="仿宋"/>
          <w:color w:val="auto"/>
          <w:sz w:val="30"/>
          <w:szCs w:val="30"/>
          <w:u w:val="none"/>
          <w:lang w:val="en-US" w:eastAsia="zh-CN"/>
        </w:rPr>
        <w:t>项目。</w:t>
      </w:r>
    </w:p>
    <w:tbl>
      <w:tblPr>
        <w:tblStyle w:val="13"/>
        <w:tblW w:w="4972" w:type="pct"/>
        <w:jc w:val="center"/>
        <w:tblLayout w:type="fixed"/>
        <w:tblCellMar>
          <w:top w:w="0" w:type="dxa"/>
          <w:left w:w="108" w:type="dxa"/>
          <w:bottom w:w="0" w:type="dxa"/>
          <w:right w:w="108" w:type="dxa"/>
        </w:tblCellMar>
      </w:tblPr>
      <w:tblGrid>
        <w:gridCol w:w="399"/>
        <w:gridCol w:w="1230"/>
        <w:gridCol w:w="3434"/>
        <w:gridCol w:w="2313"/>
        <w:gridCol w:w="1860"/>
      </w:tblGrid>
      <w:tr w14:paraId="34C7EDDD">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工作量及技术要求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6E2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F6F270A">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A350A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02521375">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服务方提供经双方确认的工程结算单及等额、合法、有效的增值税专用发票，采购人自收到准确结算单和发票且核对无误后，于次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其履约保证金（合同价的5%）到时自动转为质保金，质保期从验收合格之日起计算，质保金于质保期满且无未决质量争议（含防腐层脱落、人孔渗漏等质量问题）后无息退还</w:t>
      </w:r>
      <w:r>
        <w:rPr>
          <w:rFonts w:hint="eastAsia" w:ascii="仿宋" w:hAnsi="仿宋" w:eastAsia="仿宋" w:cs="仿宋"/>
          <w:color w:val="auto"/>
          <w:kern w:val="2"/>
          <w:sz w:val="30"/>
          <w:szCs w:val="30"/>
          <w:lang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87FBBAA">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1"/>
    <w:bookmarkEnd w:id="22"/>
    <w:p w14:paraId="21650618">
      <w:pPr>
        <w:jc w:val="left"/>
        <w:outlineLvl w:val="0"/>
        <w:rPr>
          <w:rStyle w:val="21"/>
          <w:rFonts w:hint="eastAsia" w:ascii="仿宋" w:hAnsi="仿宋" w:eastAsia="仿宋" w:cs="仿宋"/>
          <w:sz w:val="30"/>
        </w:rPr>
      </w:pPr>
      <w:bookmarkStart w:id="23" w:name="_Toc31009"/>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3"/>
    </w:p>
    <w:p w14:paraId="4BA76145">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渗滤液站厌氧中间池防臭封堵、调节池人孔露筋修复项目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94FE85A">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F5134E0"/>
    <w:multiLevelType w:val="singleLevel"/>
    <w:tmpl w:val="AF5134E0"/>
    <w:lvl w:ilvl="0" w:tentative="0">
      <w:start w:val="1"/>
      <w:numFmt w:val="decimal"/>
      <w:suff w:val="nothing"/>
      <w:lvlText w:val="%1、"/>
      <w:lvlJc w:val="left"/>
    </w:lvl>
  </w:abstractNum>
  <w:abstractNum w:abstractNumId="3">
    <w:nsid w:val="B1275F25"/>
    <w:multiLevelType w:val="singleLevel"/>
    <w:tmpl w:val="B1275F25"/>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8D5656"/>
    <w:rsid w:val="03F95A31"/>
    <w:rsid w:val="04605697"/>
    <w:rsid w:val="0485231D"/>
    <w:rsid w:val="04E862BD"/>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C6C02"/>
    <w:rsid w:val="0B8E6D39"/>
    <w:rsid w:val="0BC12699"/>
    <w:rsid w:val="0BCC31F9"/>
    <w:rsid w:val="0BE43E2A"/>
    <w:rsid w:val="0C5A16A4"/>
    <w:rsid w:val="0DC35837"/>
    <w:rsid w:val="0DE61498"/>
    <w:rsid w:val="0E611C6E"/>
    <w:rsid w:val="10576B90"/>
    <w:rsid w:val="10C87F96"/>
    <w:rsid w:val="110C39D4"/>
    <w:rsid w:val="1297576D"/>
    <w:rsid w:val="12BF4C87"/>
    <w:rsid w:val="12E70A09"/>
    <w:rsid w:val="1325794A"/>
    <w:rsid w:val="14290CD3"/>
    <w:rsid w:val="15341747"/>
    <w:rsid w:val="164F6705"/>
    <w:rsid w:val="16646293"/>
    <w:rsid w:val="16FE5921"/>
    <w:rsid w:val="17B042A1"/>
    <w:rsid w:val="18987177"/>
    <w:rsid w:val="1906629D"/>
    <w:rsid w:val="190D0CE8"/>
    <w:rsid w:val="198B334B"/>
    <w:rsid w:val="199C751C"/>
    <w:rsid w:val="1A2B7D96"/>
    <w:rsid w:val="1BD33B78"/>
    <w:rsid w:val="1BE0140E"/>
    <w:rsid w:val="1BEC2FB3"/>
    <w:rsid w:val="1CE262BC"/>
    <w:rsid w:val="1D6D770B"/>
    <w:rsid w:val="1D94296D"/>
    <w:rsid w:val="1E191157"/>
    <w:rsid w:val="1E1A21EF"/>
    <w:rsid w:val="1E66766E"/>
    <w:rsid w:val="203B090D"/>
    <w:rsid w:val="206F2E6D"/>
    <w:rsid w:val="21135480"/>
    <w:rsid w:val="211D7593"/>
    <w:rsid w:val="212C3971"/>
    <w:rsid w:val="214D7086"/>
    <w:rsid w:val="21820C38"/>
    <w:rsid w:val="21BA7E4E"/>
    <w:rsid w:val="22DF5956"/>
    <w:rsid w:val="22ED7F5E"/>
    <w:rsid w:val="23B95317"/>
    <w:rsid w:val="240064C5"/>
    <w:rsid w:val="24130D0C"/>
    <w:rsid w:val="259E2C64"/>
    <w:rsid w:val="265E2CFF"/>
    <w:rsid w:val="26F76768"/>
    <w:rsid w:val="27AC61A6"/>
    <w:rsid w:val="27FE02E6"/>
    <w:rsid w:val="28B64F75"/>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076969"/>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2DC527F"/>
    <w:rsid w:val="436A096E"/>
    <w:rsid w:val="43985971"/>
    <w:rsid w:val="43A970E7"/>
    <w:rsid w:val="43BA0460"/>
    <w:rsid w:val="44322CE6"/>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2C3BEE"/>
    <w:rsid w:val="49E7480F"/>
    <w:rsid w:val="4A6B4B3D"/>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A3215C"/>
    <w:rsid w:val="51131CCB"/>
    <w:rsid w:val="51D845E4"/>
    <w:rsid w:val="52341DDD"/>
    <w:rsid w:val="531111FC"/>
    <w:rsid w:val="533444FB"/>
    <w:rsid w:val="55C54FE9"/>
    <w:rsid w:val="55E07717"/>
    <w:rsid w:val="56397366"/>
    <w:rsid w:val="578A6C00"/>
    <w:rsid w:val="58080247"/>
    <w:rsid w:val="5950112B"/>
    <w:rsid w:val="59C3293C"/>
    <w:rsid w:val="5A1C766A"/>
    <w:rsid w:val="5B3710B2"/>
    <w:rsid w:val="5BFE5E0F"/>
    <w:rsid w:val="5CF528AB"/>
    <w:rsid w:val="5D132301"/>
    <w:rsid w:val="5DD30482"/>
    <w:rsid w:val="5E970206"/>
    <w:rsid w:val="5ED1360A"/>
    <w:rsid w:val="5F1E1E73"/>
    <w:rsid w:val="612A3DEE"/>
    <w:rsid w:val="614D7B82"/>
    <w:rsid w:val="615C785F"/>
    <w:rsid w:val="62B67083"/>
    <w:rsid w:val="63316ACA"/>
    <w:rsid w:val="64787E17"/>
    <w:rsid w:val="649C599A"/>
    <w:rsid w:val="66B027B6"/>
    <w:rsid w:val="671A2875"/>
    <w:rsid w:val="67966EFB"/>
    <w:rsid w:val="67B628F5"/>
    <w:rsid w:val="682119CD"/>
    <w:rsid w:val="69A94E0C"/>
    <w:rsid w:val="6B0D0D45"/>
    <w:rsid w:val="6B656B47"/>
    <w:rsid w:val="6B7E1643"/>
    <w:rsid w:val="6C714475"/>
    <w:rsid w:val="6CDB032D"/>
    <w:rsid w:val="6CE30226"/>
    <w:rsid w:val="6DB2110D"/>
    <w:rsid w:val="6DBD736C"/>
    <w:rsid w:val="6DF45A5A"/>
    <w:rsid w:val="6E5526FF"/>
    <w:rsid w:val="6EB82DCE"/>
    <w:rsid w:val="6F2B1820"/>
    <w:rsid w:val="6F412F7A"/>
    <w:rsid w:val="6FC34F0A"/>
    <w:rsid w:val="707E74C2"/>
    <w:rsid w:val="70AC7790"/>
    <w:rsid w:val="70CC0A36"/>
    <w:rsid w:val="710D0440"/>
    <w:rsid w:val="711D243B"/>
    <w:rsid w:val="71C5585F"/>
    <w:rsid w:val="71E76CD1"/>
    <w:rsid w:val="720E79AF"/>
    <w:rsid w:val="73A1381E"/>
    <w:rsid w:val="7459468D"/>
    <w:rsid w:val="749131D7"/>
    <w:rsid w:val="756F240E"/>
    <w:rsid w:val="759D3BC6"/>
    <w:rsid w:val="779817DA"/>
    <w:rsid w:val="77D476E8"/>
    <w:rsid w:val="782A7918"/>
    <w:rsid w:val="79233BDF"/>
    <w:rsid w:val="79552D6D"/>
    <w:rsid w:val="79715756"/>
    <w:rsid w:val="7A500C84"/>
    <w:rsid w:val="7A7B08FF"/>
    <w:rsid w:val="7AE21E9E"/>
    <w:rsid w:val="7B027F4F"/>
    <w:rsid w:val="7B09318D"/>
    <w:rsid w:val="7B5F5943"/>
    <w:rsid w:val="7B6004E6"/>
    <w:rsid w:val="7BE14791"/>
    <w:rsid w:val="7C4C470C"/>
    <w:rsid w:val="7C5F1E56"/>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10941</Words>
  <Characters>11378</Characters>
  <Lines>53</Lines>
  <Paragraphs>15</Paragraphs>
  <TotalTime>4</TotalTime>
  <ScaleCrop>false</ScaleCrop>
  <LinksUpToDate>false</LinksUpToDate>
  <CharactersWithSpaces>12740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2026-05-29T07:27:42Z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83270633A6BA42429B1B82CF305EFE6E_13</vt:lpwstr>
  </property>
  <property fmtid="{D5CDD505-2E9C-101B-9397-08002B2CF9AE}" pid="4" name="KSOTemplateDocerSaveRecord">
    <vt:lpwstr>eyJoZGlkIjoiYzUwZDFhNTA3NTBkYjYwNzBmOWEzNGQxZTA1ZTZlYTEiLCJ1c2VySWQiOiI0MTkyNjk4ODkifQ==</vt:lpwstr>
  </property>
</Properties>
</file>