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highlight w:val="none"/>
        </w:rPr>
      </w:pPr>
      <w:bookmarkStart w:id="0" w:name="_Toc13330"/>
      <w:r>
        <w:rPr>
          <w:rFonts w:hint="eastAsia" w:ascii="仿宋_GB2312" w:hAnsi="宋体" w:eastAsia="仿宋_GB2312"/>
          <w:b/>
          <w:sz w:val="52"/>
          <w:szCs w:val="52"/>
          <w:highlight w:val="none"/>
          <w:lang w:eastAsia="zh-CN"/>
        </w:rPr>
        <w:t>绍兴市再生能源发展有限公司</w:t>
      </w:r>
      <w:bookmarkEnd w:id="0"/>
    </w:p>
    <w:p w14:paraId="2A157F01">
      <w:pPr>
        <w:pStyle w:val="13"/>
        <w:rPr>
          <w:highlight w:val="none"/>
        </w:rPr>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厂区篮球场改造</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SX-GC-LQ-</w:t>
      </w:r>
      <w:bookmarkEnd w:id="1"/>
      <w:r>
        <w:rPr>
          <w:rFonts w:hint="eastAsia" w:ascii="仿宋" w:hAnsi="仿宋" w:eastAsia="仿宋" w:cs="仿宋"/>
          <w:sz w:val="32"/>
          <w:szCs w:val="32"/>
          <w:highlight w:val="none"/>
          <w:u w:val="single"/>
          <w:lang w:val="en-US" w:eastAsia="zh-CN"/>
        </w:rPr>
        <w:t xml:space="preserve">2604001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highlight w:val="none"/>
          <w:u w:val="single"/>
          <w:lang w:val="en-US" w:eastAsia="zh-CN"/>
        </w:rPr>
        <w:t>厂区篮球场改造项目</w:t>
      </w:r>
    </w:p>
    <w:p w14:paraId="66E005F2">
      <w:pPr>
        <w:rPr>
          <w:rFonts w:hint="eastAsia" w:ascii="仿宋" w:hAnsi="仿宋" w:eastAsia="仿宋" w:cs="仿宋"/>
          <w:sz w:val="84"/>
        </w:rPr>
      </w:pPr>
    </w:p>
    <w:p w14:paraId="685ED436">
      <w:pPr>
        <w:rPr>
          <w:rFonts w:hint="eastAsia" w:ascii="仿宋" w:hAnsi="仿宋" w:eastAsia="仿宋" w:cs="仿宋"/>
          <w:sz w:val="84"/>
        </w:rPr>
      </w:pPr>
    </w:p>
    <w:p w14:paraId="685A8F95">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DA2248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48722607">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_Toc13330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_Toc13330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DB5759D">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_Toc17392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_Toc17392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7A8EE92">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_Toc13041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_Toc13041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2A6DEF2">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_Toc13197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_Toc13197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16</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8C670D3">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_Toc3218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_Toc3218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18</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7AC95AD">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_Toc26087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_Toc26087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26</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3A09F9E">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_Toc3557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_Toc3557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29</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19266EE6">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_Toc5734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_Toc5734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CC5F1A5">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_Toc26148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附件二：</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_Toc26148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32</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32EBD5F6">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_Toc15132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_Toc15132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34</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2879D5D">
      <w:pPr>
        <w:pStyle w:val="11"/>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_Toc12236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四：</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_Toc12236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36</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6CB8FEBC">
      <w:pPr>
        <w:rPr>
          <w:rFonts w:hint="eastAsia" w:ascii="仿宋" w:hAnsi="仿宋" w:eastAsia="仿宋" w:cs="仿宋"/>
          <w:sz w:val="56"/>
          <w:szCs w:val="32"/>
        </w:rPr>
      </w:pPr>
      <w:r>
        <w:rPr>
          <w:rFonts w:hint="eastAsia" w:ascii="仿宋" w:hAnsi="仿宋" w:eastAsia="仿宋" w:cs="仿宋"/>
          <w:b w:val="0"/>
          <w:bCs w:val="0"/>
          <w:sz w:val="32"/>
          <w:szCs w:val="32"/>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17392"/>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厂区篮球场改造项目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SX-GC-LQ-2604001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5"/>
        <w:tblW w:w="5510" w:type="pct"/>
        <w:jc w:val="center"/>
        <w:tblLayout w:type="fixed"/>
        <w:tblCellMar>
          <w:top w:w="0" w:type="dxa"/>
          <w:left w:w="108" w:type="dxa"/>
          <w:bottom w:w="0" w:type="dxa"/>
          <w:right w:w="108" w:type="dxa"/>
        </w:tblCellMar>
      </w:tblPr>
      <w:tblGrid>
        <w:gridCol w:w="672"/>
        <w:gridCol w:w="2145"/>
        <w:gridCol w:w="5376"/>
        <w:gridCol w:w="204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5376"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0D170546">
        <w:tblPrEx>
          <w:tblCellMar>
            <w:top w:w="0" w:type="dxa"/>
            <w:left w:w="108" w:type="dxa"/>
            <w:bottom w:w="0" w:type="dxa"/>
            <w:right w:w="108" w:type="dxa"/>
          </w:tblCellMar>
        </w:tblPrEx>
        <w:trPr>
          <w:trHeight w:val="3021"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厂区篮球场改造</w:t>
            </w:r>
          </w:p>
        </w:tc>
        <w:tc>
          <w:tcPr>
            <w:tcW w:w="5376" w:type="dxa"/>
            <w:tcBorders>
              <w:top w:val="single" w:color="000000" w:sz="4" w:space="0"/>
              <w:left w:val="single" w:color="000000" w:sz="4" w:space="0"/>
              <w:bottom w:val="single" w:color="000000" w:sz="4" w:space="0"/>
              <w:right w:val="single" w:color="000000" w:sz="4" w:space="0"/>
            </w:tcBorders>
            <w:noWrap w:val="0"/>
            <w:vAlign w:val="center"/>
          </w:tcPr>
          <w:p w14:paraId="1037E4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1、旧地面铲除与清运1000㎡含原地面破损塑胶层铲除、垃圾装车外运</w:t>
            </w:r>
          </w:p>
          <w:p w14:paraId="25B812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2、基础打磨与修补1000㎡含水泥基础打磨、裂缝填补、局部找平</w:t>
            </w:r>
          </w:p>
          <w:p w14:paraId="1FBCD4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3、6mm厚硅PU弹性层铺1000㎡包含弹性层、加强层，分层施工</w:t>
            </w:r>
          </w:p>
          <w:p w14:paraId="6F32A8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4、硅PU面层施工1000㎡包含耐磨防滑面层</w:t>
            </w:r>
          </w:p>
          <w:p w14:paraId="5DF45D7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5、球场标准划线按标准篮球场尺寸（含三秒区、中圈等）</w:t>
            </w:r>
          </w:p>
          <w:p w14:paraId="1DBA20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6、场地养护与清理施工完成后成品保护与场地清洁</w:t>
            </w:r>
          </w:p>
          <w:p w14:paraId="032EEAA7">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7、户外休闲椅换新共计四把</w:t>
            </w:r>
          </w:p>
          <w:p w14:paraId="1E0E83E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8、围网换新550㎡（包含原围网拆除）</w:t>
            </w:r>
          </w:p>
          <w:p w14:paraId="529E50C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rPr>
              <w:t>9、篮球架2个（包含原篮球架拆除）</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详见询价文件</w:t>
            </w:r>
          </w:p>
        </w:tc>
      </w:tr>
    </w:tbl>
    <w:p w14:paraId="69BFD6C9">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w:t>
      </w:r>
    </w:p>
    <w:p w14:paraId="07AF0A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为确保工程质量，所有材料及施工必须符合以下要求。</w:t>
      </w:r>
    </w:p>
    <w:p w14:paraId="7B0634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具体要求与指标</w:t>
      </w:r>
    </w:p>
    <w:p w14:paraId="442972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（一）地面材料要求</w:t>
      </w:r>
    </w:p>
    <w:p w14:paraId="06568F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球场材料：6mm厚生物基硅PU球场材料。</w:t>
      </w:r>
    </w:p>
    <w:p w14:paraId="622CB4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技术参数及要求：</w:t>
      </w:r>
    </w:p>
    <w:p w14:paraId="7E15FE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1.生物基硅PU球场材料具有满足CEC 097-2024无废低碳产品认证技术规范生物基合成材料运动场地面层的无废低碳产品认证证书，提供相关资料复印件及在国家认监委网站查询截图。</w:t>
      </w:r>
    </w:p>
    <w:p w14:paraId="08BB0B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2.硅PU产品产品同时获得中国环境标志产品认证证书、中国环境标志（II）产品认证证书及获得ISO14025环境标志国际标准III环境标志证书。</w:t>
      </w:r>
    </w:p>
    <w:p w14:paraId="0BD19D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3.硅PU面层获得国际网联（ITF）认证证书。</w:t>
      </w:r>
    </w:p>
    <w:p w14:paraId="0CE03F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4.硅PU球场所采用面漆耐人工气候老化性能≥2100小时以上通过国家级检测中心检测，符合GB/T22374-2018检测要求，提供具有“CMA”或“CNAS”的合格检测报告。</w:t>
      </w:r>
    </w:p>
    <w:p w14:paraId="020B11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5.硅PU运动场聚氨酯面材符合GB/T 35468-2017《种植屋面用耐根穿刺防水卷材》技术试验要求，未发现根穿刺现象，且在耐根穿刺性能测试2年（从送样品检测到出检测结果时间）后，拉伸强度≥0.5MPa，拉断伸长率≥40%符合GB 36246-2018检测要求，提供具有“CMA”或“CNAS”的合格检测报告。</w:t>
      </w:r>
    </w:p>
    <w:p w14:paraId="16DCF1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技术参数及要求：</w:t>
      </w:r>
    </w:p>
    <w:p w14:paraId="54ECD9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物理性能符合GB36246-2018《中小学合成材料面层运动场地》要求</w:t>
      </w:r>
    </w:p>
    <w:tbl>
      <w:tblPr>
        <w:tblStyle w:val="15"/>
        <w:tblW w:w="6463" w:type="dxa"/>
        <w:jc w:val="center"/>
        <w:tblLayout w:type="autofit"/>
        <w:tblCellMar>
          <w:top w:w="0" w:type="dxa"/>
          <w:left w:w="108" w:type="dxa"/>
          <w:bottom w:w="0" w:type="dxa"/>
          <w:right w:w="108" w:type="dxa"/>
        </w:tblCellMar>
      </w:tblPr>
      <w:tblGrid>
        <w:gridCol w:w="3560"/>
        <w:gridCol w:w="2903"/>
      </w:tblGrid>
      <w:tr w14:paraId="51E62EB1">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448DE56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项目</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40A8282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技术要求</w:t>
            </w:r>
          </w:p>
        </w:tc>
      </w:tr>
      <w:tr w14:paraId="62F3819E">
        <w:tblPrEx>
          <w:tblCellMar>
            <w:top w:w="0" w:type="dxa"/>
            <w:left w:w="108" w:type="dxa"/>
            <w:bottom w:w="0" w:type="dxa"/>
            <w:right w:w="108" w:type="dxa"/>
          </w:tblCellMar>
        </w:tblPrEx>
        <w:trPr>
          <w:trHeight w:val="771"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4A2804A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冲击吸收/%</w:t>
            </w:r>
          </w:p>
          <w:p w14:paraId="712B923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田径场地</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26CEE856">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20-50</w:t>
            </w:r>
          </w:p>
        </w:tc>
      </w:tr>
      <w:tr w14:paraId="1A4C1FE3">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65A48ED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垂直变形/mm</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3284158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0.6~3.0</w:t>
            </w:r>
          </w:p>
        </w:tc>
      </w:tr>
      <w:tr w14:paraId="6715FAA1">
        <w:tblPrEx>
          <w:tblCellMar>
            <w:top w:w="0" w:type="dxa"/>
            <w:left w:w="108" w:type="dxa"/>
            <w:bottom w:w="0" w:type="dxa"/>
            <w:right w:w="108" w:type="dxa"/>
          </w:tblCellMar>
        </w:tblPrEx>
        <w:trPr>
          <w:trHeight w:val="910"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311152A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抗滑值（20℃）/BPN</w:t>
            </w:r>
          </w:p>
          <w:p w14:paraId="493334CA">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田径场地</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0F988FDB">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80-110（干测）</w:t>
            </w:r>
          </w:p>
        </w:tc>
      </w:tr>
      <w:tr w14:paraId="563946F4">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0C05AD2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拉伸强度/MPa</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6387653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≥0.4</w:t>
            </w:r>
          </w:p>
        </w:tc>
      </w:tr>
      <w:tr w14:paraId="3FBEF137">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4026924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拉断伸长率/%</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677334FA">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≥40</w:t>
            </w:r>
          </w:p>
        </w:tc>
      </w:tr>
      <w:tr w14:paraId="26B6389A">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48D105D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阻燃性能/级</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3C3E4DB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Ⅰ</w:t>
            </w:r>
          </w:p>
        </w:tc>
      </w:tr>
    </w:tbl>
    <w:p w14:paraId="43DA77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化学性能符合GB36246-2018《中小学合成材料面层运动场地》要求</w:t>
      </w:r>
    </w:p>
    <w:tbl>
      <w:tblPr>
        <w:tblStyle w:val="15"/>
        <w:tblW w:w="7741" w:type="dxa"/>
        <w:jc w:val="center"/>
        <w:tblLayout w:type="autofit"/>
        <w:tblCellMar>
          <w:top w:w="0" w:type="dxa"/>
          <w:left w:w="108" w:type="dxa"/>
          <w:bottom w:w="0" w:type="dxa"/>
          <w:right w:w="108" w:type="dxa"/>
        </w:tblCellMar>
      </w:tblPr>
      <w:tblGrid>
        <w:gridCol w:w="1953"/>
        <w:gridCol w:w="4557"/>
        <w:gridCol w:w="1231"/>
      </w:tblGrid>
      <w:tr w14:paraId="4DFBB654">
        <w:tblPrEx>
          <w:tblCellMar>
            <w:top w:w="0" w:type="dxa"/>
            <w:left w:w="108" w:type="dxa"/>
            <w:bottom w:w="0" w:type="dxa"/>
            <w:right w:w="108" w:type="dxa"/>
          </w:tblCellMar>
        </w:tblPrEx>
        <w:trPr>
          <w:trHeight w:val="455" w:hRule="exact"/>
          <w:jc w:val="center"/>
        </w:trPr>
        <w:tc>
          <w:tcPr>
            <w:tcW w:w="65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F2C50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项目</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48D77A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技术要求</w:t>
            </w:r>
          </w:p>
        </w:tc>
      </w:tr>
      <w:tr w14:paraId="17FF3B2C">
        <w:tblPrEx>
          <w:tblCellMar>
            <w:top w:w="0" w:type="dxa"/>
            <w:left w:w="108" w:type="dxa"/>
            <w:bottom w:w="0" w:type="dxa"/>
            <w:right w:w="108" w:type="dxa"/>
          </w:tblCellMar>
        </w:tblPrEx>
        <w:trPr>
          <w:trHeight w:val="587" w:hRule="exact"/>
          <w:jc w:val="center"/>
        </w:trPr>
        <w:tc>
          <w:tcPr>
            <w:tcW w:w="1953" w:type="dxa"/>
            <w:vMerge w:val="restart"/>
            <w:tcBorders>
              <w:top w:val="single" w:color="auto" w:sz="4" w:space="0"/>
              <w:left w:val="single" w:color="auto" w:sz="4" w:space="0"/>
              <w:right w:val="single" w:color="auto" w:sz="4" w:space="0"/>
            </w:tcBorders>
            <w:shd w:val="clear" w:color="auto" w:fill="auto"/>
            <w:vAlign w:val="center"/>
          </w:tcPr>
          <w:p w14:paraId="098A894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有害物质含量</w:t>
            </w: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0B460B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3种邻苯二甲酸之类化合物（DBP、BBP、DEHP）总和/(g/kg)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4919CEA">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7DB57346">
        <w:tblPrEx>
          <w:tblCellMar>
            <w:top w:w="0" w:type="dxa"/>
            <w:left w:w="108" w:type="dxa"/>
            <w:bottom w:w="0" w:type="dxa"/>
            <w:right w:w="108" w:type="dxa"/>
          </w:tblCellMar>
        </w:tblPrEx>
        <w:trPr>
          <w:trHeight w:val="660" w:hRule="exact"/>
          <w:jc w:val="center"/>
        </w:trPr>
        <w:tc>
          <w:tcPr>
            <w:tcW w:w="1953" w:type="dxa"/>
            <w:vMerge w:val="continue"/>
            <w:tcBorders>
              <w:left w:val="single" w:color="auto" w:sz="4" w:space="0"/>
              <w:right w:val="single" w:color="auto" w:sz="4" w:space="0"/>
            </w:tcBorders>
            <w:shd w:val="clear" w:color="auto" w:fill="auto"/>
            <w:vAlign w:val="center"/>
          </w:tcPr>
          <w:p w14:paraId="1568942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36F90B7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3种邻苯二甲酸酯类化合物（DNOP、DINP、DIDP）总和/(g/kg)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F86913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3A40B178">
        <w:tblPrEx>
          <w:tblCellMar>
            <w:top w:w="0" w:type="dxa"/>
            <w:left w:w="108" w:type="dxa"/>
            <w:bottom w:w="0" w:type="dxa"/>
            <w:right w:w="108" w:type="dxa"/>
          </w:tblCellMar>
        </w:tblPrEx>
        <w:trPr>
          <w:trHeight w:val="405" w:hRule="exact"/>
          <w:jc w:val="center"/>
        </w:trPr>
        <w:tc>
          <w:tcPr>
            <w:tcW w:w="1953" w:type="dxa"/>
            <w:vMerge w:val="continue"/>
            <w:tcBorders>
              <w:left w:val="single" w:color="auto" w:sz="4" w:space="0"/>
              <w:right w:val="single" w:color="auto" w:sz="4" w:space="0"/>
            </w:tcBorders>
            <w:shd w:val="clear" w:color="auto" w:fill="auto"/>
            <w:vAlign w:val="center"/>
          </w:tcPr>
          <w:p w14:paraId="378D64C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0FFBD5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18种多环芳烃总和/(mg/kg)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E0573BF">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w:t>
            </w:r>
          </w:p>
        </w:tc>
      </w:tr>
      <w:tr w14:paraId="7796A8B0">
        <w:tblPrEx>
          <w:tblCellMar>
            <w:top w:w="0" w:type="dxa"/>
            <w:left w:w="108" w:type="dxa"/>
            <w:bottom w:w="0" w:type="dxa"/>
            <w:right w:w="108" w:type="dxa"/>
          </w:tblCellMar>
        </w:tblPrEx>
        <w:trPr>
          <w:trHeight w:val="643" w:hRule="exact"/>
          <w:jc w:val="center"/>
        </w:trPr>
        <w:tc>
          <w:tcPr>
            <w:tcW w:w="1953" w:type="dxa"/>
            <w:vMerge w:val="continue"/>
            <w:tcBorders>
              <w:left w:val="single" w:color="auto" w:sz="4" w:space="0"/>
              <w:right w:val="single" w:color="auto" w:sz="4" w:space="0"/>
            </w:tcBorders>
            <w:shd w:val="clear" w:color="auto" w:fill="auto"/>
            <w:vAlign w:val="center"/>
          </w:tcPr>
          <w:p w14:paraId="67B0C35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5B04EB8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该项为取距合成材料面层上表面5 mm以内的部分进行测试</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7944B3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w:t>
            </w:r>
          </w:p>
        </w:tc>
      </w:tr>
      <w:tr w14:paraId="2CBCBC23">
        <w:tblPrEx>
          <w:tblCellMar>
            <w:top w:w="0" w:type="dxa"/>
            <w:left w:w="108" w:type="dxa"/>
            <w:bottom w:w="0" w:type="dxa"/>
            <w:right w:w="108" w:type="dxa"/>
          </w:tblCellMar>
        </w:tblPrEx>
        <w:trPr>
          <w:trHeight w:val="397" w:hRule="exact"/>
          <w:jc w:val="center"/>
        </w:trPr>
        <w:tc>
          <w:tcPr>
            <w:tcW w:w="1953" w:type="dxa"/>
            <w:vMerge w:val="continue"/>
            <w:tcBorders>
              <w:left w:val="single" w:color="auto" w:sz="4" w:space="0"/>
              <w:right w:val="single" w:color="auto" w:sz="4" w:space="0"/>
            </w:tcBorders>
            <w:shd w:val="clear" w:color="auto" w:fill="auto"/>
            <w:vAlign w:val="center"/>
          </w:tcPr>
          <w:p w14:paraId="0ABBB1B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8476305">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苯并【a】芘/(mg/kg)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128847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19AC137B">
        <w:tblPrEx>
          <w:tblCellMar>
            <w:top w:w="0" w:type="dxa"/>
            <w:left w:w="108" w:type="dxa"/>
            <w:bottom w:w="0" w:type="dxa"/>
            <w:right w:w="108" w:type="dxa"/>
          </w:tblCellMar>
        </w:tblPrEx>
        <w:trPr>
          <w:trHeight w:val="436" w:hRule="exact"/>
          <w:jc w:val="center"/>
        </w:trPr>
        <w:tc>
          <w:tcPr>
            <w:tcW w:w="1953" w:type="dxa"/>
            <w:vMerge w:val="continue"/>
            <w:tcBorders>
              <w:left w:val="single" w:color="auto" w:sz="4" w:space="0"/>
              <w:right w:val="single" w:color="auto" w:sz="4" w:space="0"/>
            </w:tcBorders>
            <w:shd w:val="clear" w:color="auto" w:fill="auto"/>
            <w:vAlign w:val="center"/>
          </w:tcPr>
          <w:p w14:paraId="3B8BC26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4FAC13A0">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短链氯化石蜡（C10-C13）/(g/kg)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971B0F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≤1.5</w:t>
            </w:r>
          </w:p>
        </w:tc>
      </w:tr>
      <w:tr w14:paraId="3931664A">
        <w:tblPrEx>
          <w:tblCellMar>
            <w:top w:w="0" w:type="dxa"/>
            <w:left w:w="108" w:type="dxa"/>
            <w:bottom w:w="0" w:type="dxa"/>
            <w:right w:w="108" w:type="dxa"/>
          </w:tblCellMar>
        </w:tblPrEx>
        <w:trPr>
          <w:trHeight w:val="655" w:hRule="exact"/>
          <w:jc w:val="center"/>
        </w:trPr>
        <w:tc>
          <w:tcPr>
            <w:tcW w:w="1953" w:type="dxa"/>
            <w:vMerge w:val="continue"/>
            <w:tcBorders>
              <w:left w:val="single" w:color="auto" w:sz="4" w:space="0"/>
              <w:right w:val="single" w:color="auto" w:sz="4" w:space="0"/>
            </w:tcBorders>
            <w:shd w:val="clear" w:color="auto" w:fill="auto"/>
            <w:vAlign w:val="center"/>
          </w:tcPr>
          <w:p w14:paraId="3C3FFDC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907983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4,4’-二氨基-3,3’-二氯二苯甲烷（MOCA）(g/kg)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5896BA5">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44FDBB99">
        <w:tblPrEx>
          <w:tblCellMar>
            <w:top w:w="0" w:type="dxa"/>
            <w:left w:w="108" w:type="dxa"/>
            <w:bottom w:w="0" w:type="dxa"/>
            <w:right w:w="108" w:type="dxa"/>
          </w:tblCellMar>
        </w:tblPrEx>
        <w:trPr>
          <w:trHeight w:val="572" w:hRule="exact"/>
          <w:jc w:val="center"/>
        </w:trPr>
        <w:tc>
          <w:tcPr>
            <w:tcW w:w="1953" w:type="dxa"/>
            <w:vMerge w:val="continue"/>
            <w:tcBorders>
              <w:left w:val="single" w:color="auto" w:sz="4" w:space="0"/>
              <w:right w:val="single" w:color="auto" w:sz="4" w:space="0"/>
            </w:tcBorders>
            <w:shd w:val="clear" w:color="auto" w:fill="auto"/>
            <w:vAlign w:val="center"/>
          </w:tcPr>
          <w:p w14:paraId="62D072CF">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F115AFB">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游离甲苯二异氰酸酯（TDI）和游离六亚甲基二异氰酸酯（HDI）总和(g/kg)</w:t>
            </w:r>
          </w:p>
          <w:p w14:paraId="596FE90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p w14:paraId="340CBFC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5CA9677">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≤0.2</w:t>
            </w:r>
          </w:p>
        </w:tc>
      </w:tr>
      <w:tr w14:paraId="0E0252D2">
        <w:tblPrEx>
          <w:tblCellMar>
            <w:top w:w="0" w:type="dxa"/>
            <w:left w:w="108" w:type="dxa"/>
            <w:bottom w:w="0" w:type="dxa"/>
            <w:right w:w="108" w:type="dxa"/>
          </w:tblCellMar>
        </w:tblPrEx>
        <w:trPr>
          <w:trHeight w:val="367" w:hRule="exact"/>
          <w:jc w:val="center"/>
        </w:trPr>
        <w:tc>
          <w:tcPr>
            <w:tcW w:w="1953" w:type="dxa"/>
            <w:vMerge w:val="continue"/>
            <w:tcBorders>
              <w:left w:val="single" w:color="auto" w:sz="4" w:space="0"/>
              <w:right w:val="single" w:color="auto" w:sz="4" w:space="0"/>
            </w:tcBorders>
            <w:shd w:val="clear" w:color="auto" w:fill="auto"/>
            <w:vAlign w:val="center"/>
          </w:tcPr>
          <w:p w14:paraId="1ECE7A0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CEBF3C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游离二苯基甲烷二异氰酸酯（MDI）(g/kg)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DB0F7A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38C78250">
        <w:tblPrEx>
          <w:tblCellMar>
            <w:top w:w="0" w:type="dxa"/>
            <w:left w:w="108" w:type="dxa"/>
            <w:bottom w:w="0" w:type="dxa"/>
            <w:right w:w="108" w:type="dxa"/>
          </w:tblCellMar>
        </w:tblPrEx>
        <w:trPr>
          <w:trHeight w:val="367" w:hRule="exact"/>
          <w:jc w:val="center"/>
        </w:trPr>
        <w:tc>
          <w:tcPr>
            <w:tcW w:w="1953" w:type="dxa"/>
            <w:vMerge w:val="continue"/>
            <w:tcBorders>
              <w:left w:val="single" w:color="auto" w:sz="4" w:space="0"/>
              <w:right w:val="single" w:color="auto" w:sz="4" w:space="0"/>
            </w:tcBorders>
            <w:shd w:val="clear" w:color="auto" w:fill="auto"/>
            <w:vAlign w:val="center"/>
          </w:tcPr>
          <w:p w14:paraId="3D602D8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B212CC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可溶性铅(mg/kg)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D52BB1B">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w:t>
            </w:r>
          </w:p>
        </w:tc>
      </w:tr>
      <w:tr w14:paraId="699EE522">
        <w:tblPrEx>
          <w:tblCellMar>
            <w:top w:w="0" w:type="dxa"/>
            <w:left w:w="108" w:type="dxa"/>
            <w:bottom w:w="0" w:type="dxa"/>
            <w:right w:w="108" w:type="dxa"/>
          </w:tblCellMar>
        </w:tblPrEx>
        <w:trPr>
          <w:trHeight w:val="380" w:hRule="exact"/>
          <w:jc w:val="center"/>
        </w:trPr>
        <w:tc>
          <w:tcPr>
            <w:tcW w:w="1953" w:type="dxa"/>
            <w:vMerge w:val="continue"/>
            <w:tcBorders>
              <w:left w:val="single" w:color="auto" w:sz="4" w:space="0"/>
              <w:right w:val="single" w:color="auto" w:sz="4" w:space="0"/>
            </w:tcBorders>
            <w:shd w:val="clear" w:color="auto" w:fill="auto"/>
            <w:vAlign w:val="center"/>
          </w:tcPr>
          <w:p w14:paraId="4425A5A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132A2CA">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可溶性镉(mg/kg)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1863AE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55D3BFF5">
        <w:tblPrEx>
          <w:tblCellMar>
            <w:top w:w="0" w:type="dxa"/>
            <w:left w:w="108" w:type="dxa"/>
            <w:bottom w:w="0" w:type="dxa"/>
            <w:right w:w="108" w:type="dxa"/>
          </w:tblCellMar>
        </w:tblPrEx>
        <w:trPr>
          <w:trHeight w:val="343" w:hRule="exact"/>
          <w:jc w:val="center"/>
        </w:trPr>
        <w:tc>
          <w:tcPr>
            <w:tcW w:w="1953" w:type="dxa"/>
            <w:vMerge w:val="continue"/>
            <w:tcBorders>
              <w:left w:val="single" w:color="auto" w:sz="4" w:space="0"/>
              <w:right w:val="single" w:color="auto" w:sz="4" w:space="0"/>
            </w:tcBorders>
            <w:shd w:val="clear" w:color="auto" w:fill="auto"/>
            <w:vAlign w:val="center"/>
          </w:tcPr>
          <w:p w14:paraId="3FCB158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1BBBA65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可溶性铬(mg/kg)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79EA10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2BA6B4F9">
        <w:tblPrEx>
          <w:tblCellMar>
            <w:top w:w="0" w:type="dxa"/>
            <w:left w:w="108" w:type="dxa"/>
            <w:bottom w:w="0" w:type="dxa"/>
            <w:right w:w="108" w:type="dxa"/>
          </w:tblCellMar>
        </w:tblPrEx>
        <w:trPr>
          <w:trHeight w:val="332" w:hRule="exact"/>
          <w:jc w:val="center"/>
        </w:trPr>
        <w:tc>
          <w:tcPr>
            <w:tcW w:w="1953" w:type="dxa"/>
            <w:vMerge w:val="continue"/>
            <w:tcBorders>
              <w:left w:val="single" w:color="auto" w:sz="4" w:space="0"/>
              <w:bottom w:val="single" w:color="auto" w:sz="4" w:space="0"/>
              <w:right w:val="single" w:color="auto" w:sz="4" w:space="0"/>
            </w:tcBorders>
            <w:shd w:val="clear" w:color="auto" w:fill="auto"/>
            <w:vAlign w:val="center"/>
          </w:tcPr>
          <w:p w14:paraId="35BC928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77A9023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可溶性汞(mg/kg)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FDA610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w:t>
            </w:r>
          </w:p>
        </w:tc>
      </w:tr>
      <w:tr w14:paraId="31EF2131">
        <w:tblPrEx>
          <w:tblCellMar>
            <w:top w:w="0" w:type="dxa"/>
            <w:left w:w="108" w:type="dxa"/>
            <w:bottom w:w="0" w:type="dxa"/>
            <w:right w:w="108" w:type="dxa"/>
          </w:tblCellMar>
        </w:tblPrEx>
        <w:trPr>
          <w:trHeight w:val="309" w:hRule="exact"/>
          <w:jc w:val="center"/>
        </w:trPr>
        <w:tc>
          <w:tcPr>
            <w:tcW w:w="1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BEFFAB">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有害物质释放量</w:t>
            </w:r>
          </w:p>
          <w:p w14:paraId="694DAFA7">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08641B27">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总挥发性有机化合物（TVOC）/【mg/(㎡·h)】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7748D57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w:t>
            </w:r>
          </w:p>
        </w:tc>
      </w:tr>
      <w:tr w14:paraId="6D6EF205">
        <w:tblPrEx>
          <w:tblCellMar>
            <w:top w:w="0" w:type="dxa"/>
            <w:left w:w="108" w:type="dxa"/>
            <w:bottom w:w="0" w:type="dxa"/>
            <w:right w:w="108" w:type="dxa"/>
          </w:tblCellMar>
        </w:tblPrEx>
        <w:trPr>
          <w:trHeight w:val="272"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94B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6CBBFA17">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甲醛/【mg/(㎡·h)】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661CB947">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≤0.4</w:t>
            </w:r>
          </w:p>
        </w:tc>
      </w:tr>
      <w:tr w14:paraId="2B2D0351">
        <w:tblPrEx>
          <w:tblCellMar>
            <w:top w:w="0" w:type="dxa"/>
            <w:left w:w="108" w:type="dxa"/>
            <w:bottom w:w="0" w:type="dxa"/>
            <w:right w:w="108" w:type="dxa"/>
          </w:tblCellMar>
        </w:tblPrEx>
        <w:trPr>
          <w:trHeight w:val="296"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378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1C63B97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苯/【mg/(㎡·h)】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11ADF7D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≤0.1</w:t>
            </w:r>
          </w:p>
        </w:tc>
      </w:tr>
      <w:tr w14:paraId="6B1D68B0">
        <w:tblPrEx>
          <w:tblCellMar>
            <w:top w:w="0" w:type="dxa"/>
            <w:left w:w="108" w:type="dxa"/>
            <w:bottom w:w="0" w:type="dxa"/>
            <w:right w:w="108" w:type="dxa"/>
          </w:tblCellMar>
        </w:tblPrEx>
        <w:trPr>
          <w:trHeight w:val="321"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3ED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43947374">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甲苯、二甲苯和乙苯总和/【mg/(㎡·h)】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75E8531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≤1.0</w:t>
            </w:r>
          </w:p>
        </w:tc>
      </w:tr>
      <w:tr w14:paraId="0F9C0A74">
        <w:tblPrEx>
          <w:tblCellMar>
            <w:top w:w="0" w:type="dxa"/>
            <w:left w:w="108" w:type="dxa"/>
            <w:bottom w:w="0" w:type="dxa"/>
            <w:right w:w="108" w:type="dxa"/>
          </w:tblCellMar>
        </w:tblPrEx>
        <w:trPr>
          <w:trHeight w:val="321"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760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0BDDFC1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二硫化碳/【mg/(㎡·h)】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0E3DA94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≤7.0</w:t>
            </w:r>
          </w:p>
        </w:tc>
      </w:tr>
      <w:tr w14:paraId="66359169">
        <w:tblPrEx>
          <w:tblCellMar>
            <w:top w:w="0" w:type="dxa"/>
            <w:left w:w="108" w:type="dxa"/>
            <w:bottom w:w="0" w:type="dxa"/>
            <w:right w:w="108" w:type="dxa"/>
          </w:tblCellMar>
        </w:tblPrEx>
        <w:trPr>
          <w:trHeight w:val="342" w:hRule="exact"/>
          <w:jc w:val="center"/>
        </w:trPr>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14:paraId="4F58E3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i w:val="0"/>
                <w:iCs w:val="0"/>
                <w:strike w:val="0"/>
                <w:dstrike w:val="0"/>
                <w:color w:val="000000"/>
                <w:sz w:val="24"/>
                <w:szCs w:val="24"/>
                <w:highlight w:val="none"/>
                <w:u w:val="none"/>
                <w:lang w:val="en-US" w:eastAsia="zh-CN"/>
              </w:rPr>
              <w:t>气味</w:t>
            </w: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4EA11B9A">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气味等级/级</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5553452F">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w:t>
            </w:r>
          </w:p>
        </w:tc>
      </w:tr>
    </w:tbl>
    <w:p w14:paraId="7709BF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（二)基础处理要求</w:t>
      </w:r>
    </w:p>
    <w:p w14:paraId="1FB5B4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基础状态：水泥基础需坚固、干燥（含水率≤5%）、平整。用3m直尺测量，误差≤3mm。</w:t>
      </w:r>
    </w:p>
    <w:p w14:paraId="3EF499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裂缝处理：所有裂缝需切割扩宽后填补，防止后期反射。</w:t>
      </w:r>
    </w:p>
    <w:p w14:paraId="1CDDCF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施工环境：施工温度不低于5℃。每一层必须完全干固后才能进行下一道涂刮。完工后养护期不少于5天。</w:t>
      </w:r>
    </w:p>
    <w:p w14:paraId="4905DB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(三）篮球架要求</w:t>
      </w:r>
    </w:p>
    <w:p w14:paraId="0C5074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篮板：1800×1050mm国际通用尺寸，配12mm厚高强度安全玻璃，下沿及侧面有保护条。</w:t>
      </w:r>
    </w:p>
    <w:p w14:paraId="316D4C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主立柱：□180×180×4mm优质大圆角方管，圆角R40mm，兼顾美观与安全。</w:t>
      </w:r>
    </w:p>
    <w:p w14:paraId="645999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伸臂：采用δ3mm进口优质铁板一次冲压成型并折边，关键部位采用冲压成型后焊接内置螺母，避免焊接外露。</w:t>
      </w:r>
    </w:p>
    <w:p w14:paraId="3A6880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拉杆：上拉杆为Φ48×2mm圆管，后拉杆为□50×40×3mm方管，均通过弯管机一次成型，无焊接隐患，可调节篮板平面度与篮圈平行度。</w:t>
      </w:r>
    </w:p>
    <w:p w14:paraId="1BB21E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篮圈：φ17mm实心圆钢制作，圈下焊有12段均匀分布的圆弧形网钩，配篮网。</w:t>
      </w:r>
    </w:p>
    <w:p w14:paraId="2A3446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（四）新装围网要求</w:t>
      </w:r>
    </w:p>
    <w:p w14:paraId="1350F8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1、管材材质：立杆与横杆采用一次成型无焊接的Q235热镀锌圆钢管，立柱直径不小于76mm，壁厚不小于2.0mm， 横杆直径为不小于60mm，壁厚不小于2.0mm，围网高度4米*3米宽，日字型，立柱直埋固定，厚薄标准，抗冲击能力强，具备优质的防腐防锈能力，表面工艺采用德国巴斯夫纯聚酯静电粉末喷涂，安全环保，整体外观光滑洁净。</w:t>
      </w:r>
    </w:p>
    <w:p w14:paraId="782043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2、扣件材料：采用精钢冲压而成，贴抱式设计，将立杆与横杆紧密连接，稳定性强，灵活组装。</w:t>
      </w:r>
    </w:p>
    <w:p w14:paraId="514187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PE包塑围网：采用优质低碳镀锌铁丝，内径2.3士0.05mm,包塑后外径3.6士0.15mm，网孔尺寸为45×45±2mm，包塑层使用高密度进口PE原粒，并添加抗UV原料合成材料进行包裹，耐腐蚀能力强，颜色选用进口色粉，适合全天候环境使用。</w:t>
      </w:r>
    </w:p>
    <w:p w14:paraId="287813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4、压网条材质：采用高密度规格为18x3.8mm的扁铝条，抗腐蚀能力强，环保耐用，有效提升围网与立、横杆的贴合稳固性。</w:t>
      </w:r>
    </w:p>
    <w:p w14:paraId="2100BD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5、螺丝：采用国标304不锈钢螺丝与镀锌尾钻螺丝固定，安装牢固，防腐蚀能力强，满足场地长期使用标准。</w:t>
      </w:r>
    </w:p>
    <w:p w14:paraId="2C063A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检测报告：</w:t>
      </w:r>
    </w:p>
    <w:p w14:paraId="7691B1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1、为保证产品的品质及耐用性，PE包塑围网需提供具有CMA或CNAS标志的氙灯老化试验报告，符合GB/T 16422.2-2022标准要求，通过≥1500h氙灯老化试验后，检测结果样品变色等级≤1级，粉化等级≤1级，开裂等级≤0级，起泡等级≤0级，生锈等级≤0级，剥落等级≤0级。</w:t>
      </w:r>
    </w:p>
    <w:p w14:paraId="6BFA96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2、为保证产品的使用稳定性，管材需提供具有CMA或CNAS的残余应力试验报告，符合《GB/T 24179-2023》标准要求，检测结果残余应力最大值σy≤150MPa。</w:t>
      </w:r>
    </w:p>
    <w:p w14:paraId="5E46D3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3、为保证产品的品质及安全性，连接件需提供具有CMA或CNAS标志的渗透探伤试验报告，依据《NB/T 47013.5-2015》检测标准，检测结果应无缺陷，质量分级不低于1级。</w:t>
      </w:r>
    </w:p>
    <w:p w14:paraId="7DB2FF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4、为保证运动场地使用材料的安全环保性，产品表面所用聚酯粉末需提供具有CMA或CNAS标志的挥发性有机物VOCs含量检测报告，符合《GB/T 34682-2017》标准要求，检测结果VOCs含量≤15g/L。</w:t>
      </w:r>
    </w:p>
    <w:p w14:paraId="782345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（五）质保明细：</w:t>
      </w:r>
    </w:p>
    <w:p w14:paraId="3088A4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-硅PU面层（弹性层+面层）：5年（非人为质量问题）</w:t>
      </w:r>
    </w:p>
    <w:p w14:paraId="6E4390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-蓝球架5年、围网：5年</w:t>
      </w:r>
    </w:p>
    <w:p w14:paraId="5C5614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（六）其他要求：本工程竣工后，施工方须委托具备CMA/CNAS资质的第三方检测机构，按GB 36246-2018和GB/T 14833-2020对硅PU面层进行物理性能、有害物质、气味评定全项检测。检测结果全部达标方可验收；若气味＞3级或环保指标超标，施工方须无条件铲除重做，并承担全部检测及返工费用。检测报告须提供原件，无CMA章报告无效。</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人民币28.7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60B52E59">
      <w:pPr>
        <w:pStyle w:val="14"/>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w:t>
      </w:r>
      <w:bookmarkStart w:id="7" w:name="OLE_LINK2"/>
      <w:r>
        <w:rPr>
          <w:rFonts w:hint="eastAsia" w:ascii="仿宋" w:hAnsi="仿宋" w:eastAsia="仿宋" w:cs="仿宋"/>
          <w:sz w:val="30"/>
          <w:szCs w:val="30"/>
          <w:highlight w:val="none"/>
          <w:lang w:val="en-US" w:eastAsia="zh-CN"/>
        </w:rPr>
        <w:t>供应商须</w:t>
      </w:r>
      <w:bookmarkEnd w:id="7"/>
      <w:r>
        <w:rPr>
          <w:rFonts w:hint="eastAsia" w:ascii="仿宋" w:hAnsi="仿宋" w:eastAsia="仿宋" w:cs="仿宋"/>
          <w:sz w:val="30"/>
          <w:szCs w:val="30"/>
          <w:highlight w:val="none"/>
          <w:lang w:val="en-US" w:eastAsia="zh-CN"/>
        </w:rPr>
        <w:t>具备以下资质（1）具备有效的安全生产许可证。（2）营业执照经营范围须包含体育场地设施工程施工或相关业务内容（3）进场前需要提供所有进场施工人员相对应的保险明细①身故/伤残保额不低于100万元/人②意外医疗保额不低于5万元/人，若未按要求提供保险证明，或保险保额不足，甲方有权取消中标资格，且履约保证金不予退还。</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rPr>
      </w:pPr>
      <w:bookmarkStart w:id="8" w:name="_Toc530583880"/>
      <w:bookmarkStart w:id="9"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w:t>
      </w:r>
      <w:r>
        <w:rPr>
          <w:rFonts w:hint="eastAsia" w:ascii="仿宋_GB2312" w:eastAsia="仿宋_GB2312"/>
          <w:b/>
          <w:bCs/>
          <w:sz w:val="30"/>
          <w:szCs w:val="30"/>
          <w:highlight w:val="none"/>
        </w:rPr>
        <w:t>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highlight w:val="none"/>
        </w:rPr>
        <w:t>1.</w:t>
      </w:r>
      <w:r>
        <w:rPr>
          <w:rFonts w:hint="eastAsia" w:ascii="仿宋_GB2312" w:eastAsia="仿宋_GB2312"/>
          <w:sz w:val="30"/>
          <w:szCs w:val="30"/>
          <w:highlight w:val="none"/>
          <w:lang w:eastAsia="zh-CN"/>
        </w:rPr>
        <w:t>开标</w:t>
      </w:r>
      <w:r>
        <w:rPr>
          <w:rFonts w:hint="eastAsia" w:ascii="仿宋_GB2312" w:eastAsia="仿宋_GB2312"/>
          <w:sz w:val="30"/>
          <w:szCs w:val="30"/>
          <w:highlight w:val="none"/>
        </w:rPr>
        <w:t>时间：202</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6月5</w:t>
      </w:r>
      <w:r>
        <w:rPr>
          <w:rFonts w:hint="eastAsia" w:ascii="仿宋_GB2312" w:eastAsia="仿宋_GB2312"/>
          <w:sz w:val="30"/>
          <w:szCs w:val="30"/>
          <w:highlight w:val="none"/>
        </w:rPr>
        <w:t>日</w:t>
      </w:r>
      <w:r>
        <w:rPr>
          <w:rFonts w:hint="eastAsia" w:ascii="仿宋_GB2312" w:eastAsia="仿宋_GB2312"/>
          <w:sz w:val="30"/>
          <w:szCs w:val="30"/>
        </w:rPr>
        <w:t>。</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487FD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日，</w:t>
      </w:r>
      <w:r>
        <w:rPr>
          <w:rFonts w:hint="eastAsia" w:ascii="仿宋_GB2312" w:eastAsia="仿宋_GB2312"/>
          <w:sz w:val="30"/>
          <w:szCs w:val="30"/>
          <w:highlight w:val="none"/>
        </w:rPr>
        <w:t>以</w:t>
      </w:r>
      <w:r>
        <w:rPr>
          <w:rFonts w:hint="eastAsia" w:ascii="仿宋_GB2312" w:eastAsia="仿宋_GB2312"/>
          <w:sz w:val="30"/>
          <w:szCs w:val="30"/>
        </w:rPr>
        <w:t>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w:t>
      </w:r>
      <w:r>
        <w:rPr>
          <w:rFonts w:hint="eastAsia" w:ascii="仿宋_GB2312" w:eastAsia="仿宋_GB2312"/>
          <w:sz w:val="30"/>
          <w:szCs w:val="30"/>
          <w:highlight w:val="none"/>
          <w:lang w:val="en-US" w:eastAsia="zh-CN"/>
        </w:rPr>
        <w:t>29</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bookmarkStart w:id="24" w:name="_GoBack"/>
      <w:bookmarkEnd w:id="24"/>
      <w:r>
        <w:rPr>
          <w:rFonts w:hint="eastAsia" w:ascii="仿宋_GB2312" w:eastAsia="仿宋_GB2312"/>
          <w:sz w:val="30"/>
          <w:szCs w:val="30"/>
        </w:rPr>
        <w:br w:type="page"/>
      </w:r>
      <w:bookmarkStart w:id="10" w:name="_Toc530583922"/>
      <w:bookmarkStart w:id="11" w:name="_Toc530583879"/>
      <w:bookmarkStart w:id="12" w:name="_Toc13041"/>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4"/>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4"/>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2"/>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4"/>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6"/>
        <w:rPr>
          <w:rFonts w:hint="eastAsia" w:ascii="仿宋" w:hAnsi="仿宋" w:eastAsia="仿宋" w:cs="仿宋"/>
          <w:snapToGrid w:val="0"/>
          <w:sz w:val="44"/>
          <w:szCs w:val="44"/>
        </w:rPr>
      </w:pPr>
    </w:p>
    <w:p w14:paraId="1CB310D2">
      <w:pPr>
        <w:pStyle w:val="4"/>
        <w:numPr>
          <w:ilvl w:val="0"/>
          <w:numId w:val="0"/>
        </w:numPr>
        <w:jc w:val="both"/>
        <w:rPr>
          <w:rFonts w:hint="eastAsia" w:ascii="仿宋" w:hAnsi="仿宋" w:eastAsia="仿宋" w:cs="仿宋"/>
          <w:snapToGrid w:val="0"/>
          <w:sz w:val="44"/>
          <w:szCs w:val="44"/>
        </w:rPr>
      </w:pPr>
    </w:p>
    <w:p w14:paraId="255BB6B6">
      <w:pPr>
        <w:rPr>
          <w:rFonts w:hint="eastAsia" w:ascii="仿宋" w:hAnsi="仿宋" w:eastAsia="仿宋" w:cs="仿宋"/>
          <w:snapToGrid w:val="0"/>
          <w:sz w:val="44"/>
          <w:szCs w:val="44"/>
        </w:rPr>
      </w:pPr>
    </w:p>
    <w:p w14:paraId="4B4E91A6">
      <w:pPr>
        <w:pStyle w:val="14"/>
        <w:rPr>
          <w:rFonts w:hint="eastAsia"/>
        </w:rPr>
      </w:pPr>
    </w:p>
    <w:p w14:paraId="3EBB21A5">
      <w:pPr>
        <w:pStyle w:val="14"/>
        <w:rPr>
          <w:rFonts w:hint="eastAsia"/>
        </w:rPr>
      </w:pPr>
    </w:p>
    <w:p w14:paraId="409C3F53">
      <w:pPr>
        <w:pStyle w:val="14"/>
        <w:rPr>
          <w:rFonts w:hint="eastAsia"/>
        </w:rPr>
      </w:pPr>
    </w:p>
    <w:p w14:paraId="6B1F2CE2">
      <w:pPr>
        <w:pStyle w:val="14"/>
        <w:rPr>
          <w:rFonts w:hint="eastAsia"/>
        </w:rPr>
      </w:pPr>
    </w:p>
    <w:p w14:paraId="6DD629C6">
      <w:pPr>
        <w:pStyle w:val="4"/>
        <w:numPr>
          <w:ilvl w:val="0"/>
          <w:numId w:val="0"/>
        </w:numPr>
        <w:jc w:val="center"/>
        <w:rPr>
          <w:rFonts w:hint="eastAsia" w:ascii="仿宋" w:hAnsi="仿宋" w:eastAsia="仿宋" w:cs="仿宋"/>
          <w:b w:val="0"/>
          <w:bCs/>
          <w:snapToGrid w:val="0"/>
          <w:sz w:val="44"/>
        </w:rPr>
      </w:pPr>
      <w:bookmarkStart w:id="13" w:name="_Toc13197"/>
      <w:r>
        <w:rPr>
          <w:rFonts w:hint="eastAsia" w:ascii="仿宋" w:hAnsi="仿宋" w:eastAsia="仿宋" w:cs="仿宋"/>
          <w:snapToGrid w:val="0"/>
          <w:sz w:val="44"/>
          <w:szCs w:val="44"/>
        </w:rPr>
        <w:t>第三部分   询价内容</w:t>
      </w:r>
      <w:bookmarkEnd w:id="8"/>
      <w:bookmarkEnd w:id="9"/>
      <w:bookmarkEnd w:id="13"/>
    </w:p>
    <w:p w14:paraId="6BB5C9D1">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393A21A4">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本项目服务期为20天。服务方需在接到采购人进场通知后5天内响应并进场，确保在20天内完成全部项目内容</w:t>
      </w:r>
      <w:r>
        <w:rPr>
          <w:rFonts w:hint="eastAsia" w:ascii="仿宋" w:hAnsi="仿宋" w:eastAsia="仿宋" w:cs="仿宋"/>
          <w:color w:val="auto"/>
          <w:kern w:val="2"/>
          <w:sz w:val="30"/>
          <w:szCs w:val="30"/>
        </w:rPr>
        <w:t>。</w:t>
      </w:r>
    </w:p>
    <w:p w14:paraId="2549B5B5">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93621B5">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rPr>
        <w:t>。</w:t>
      </w:r>
    </w:p>
    <w:p w14:paraId="3B2867B7">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7605A68">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05EBF0DD">
      <w:pPr>
        <w:pStyle w:val="4"/>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56522A2F">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3218"/>
      <w:r>
        <w:rPr>
          <w:rFonts w:hint="eastAsia" w:ascii="仿宋" w:hAnsi="仿宋" w:eastAsia="仿宋" w:cs="仿宋"/>
          <w:snapToGrid w:val="0"/>
          <w:sz w:val="44"/>
          <w:szCs w:val="44"/>
          <w:lang w:val="en-US" w:eastAsia="zh-CN"/>
        </w:rPr>
        <w:t>合同主要条款</w:t>
      </w:r>
      <w:bookmarkEnd w:id="15"/>
      <w:r>
        <w:rPr>
          <w:rFonts w:hint="eastAsia" w:ascii="仿宋" w:hAnsi="仿宋" w:eastAsia="仿宋" w:cs="仿宋"/>
          <w:snapToGrid w:val="0"/>
          <w:sz w:val="44"/>
          <w:szCs w:val="44"/>
          <w:lang w:val="en-US" w:eastAsia="zh-CN"/>
        </w:rPr>
        <w:t>（供参考）</w:t>
      </w:r>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5"/>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5"/>
        <w:tblW w:w="9571" w:type="dxa"/>
        <w:jc w:val="center"/>
        <w:tblLayout w:type="fixed"/>
        <w:tblCellMar>
          <w:top w:w="0" w:type="dxa"/>
          <w:left w:w="108" w:type="dxa"/>
          <w:bottom w:w="0" w:type="dxa"/>
          <w:right w:w="108" w:type="dxa"/>
        </w:tblCellMar>
      </w:tblPr>
      <w:tblGrid>
        <w:gridCol w:w="751"/>
        <w:gridCol w:w="1439"/>
        <w:gridCol w:w="4121"/>
        <w:gridCol w:w="3260"/>
      </w:tblGrid>
      <w:tr w14:paraId="61FB989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项目名称</w:t>
            </w:r>
          </w:p>
        </w:tc>
        <w:tc>
          <w:tcPr>
            <w:tcW w:w="4121"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工作量</w:t>
            </w:r>
          </w:p>
        </w:tc>
        <w:tc>
          <w:tcPr>
            <w:tcW w:w="3260" w:type="dxa"/>
            <w:tcBorders>
              <w:top w:val="single" w:color="auto" w:sz="4" w:space="0"/>
              <w:left w:val="nil"/>
              <w:bottom w:val="single" w:color="auto" w:sz="4" w:space="0"/>
              <w:right w:val="single" w:color="auto" w:sz="4" w:space="0"/>
            </w:tcBorders>
            <w:noWrap w:val="0"/>
            <w:vAlign w:val="center"/>
          </w:tcPr>
          <w:p w14:paraId="25F5365C">
            <w:pPr>
              <w:adjustRightInd/>
              <w:snapToGrid/>
              <w:spacing w:after="0"/>
              <w:jc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sz w:val="24"/>
                <w:szCs w:val="24"/>
                <w:highlight w:val="none"/>
                <w:u w:val="none"/>
                <w:lang w:eastAsia="zh-CN"/>
              </w:rPr>
              <w:t>技术要求</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4121" w:type="dxa"/>
            <w:tcBorders>
              <w:top w:val="nil"/>
              <w:left w:val="nil"/>
              <w:bottom w:val="single" w:color="auto" w:sz="4" w:space="0"/>
              <w:right w:val="single" w:color="auto" w:sz="4" w:space="0"/>
            </w:tcBorders>
            <w:shd w:val="clear" w:color="000000" w:fill="FFFFFF"/>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3260"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6311" w:type="dxa"/>
            <w:gridSpan w:val="3"/>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A2DA18B">
        <w:tblPrEx>
          <w:tblCellMar>
            <w:top w:w="0" w:type="dxa"/>
            <w:left w:w="108" w:type="dxa"/>
            <w:bottom w:w="0" w:type="dxa"/>
            <w:right w:w="108" w:type="dxa"/>
          </w:tblCellMar>
        </w:tblPrEx>
        <w:trPr>
          <w:trHeight w:val="716" w:hRule="atLeast"/>
          <w:jc w:val="center"/>
        </w:trPr>
        <w:tc>
          <w:tcPr>
            <w:tcW w:w="9571" w:type="dxa"/>
            <w:gridSpan w:val="4"/>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5"/>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E4E2527">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本项目服务期为20天。服务方需在接到采购人进场通知后5天内响应并进场，确保在20天内完成全部项目内</w:t>
      </w:r>
      <w:r>
        <w:rPr>
          <w:rFonts w:hint="eastAsia" w:ascii="方正仿宋_GBK" w:hAnsi="方正仿宋_GBK" w:eastAsia="方正仿宋_GBK" w:cs="方正仿宋_GBK"/>
          <w:sz w:val="28"/>
          <w:szCs w:val="28"/>
          <w:highlight w:val="none"/>
          <w:lang w:val="en-US" w:eastAsia="zh-CN"/>
        </w:rPr>
        <w:t>容</w:t>
      </w:r>
      <w:r>
        <w:rPr>
          <w:rFonts w:hint="eastAsia" w:ascii="方正仿宋_GBK" w:hAnsi="方正仿宋_GBK" w:eastAsia="方正仿宋_GBK" w:cs="方正仿宋_GBK"/>
          <w:sz w:val="28"/>
          <w:szCs w:val="28"/>
          <w:highlight w:val="none"/>
        </w:rPr>
        <w:t>。</w:t>
      </w:r>
    </w:p>
    <w:p w14:paraId="480E9EDD">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74C8D758">
      <w:pPr>
        <w:pStyle w:val="25"/>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p>
    <w:p w14:paraId="1AD950C1">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技术要求：为确保工程质量，所有材料及施工必须符合以下要求。</w:t>
      </w:r>
    </w:p>
    <w:p w14:paraId="5011BD08">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具体要求与指标</w:t>
      </w:r>
    </w:p>
    <w:p w14:paraId="04365795">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（一）地面材料要求</w:t>
      </w:r>
    </w:p>
    <w:p w14:paraId="50A05F07">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球场材料：6mm厚生物基硅PU球场材料。</w:t>
      </w:r>
    </w:p>
    <w:p w14:paraId="76314A19">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技术参数及要求：</w:t>
      </w:r>
    </w:p>
    <w:p w14:paraId="71D45A88">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1.生物基硅PU球场材料具有满足CEC 097-2024无废低碳产品认证技术规范生物基合成材料运动场地面层的无废低碳产品认证证书，提供相关资料复印件及在国家认监委网站查询截图。</w:t>
      </w:r>
    </w:p>
    <w:p w14:paraId="24808FDA">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2.硅PU产品产品同时获得中国环境标志产品认证证书、中国环境标志（II）产品认证证书及获得ISO14025环境标志国际标准III环境标志证书。</w:t>
      </w:r>
    </w:p>
    <w:p w14:paraId="3B3FE13F">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3.硅PU面层获得国际网联（ITF）认证证书。</w:t>
      </w:r>
    </w:p>
    <w:p w14:paraId="0F29C510">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4.硅PU球场所采用面漆耐人工气候老化性能≥2100小时以上通过国家级检测中心检测，符合GB/T22374-2018检测要求，提供具有“CMA”或“CNAS”的合格检测报告。</w:t>
      </w:r>
    </w:p>
    <w:p w14:paraId="5207AF27">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5.硅PU运动场聚氨酯面材符合GB/T 35468-2017《种植屋面用耐根穿刺防水卷材》技术试验要求，未发现根穿刺现象，且在耐根穿刺性能测试2年（从送样品检测到出检测结果时间）后，拉伸强度≥0.5MPa，拉断伸长率≥40%符合GB 36246-2018检测要求，提供具有“CMA”或“CNAS”的合格检测报告。</w:t>
      </w:r>
    </w:p>
    <w:p w14:paraId="1CFEF0F2">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技术参数及要求：</w:t>
      </w:r>
    </w:p>
    <w:p w14:paraId="25DCB332">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物理性能符合GB36246-2018《中小学合成材料面层运动场地》要求</w:t>
      </w:r>
    </w:p>
    <w:tbl>
      <w:tblPr>
        <w:tblStyle w:val="15"/>
        <w:tblW w:w="6463" w:type="dxa"/>
        <w:jc w:val="center"/>
        <w:tblLayout w:type="autofit"/>
        <w:tblCellMar>
          <w:top w:w="0" w:type="dxa"/>
          <w:left w:w="108" w:type="dxa"/>
          <w:bottom w:w="0" w:type="dxa"/>
          <w:right w:w="108" w:type="dxa"/>
        </w:tblCellMar>
      </w:tblPr>
      <w:tblGrid>
        <w:gridCol w:w="3560"/>
        <w:gridCol w:w="2903"/>
      </w:tblGrid>
      <w:tr w14:paraId="15C6EFF0">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56DCF303">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项目</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7BBB3EC2">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技术要求</w:t>
            </w:r>
          </w:p>
        </w:tc>
      </w:tr>
      <w:tr w14:paraId="7FBC74BC">
        <w:tblPrEx>
          <w:tblCellMar>
            <w:top w:w="0" w:type="dxa"/>
            <w:left w:w="108" w:type="dxa"/>
            <w:bottom w:w="0" w:type="dxa"/>
            <w:right w:w="108" w:type="dxa"/>
          </w:tblCellMar>
        </w:tblPrEx>
        <w:trPr>
          <w:trHeight w:val="771"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2F7AE9D1">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冲击吸收/%</w:t>
            </w:r>
          </w:p>
          <w:p w14:paraId="4A3D07BC">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田径场地</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4C077284">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20-50</w:t>
            </w:r>
          </w:p>
        </w:tc>
      </w:tr>
      <w:tr w14:paraId="2DA79A3F">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0C4EEB78">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垂直变形/mm</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721C840D">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0.6~3.0</w:t>
            </w:r>
          </w:p>
        </w:tc>
      </w:tr>
      <w:tr w14:paraId="335A3026">
        <w:tblPrEx>
          <w:tblCellMar>
            <w:top w:w="0" w:type="dxa"/>
            <w:left w:w="108" w:type="dxa"/>
            <w:bottom w:w="0" w:type="dxa"/>
            <w:right w:w="108" w:type="dxa"/>
          </w:tblCellMar>
        </w:tblPrEx>
        <w:trPr>
          <w:trHeight w:val="910"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78A76B60">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抗滑值（20℃）/BPN</w:t>
            </w:r>
          </w:p>
          <w:p w14:paraId="70EE7379">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田径场地</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5D59EE7E">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80-110（干测）</w:t>
            </w:r>
          </w:p>
        </w:tc>
      </w:tr>
      <w:tr w14:paraId="7EF96EF2">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2C130CD4">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拉伸强度/MPa</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08D304FE">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≥0.4</w:t>
            </w:r>
          </w:p>
        </w:tc>
      </w:tr>
      <w:tr w14:paraId="1D9CAF08">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632A1493">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拉断伸长率/%</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71A89884">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≥40</w:t>
            </w:r>
          </w:p>
        </w:tc>
      </w:tr>
      <w:tr w14:paraId="206F8EA3">
        <w:tblPrEx>
          <w:tblCellMar>
            <w:top w:w="0" w:type="dxa"/>
            <w:left w:w="108" w:type="dxa"/>
            <w:bottom w:w="0" w:type="dxa"/>
            <w:right w:w="108" w:type="dxa"/>
          </w:tblCellMar>
        </w:tblPrEx>
        <w:trPr>
          <w:trHeight w:val="454" w:hRule="exact"/>
          <w:jc w:val="center"/>
        </w:trPr>
        <w:tc>
          <w:tcPr>
            <w:tcW w:w="2754" w:type="pct"/>
            <w:tcBorders>
              <w:top w:val="single" w:color="auto" w:sz="4" w:space="0"/>
              <w:left w:val="single" w:color="auto" w:sz="4" w:space="0"/>
              <w:bottom w:val="single" w:color="auto" w:sz="4" w:space="0"/>
              <w:right w:val="single" w:color="auto" w:sz="4" w:space="0"/>
            </w:tcBorders>
            <w:shd w:val="clear" w:color="auto" w:fill="auto"/>
            <w:vAlign w:val="center"/>
          </w:tcPr>
          <w:p w14:paraId="30E24AA2">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阻燃性能/级</w:t>
            </w:r>
          </w:p>
        </w:tc>
        <w:tc>
          <w:tcPr>
            <w:tcW w:w="2245" w:type="pct"/>
            <w:tcBorders>
              <w:top w:val="single" w:color="auto" w:sz="4" w:space="0"/>
              <w:left w:val="single" w:color="auto" w:sz="4" w:space="0"/>
              <w:bottom w:val="single" w:color="auto" w:sz="4" w:space="0"/>
              <w:right w:val="single" w:color="auto" w:sz="4" w:space="0"/>
            </w:tcBorders>
            <w:shd w:val="clear" w:color="auto" w:fill="auto"/>
            <w:vAlign w:val="center"/>
          </w:tcPr>
          <w:p w14:paraId="75682B6C">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Ⅰ</w:t>
            </w:r>
          </w:p>
        </w:tc>
      </w:tr>
    </w:tbl>
    <w:p w14:paraId="75CF83D5">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化学性能符合GB36246-2018《中小学合成材料面层运动场地》要求</w:t>
      </w:r>
    </w:p>
    <w:tbl>
      <w:tblPr>
        <w:tblStyle w:val="15"/>
        <w:tblW w:w="7741" w:type="dxa"/>
        <w:jc w:val="center"/>
        <w:tblLayout w:type="autofit"/>
        <w:tblCellMar>
          <w:top w:w="0" w:type="dxa"/>
          <w:left w:w="108" w:type="dxa"/>
          <w:bottom w:w="0" w:type="dxa"/>
          <w:right w:w="108" w:type="dxa"/>
        </w:tblCellMar>
      </w:tblPr>
      <w:tblGrid>
        <w:gridCol w:w="1953"/>
        <w:gridCol w:w="4557"/>
        <w:gridCol w:w="1231"/>
      </w:tblGrid>
      <w:tr w14:paraId="387AA4BD">
        <w:tblPrEx>
          <w:tblCellMar>
            <w:top w:w="0" w:type="dxa"/>
            <w:left w:w="108" w:type="dxa"/>
            <w:bottom w:w="0" w:type="dxa"/>
            <w:right w:w="108" w:type="dxa"/>
          </w:tblCellMar>
        </w:tblPrEx>
        <w:trPr>
          <w:trHeight w:val="455" w:hRule="exact"/>
          <w:jc w:val="center"/>
        </w:trPr>
        <w:tc>
          <w:tcPr>
            <w:tcW w:w="65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A912C">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项目</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CF02DD8">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技术要求</w:t>
            </w:r>
          </w:p>
        </w:tc>
      </w:tr>
      <w:tr w14:paraId="362C15A5">
        <w:tblPrEx>
          <w:tblCellMar>
            <w:top w:w="0" w:type="dxa"/>
            <w:left w:w="108" w:type="dxa"/>
            <w:bottom w:w="0" w:type="dxa"/>
            <w:right w:w="108" w:type="dxa"/>
          </w:tblCellMar>
        </w:tblPrEx>
        <w:trPr>
          <w:trHeight w:val="587" w:hRule="exact"/>
          <w:jc w:val="center"/>
        </w:trPr>
        <w:tc>
          <w:tcPr>
            <w:tcW w:w="1953" w:type="dxa"/>
            <w:vMerge w:val="restart"/>
            <w:tcBorders>
              <w:top w:val="single" w:color="auto" w:sz="4" w:space="0"/>
              <w:left w:val="single" w:color="auto" w:sz="4" w:space="0"/>
              <w:right w:val="single" w:color="auto" w:sz="4" w:space="0"/>
            </w:tcBorders>
            <w:shd w:val="clear" w:color="auto" w:fill="auto"/>
            <w:vAlign w:val="center"/>
          </w:tcPr>
          <w:p w14:paraId="2407CEF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有害物质含量</w:t>
            </w: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6568757">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3种邻苯二甲酸之类化合物（DBP、BBP、DEHP）总和/(g/kg)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3EA1DB2">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62C8CA2C">
        <w:tblPrEx>
          <w:tblCellMar>
            <w:top w:w="0" w:type="dxa"/>
            <w:left w:w="108" w:type="dxa"/>
            <w:bottom w:w="0" w:type="dxa"/>
            <w:right w:w="108" w:type="dxa"/>
          </w:tblCellMar>
        </w:tblPrEx>
        <w:trPr>
          <w:trHeight w:val="660" w:hRule="exact"/>
          <w:jc w:val="center"/>
        </w:trPr>
        <w:tc>
          <w:tcPr>
            <w:tcW w:w="1953" w:type="dxa"/>
            <w:vMerge w:val="continue"/>
            <w:tcBorders>
              <w:left w:val="single" w:color="auto" w:sz="4" w:space="0"/>
              <w:right w:val="single" w:color="auto" w:sz="4" w:space="0"/>
            </w:tcBorders>
            <w:shd w:val="clear" w:color="auto" w:fill="auto"/>
            <w:vAlign w:val="center"/>
          </w:tcPr>
          <w:p w14:paraId="4F1A3BAC">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724370B">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3种邻苯二甲酸酯类化合物（DNOP、DINP、DIDP）总和/(g/kg)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FD769FE">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167B6541">
        <w:tblPrEx>
          <w:tblCellMar>
            <w:top w:w="0" w:type="dxa"/>
            <w:left w:w="108" w:type="dxa"/>
            <w:bottom w:w="0" w:type="dxa"/>
            <w:right w:w="108" w:type="dxa"/>
          </w:tblCellMar>
        </w:tblPrEx>
        <w:trPr>
          <w:trHeight w:val="405" w:hRule="exact"/>
          <w:jc w:val="center"/>
        </w:trPr>
        <w:tc>
          <w:tcPr>
            <w:tcW w:w="1953" w:type="dxa"/>
            <w:vMerge w:val="continue"/>
            <w:tcBorders>
              <w:left w:val="single" w:color="auto" w:sz="4" w:space="0"/>
              <w:right w:val="single" w:color="auto" w:sz="4" w:space="0"/>
            </w:tcBorders>
            <w:shd w:val="clear" w:color="auto" w:fill="auto"/>
            <w:vAlign w:val="center"/>
          </w:tcPr>
          <w:p w14:paraId="5BA9C74A">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719653D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18种多环芳烃总和/(mg/kg)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DFB6539">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≤50</w:t>
            </w:r>
          </w:p>
        </w:tc>
      </w:tr>
      <w:tr w14:paraId="3670B203">
        <w:tblPrEx>
          <w:tblCellMar>
            <w:top w:w="0" w:type="dxa"/>
            <w:left w:w="108" w:type="dxa"/>
            <w:bottom w:w="0" w:type="dxa"/>
            <w:right w:w="108" w:type="dxa"/>
          </w:tblCellMar>
        </w:tblPrEx>
        <w:trPr>
          <w:trHeight w:val="643" w:hRule="exact"/>
          <w:jc w:val="center"/>
        </w:trPr>
        <w:tc>
          <w:tcPr>
            <w:tcW w:w="1953" w:type="dxa"/>
            <w:vMerge w:val="continue"/>
            <w:tcBorders>
              <w:left w:val="single" w:color="auto" w:sz="4" w:space="0"/>
              <w:right w:val="single" w:color="auto" w:sz="4" w:space="0"/>
            </w:tcBorders>
            <w:shd w:val="clear" w:color="auto" w:fill="auto"/>
            <w:vAlign w:val="center"/>
          </w:tcPr>
          <w:p w14:paraId="582941FB">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4E2A18BD">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该项为取距合成材料面层上表面5 mm以内的部分进行测试</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A1C89EF">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≤20</w:t>
            </w:r>
          </w:p>
        </w:tc>
      </w:tr>
      <w:tr w14:paraId="78E0094E">
        <w:tblPrEx>
          <w:tblCellMar>
            <w:top w:w="0" w:type="dxa"/>
            <w:left w:w="108" w:type="dxa"/>
            <w:bottom w:w="0" w:type="dxa"/>
            <w:right w:w="108" w:type="dxa"/>
          </w:tblCellMar>
        </w:tblPrEx>
        <w:trPr>
          <w:trHeight w:val="397" w:hRule="exact"/>
          <w:jc w:val="center"/>
        </w:trPr>
        <w:tc>
          <w:tcPr>
            <w:tcW w:w="1953" w:type="dxa"/>
            <w:vMerge w:val="continue"/>
            <w:tcBorders>
              <w:left w:val="single" w:color="auto" w:sz="4" w:space="0"/>
              <w:right w:val="single" w:color="auto" w:sz="4" w:space="0"/>
            </w:tcBorders>
            <w:shd w:val="clear" w:color="auto" w:fill="auto"/>
            <w:vAlign w:val="center"/>
          </w:tcPr>
          <w:p w14:paraId="007D7E4E">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EC2E39F">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苯并【a】芘/(mg/kg)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7C197C1">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186EB59B">
        <w:tblPrEx>
          <w:tblCellMar>
            <w:top w:w="0" w:type="dxa"/>
            <w:left w:w="108" w:type="dxa"/>
            <w:bottom w:w="0" w:type="dxa"/>
            <w:right w:w="108" w:type="dxa"/>
          </w:tblCellMar>
        </w:tblPrEx>
        <w:trPr>
          <w:trHeight w:val="436" w:hRule="exact"/>
          <w:jc w:val="center"/>
        </w:trPr>
        <w:tc>
          <w:tcPr>
            <w:tcW w:w="1953" w:type="dxa"/>
            <w:vMerge w:val="continue"/>
            <w:tcBorders>
              <w:left w:val="single" w:color="auto" w:sz="4" w:space="0"/>
              <w:right w:val="single" w:color="auto" w:sz="4" w:space="0"/>
            </w:tcBorders>
            <w:shd w:val="clear" w:color="auto" w:fill="auto"/>
            <w:vAlign w:val="center"/>
          </w:tcPr>
          <w:p w14:paraId="1D10F77F">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E3E8032">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短链氯化石蜡（C10-C13）/(g/kg)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97B2BE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≤1.5</w:t>
            </w:r>
          </w:p>
        </w:tc>
      </w:tr>
      <w:tr w14:paraId="39BA7DB4">
        <w:tblPrEx>
          <w:tblCellMar>
            <w:top w:w="0" w:type="dxa"/>
            <w:left w:w="108" w:type="dxa"/>
            <w:bottom w:w="0" w:type="dxa"/>
            <w:right w:w="108" w:type="dxa"/>
          </w:tblCellMar>
        </w:tblPrEx>
        <w:trPr>
          <w:trHeight w:val="655" w:hRule="exact"/>
          <w:jc w:val="center"/>
        </w:trPr>
        <w:tc>
          <w:tcPr>
            <w:tcW w:w="1953" w:type="dxa"/>
            <w:vMerge w:val="continue"/>
            <w:tcBorders>
              <w:left w:val="single" w:color="auto" w:sz="4" w:space="0"/>
              <w:right w:val="single" w:color="auto" w:sz="4" w:space="0"/>
            </w:tcBorders>
            <w:shd w:val="clear" w:color="auto" w:fill="auto"/>
            <w:vAlign w:val="center"/>
          </w:tcPr>
          <w:p w14:paraId="2F264FB3">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3421150E">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4,4’-二氨基-3,3’-二氯二苯甲烷（MOCA）(g/kg)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D7D802A">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77CA3842">
        <w:tblPrEx>
          <w:tblCellMar>
            <w:top w:w="0" w:type="dxa"/>
            <w:left w:w="108" w:type="dxa"/>
            <w:bottom w:w="0" w:type="dxa"/>
            <w:right w:w="108" w:type="dxa"/>
          </w:tblCellMar>
        </w:tblPrEx>
        <w:trPr>
          <w:trHeight w:val="572" w:hRule="exact"/>
          <w:jc w:val="center"/>
        </w:trPr>
        <w:tc>
          <w:tcPr>
            <w:tcW w:w="1953" w:type="dxa"/>
            <w:vMerge w:val="continue"/>
            <w:tcBorders>
              <w:left w:val="single" w:color="auto" w:sz="4" w:space="0"/>
              <w:right w:val="single" w:color="auto" w:sz="4" w:space="0"/>
            </w:tcBorders>
            <w:shd w:val="clear" w:color="auto" w:fill="auto"/>
            <w:vAlign w:val="center"/>
          </w:tcPr>
          <w:p w14:paraId="39AE646E">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ACC594D">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游离甲苯二异氰酸酯（TDI）和游离六亚甲基二异氰酸酯（HDI）总和(g/kg)</w:t>
            </w:r>
          </w:p>
          <w:p w14:paraId="491D62C2">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p w14:paraId="06281C3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47CA239">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≤0.2</w:t>
            </w:r>
          </w:p>
        </w:tc>
      </w:tr>
      <w:tr w14:paraId="5EED0659">
        <w:tblPrEx>
          <w:tblCellMar>
            <w:top w:w="0" w:type="dxa"/>
            <w:left w:w="108" w:type="dxa"/>
            <w:bottom w:w="0" w:type="dxa"/>
            <w:right w:w="108" w:type="dxa"/>
          </w:tblCellMar>
        </w:tblPrEx>
        <w:trPr>
          <w:trHeight w:val="367" w:hRule="exact"/>
          <w:jc w:val="center"/>
        </w:trPr>
        <w:tc>
          <w:tcPr>
            <w:tcW w:w="1953" w:type="dxa"/>
            <w:vMerge w:val="continue"/>
            <w:tcBorders>
              <w:left w:val="single" w:color="auto" w:sz="4" w:space="0"/>
              <w:right w:val="single" w:color="auto" w:sz="4" w:space="0"/>
            </w:tcBorders>
            <w:shd w:val="clear" w:color="auto" w:fill="auto"/>
            <w:vAlign w:val="center"/>
          </w:tcPr>
          <w:p w14:paraId="6AE9747B">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F6D568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游离二苯基甲烷二异氰酸酯（MDI）(g/kg)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FBA9941">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39294411">
        <w:tblPrEx>
          <w:tblCellMar>
            <w:top w:w="0" w:type="dxa"/>
            <w:left w:w="108" w:type="dxa"/>
            <w:bottom w:w="0" w:type="dxa"/>
            <w:right w:w="108" w:type="dxa"/>
          </w:tblCellMar>
        </w:tblPrEx>
        <w:trPr>
          <w:trHeight w:val="367" w:hRule="exact"/>
          <w:jc w:val="center"/>
        </w:trPr>
        <w:tc>
          <w:tcPr>
            <w:tcW w:w="1953" w:type="dxa"/>
            <w:vMerge w:val="continue"/>
            <w:tcBorders>
              <w:left w:val="single" w:color="auto" w:sz="4" w:space="0"/>
              <w:right w:val="single" w:color="auto" w:sz="4" w:space="0"/>
            </w:tcBorders>
            <w:shd w:val="clear" w:color="auto" w:fill="auto"/>
            <w:vAlign w:val="center"/>
          </w:tcPr>
          <w:p w14:paraId="4A32828F">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00A6174C">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可溶性铅(mg/kg)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6637476">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≤50</w:t>
            </w:r>
          </w:p>
        </w:tc>
      </w:tr>
      <w:tr w14:paraId="7C6B1DC4">
        <w:tblPrEx>
          <w:tblCellMar>
            <w:top w:w="0" w:type="dxa"/>
            <w:left w:w="108" w:type="dxa"/>
            <w:bottom w:w="0" w:type="dxa"/>
            <w:right w:w="108" w:type="dxa"/>
          </w:tblCellMar>
        </w:tblPrEx>
        <w:trPr>
          <w:trHeight w:val="380" w:hRule="exact"/>
          <w:jc w:val="center"/>
        </w:trPr>
        <w:tc>
          <w:tcPr>
            <w:tcW w:w="1953" w:type="dxa"/>
            <w:vMerge w:val="continue"/>
            <w:tcBorders>
              <w:left w:val="single" w:color="auto" w:sz="4" w:space="0"/>
              <w:right w:val="single" w:color="auto" w:sz="4" w:space="0"/>
            </w:tcBorders>
            <w:shd w:val="clear" w:color="auto" w:fill="auto"/>
            <w:vAlign w:val="center"/>
          </w:tcPr>
          <w:p w14:paraId="136CED78">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FB88AE7">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可溶性镉(mg/kg)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67B520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75C77D53">
        <w:tblPrEx>
          <w:tblCellMar>
            <w:top w:w="0" w:type="dxa"/>
            <w:left w:w="108" w:type="dxa"/>
            <w:bottom w:w="0" w:type="dxa"/>
            <w:right w:w="108" w:type="dxa"/>
          </w:tblCellMar>
        </w:tblPrEx>
        <w:trPr>
          <w:trHeight w:val="343" w:hRule="exact"/>
          <w:jc w:val="center"/>
        </w:trPr>
        <w:tc>
          <w:tcPr>
            <w:tcW w:w="1953" w:type="dxa"/>
            <w:vMerge w:val="continue"/>
            <w:tcBorders>
              <w:left w:val="single" w:color="auto" w:sz="4" w:space="0"/>
              <w:right w:val="single" w:color="auto" w:sz="4" w:space="0"/>
            </w:tcBorders>
            <w:shd w:val="clear" w:color="auto" w:fill="auto"/>
            <w:vAlign w:val="center"/>
          </w:tcPr>
          <w:p w14:paraId="30E7C9F6">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645A1184">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可溶性铬(mg/kg)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7FAAE36">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1F3B2F67">
        <w:tblPrEx>
          <w:tblCellMar>
            <w:top w:w="0" w:type="dxa"/>
            <w:left w:w="108" w:type="dxa"/>
            <w:bottom w:w="0" w:type="dxa"/>
            <w:right w:w="108" w:type="dxa"/>
          </w:tblCellMar>
        </w:tblPrEx>
        <w:trPr>
          <w:trHeight w:val="332" w:hRule="exact"/>
          <w:jc w:val="center"/>
        </w:trPr>
        <w:tc>
          <w:tcPr>
            <w:tcW w:w="1953" w:type="dxa"/>
            <w:vMerge w:val="continue"/>
            <w:tcBorders>
              <w:left w:val="single" w:color="auto" w:sz="4" w:space="0"/>
              <w:bottom w:val="single" w:color="auto" w:sz="4" w:space="0"/>
              <w:right w:val="single" w:color="auto" w:sz="4" w:space="0"/>
            </w:tcBorders>
            <w:shd w:val="clear" w:color="auto" w:fill="auto"/>
            <w:vAlign w:val="center"/>
          </w:tcPr>
          <w:p w14:paraId="7F4262C3">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vAlign w:val="center"/>
          </w:tcPr>
          <w:p w14:paraId="2994A54C">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可溶性汞(mg/kg)</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266CF40">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≤2</w:t>
            </w:r>
          </w:p>
        </w:tc>
      </w:tr>
      <w:tr w14:paraId="07B486C5">
        <w:tblPrEx>
          <w:tblCellMar>
            <w:top w:w="0" w:type="dxa"/>
            <w:left w:w="108" w:type="dxa"/>
            <w:bottom w:w="0" w:type="dxa"/>
            <w:right w:w="108" w:type="dxa"/>
          </w:tblCellMar>
        </w:tblPrEx>
        <w:trPr>
          <w:trHeight w:val="309" w:hRule="exact"/>
          <w:jc w:val="center"/>
        </w:trPr>
        <w:tc>
          <w:tcPr>
            <w:tcW w:w="1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693168">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有害物质释放量</w:t>
            </w:r>
          </w:p>
          <w:p w14:paraId="7F86E6BB">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751A9031">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总挥发性有机化合物（TVOC）/【mg/(㎡·h)】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4FBBE0BE">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≤5.0</w:t>
            </w:r>
          </w:p>
        </w:tc>
      </w:tr>
      <w:tr w14:paraId="636E547F">
        <w:tblPrEx>
          <w:tblCellMar>
            <w:top w:w="0" w:type="dxa"/>
            <w:left w:w="108" w:type="dxa"/>
            <w:bottom w:w="0" w:type="dxa"/>
            <w:right w:w="108" w:type="dxa"/>
          </w:tblCellMar>
        </w:tblPrEx>
        <w:trPr>
          <w:trHeight w:val="272"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2DE2C">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15AF2221">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甲醛/【mg/(㎡·h)】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49C58F19">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≤0.4</w:t>
            </w:r>
          </w:p>
        </w:tc>
      </w:tr>
      <w:tr w14:paraId="1269410E">
        <w:tblPrEx>
          <w:tblCellMar>
            <w:top w:w="0" w:type="dxa"/>
            <w:left w:w="108" w:type="dxa"/>
            <w:bottom w:w="0" w:type="dxa"/>
            <w:right w:w="108" w:type="dxa"/>
          </w:tblCellMar>
        </w:tblPrEx>
        <w:trPr>
          <w:trHeight w:val="296"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13147">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699F6366">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苯/【mg/(㎡·h)】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2BDF54A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≤0.1</w:t>
            </w:r>
          </w:p>
        </w:tc>
      </w:tr>
      <w:tr w14:paraId="10662939">
        <w:tblPrEx>
          <w:tblCellMar>
            <w:top w:w="0" w:type="dxa"/>
            <w:left w:w="108" w:type="dxa"/>
            <w:bottom w:w="0" w:type="dxa"/>
            <w:right w:w="108" w:type="dxa"/>
          </w:tblCellMar>
        </w:tblPrEx>
        <w:trPr>
          <w:trHeight w:val="321"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60468">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4C55B54B">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甲苯、二甲苯和乙苯总和/【mg/(㎡·h)】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32561C08">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≤1.0</w:t>
            </w:r>
          </w:p>
        </w:tc>
      </w:tr>
      <w:tr w14:paraId="04092D70">
        <w:tblPrEx>
          <w:tblCellMar>
            <w:top w:w="0" w:type="dxa"/>
            <w:left w:w="108" w:type="dxa"/>
            <w:bottom w:w="0" w:type="dxa"/>
            <w:right w:w="108" w:type="dxa"/>
          </w:tblCellMar>
        </w:tblPrEx>
        <w:trPr>
          <w:trHeight w:val="321" w:hRule="exact"/>
          <w:jc w:val="center"/>
        </w:trPr>
        <w:tc>
          <w:tcPr>
            <w:tcW w:w="1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7BBB6">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47B3BE62">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二硫化碳/【mg/(㎡·h)】</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114BD554">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≤7.0</w:t>
            </w:r>
          </w:p>
        </w:tc>
      </w:tr>
      <w:tr w14:paraId="332178DE">
        <w:tblPrEx>
          <w:tblCellMar>
            <w:top w:w="0" w:type="dxa"/>
            <w:left w:w="108" w:type="dxa"/>
            <w:bottom w:w="0" w:type="dxa"/>
            <w:right w:w="108" w:type="dxa"/>
          </w:tblCellMar>
        </w:tblPrEx>
        <w:trPr>
          <w:trHeight w:val="342" w:hRule="exact"/>
          <w:jc w:val="center"/>
        </w:trPr>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14:paraId="5356A203">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气味</w:t>
            </w:r>
          </w:p>
        </w:tc>
        <w:tc>
          <w:tcPr>
            <w:tcW w:w="4557" w:type="dxa"/>
            <w:tcBorders>
              <w:top w:val="single" w:color="auto" w:sz="4" w:space="0"/>
              <w:left w:val="single" w:color="auto" w:sz="4" w:space="0"/>
              <w:bottom w:val="single" w:color="auto" w:sz="4" w:space="0"/>
              <w:right w:val="single" w:color="auto" w:sz="4" w:space="0"/>
            </w:tcBorders>
            <w:shd w:val="clear" w:color="auto" w:fill="auto"/>
          </w:tcPr>
          <w:p w14:paraId="6F7C7F06">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气味等级/级</w:t>
            </w:r>
          </w:p>
        </w:tc>
        <w:tc>
          <w:tcPr>
            <w:tcW w:w="1231" w:type="dxa"/>
            <w:tcBorders>
              <w:top w:val="single" w:color="auto" w:sz="4" w:space="0"/>
              <w:left w:val="single" w:color="auto" w:sz="4" w:space="0"/>
              <w:bottom w:val="single" w:color="auto" w:sz="4" w:space="0"/>
              <w:right w:val="single" w:color="auto" w:sz="4" w:space="0"/>
            </w:tcBorders>
            <w:shd w:val="clear" w:color="auto" w:fill="auto"/>
          </w:tcPr>
          <w:p w14:paraId="552D1935">
            <w:pPr>
              <w:pStyle w:val="37"/>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contextualSpacing/>
              <w:jc w:val="both"/>
              <w:textAlignment w:val="auto"/>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2"/>
                <w:sz w:val="24"/>
                <w:szCs w:val="24"/>
                <w:highlight w:val="none"/>
                <w:u w:val="none"/>
                <w:lang w:val="en-US" w:eastAsia="zh-CN" w:bidi="ar-SA"/>
              </w:rPr>
              <w:t>≤3</w:t>
            </w:r>
          </w:p>
        </w:tc>
      </w:tr>
    </w:tbl>
    <w:p w14:paraId="70BE92EC">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（二)基础处理要求</w:t>
      </w:r>
    </w:p>
    <w:p w14:paraId="4621AC2A">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基础状态：水泥基础需坚固、干燥（含水率≤5%）、平整。用3m直尺测量，误差≤3mm。</w:t>
      </w:r>
    </w:p>
    <w:p w14:paraId="1CDDF86F">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裂缝处理：所有裂缝需切割扩宽后填补，防止后期反射。</w:t>
      </w:r>
    </w:p>
    <w:p w14:paraId="7C0FE917">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施工环境：施工温度不低于5℃。每一层必须完全干固后才能进行下一道涂刮。完工后养护期不少于5天。</w:t>
      </w:r>
    </w:p>
    <w:p w14:paraId="00D21B8D">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(三）篮球架要求</w:t>
      </w:r>
    </w:p>
    <w:p w14:paraId="56BFCFDC">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篮板：1800×1050mm国际通用尺寸，配12mm厚高强度安全玻璃，下沿及侧面有保护条。</w:t>
      </w:r>
    </w:p>
    <w:p w14:paraId="704F84FE">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主立柱：□180×180×4mm优质大圆角方管，圆角R40mm，兼顾美观与安全。</w:t>
      </w:r>
    </w:p>
    <w:p w14:paraId="37C58031">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伸臂：采用δ3mm进口优质铁板一次冲压成型并折边，关键部位采用冲压成型后焊接内置螺母，避免焊接外露。</w:t>
      </w:r>
    </w:p>
    <w:p w14:paraId="07B9CC58">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拉杆：上拉杆为Φ48×2mm圆管，后拉杆为□50×40×3mm方管，均通过弯管机一次成型，无焊接隐患，可调节篮板平面度与篮圈平行度。</w:t>
      </w:r>
    </w:p>
    <w:p w14:paraId="2BE9E974">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篮圈：φ17mm实心圆钢制作，圈下焊有12段均匀分布的圆弧形网钩，配篮网。</w:t>
      </w:r>
    </w:p>
    <w:p w14:paraId="6DDA9BFE">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（四）新装围网要求</w:t>
      </w:r>
    </w:p>
    <w:p w14:paraId="5BCBD43B">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1、管材材质：立杆与横杆采用一次成型无焊接的Q235热镀锌圆钢管，立柱直径不小于76mm，壁厚不小于2.0mm， 横杆直径为不小于60mm，壁厚不小于2.0mm，围网高度4米*3米宽，日字型，立柱直埋固定，厚薄标准，抗冲击能力强，具备优质的防腐防锈能力，表面工艺采用德国巴斯夫纯聚酯静电粉末喷涂，安全环保，整体外观光滑洁净。</w:t>
      </w:r>
    </w:p>
    <w:p w14:paraId="44B587FE">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2、扣件材料：采用精钢冲压而成，贴抱式设计，将立杆与横杆紧密连接，稳定性强，灵活组装。</w:t>
      </w:r>
    </w:p>
    <w:p w14:paraId="038203C8">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PE包塑围网：采用优质低碳镀锌铁丝，内径2.3士0.05mm,包塑后外径3.6士0.15mm，网孔尺寸为45×45±2mm，包塑层使用高密度进口PE原粒，并添加抗UV原料合成材料进行包裹，耐腐蚀能力强，颜色选用进口色粉，适合全天候环境使用。</w:t>
      </w:r>
    </w:p>
    <w:p w14:paraId="3C6C3B64">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4、压网条材质：采用高密度规格为18x3.8mm的扁铝条，抗腐蚀能力强，环保耐用，有效提升围网与立、横杆的贴合稳固性。</w:t>
      </w:r>
    </w:p>
    <w:p w14:paraId="2677606B">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5、螺丝：采用国标304不锈钢螺丝与镀锌尾钻螺丝固定，安装牢固，防腐蚀能力强，满足场地长期使用标准。</w:t>
      </w:r>
    </w:p>
    <w:p w14:paraId="6DD646D3">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检测报告：</w:t>
      </w:r>
    </w:p>
    <w:p w14:paraId="7527705D">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1、为保证产品的品质及耐用性，PE包塑围网需提供具有CMA或CNAS标志的氙灯老化试验报告，符合GB/T 16422.2-2022标准要求，通过≥1500h氙灯老化试验后，检测结果样品变色等级≤1级，粉化等级≤1级，开裂等级≤0级，起泡等级≤0级，生锈等级≤0级，剥落等级≤0级。</w:t>
      </w:r>
    </w:p>
    <w:p w14:paraId="6C9FE003">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2、为保证产品的使用稳定性，管材需提供具有CMA或CNAS的残余应力试验报告，符合《GB/T 24179-2023》标准要求，检测结果残余应力最大值σy≤150MPa。</w:t>
      </w:r>
    </w:p>
    <w:p w14:paraId="249F4577">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3、为保证产品的品质及安全性，连接件需提供具有CMA或CNAS标志的渗透探伤试验报告，依据《NB/T 47013.5-2015》检测标准，检测结果应无缺陷，质量分级不低于1级。</w:t>
      </w:r>
    </w:p>
    <w:p w14:paraId="516C9D11">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4、为保证运动场地使用材料的安全环保性，产品表面所用聚酯粉末需提供具有CMA或CNAS标志的挥发性有机物VOCs含量检测报告，符合《GB/T 34682-2017》标准要求，检测结果VOCs含量≤15g/L。</w:t>
      </w:r>
    </w:p>
    <w:p w14:paraId="6106DC39">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（五）质保明细：</w:t>
      </w:r>
    </w:p>
    <w:p w14:paraId="2209E1B9">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-硅PU面层（弹性层+面层）：5年（非人为质量问题）</w:t>
      </w:r>
    </w:p>
    <w:p w14:paraId="21FF86D3">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-蓝球架5年、围网：5年</w:t>
      </w:r>
    </w:p>
    <w:p w14:paraId="6190D050">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（六）其他要求：本工程竣工后，施工方须委托具备CMA/CNAS资质的第三方检测机构，按GB 36246-2018和GB/T 14833-2020对硅PU面层进行物理性能、有害物质、气味评定全项检测。检测结果全部达标方可验收；若气味＞3级或环保指标超标，施工方须无条件铲除重做，并承担全部检测及返工费用。检测报告须提供原件，无CMA章报告无效。</w:t>
      </w:r>
    </w:p>
    <w:p w14:paraId="0EA0B714">
      <w:pPr>
        <w:pStyle w:val="25"/>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57C42B15">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0CE35C6C">
      <w:pPr>
        <w:pStyle w:val="37"/>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lang w:eastAsia="zh-CN"/>
        </w:rPr>
        <w:t>。</w:t>
      </w:r>
    </w:p>
    <w:p w14:paraId="1DAED00E">
      <w:pPr>
        <w:pStyle w:val="37"/>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7"/>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7"/>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7"/>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7"/>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7"/>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7"/>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7"/>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7"/>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7"/>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7"/>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7"/>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21F701F0">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76121CC">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B0244C7">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904F9CF">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FFEC14F">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625F4C6">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9BE9A76">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240A78C">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568D6D1">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D3B8D01">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669A9F1">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3568600">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A5ED4">
      <w:pPr>
        <w:pStyle w:val="37"/>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26087"/>
      <w:r>
        <w:rPr>
          <w:rFonts w:hint="eastAsia" w:ascii="Times New Roman" w:hAnsi="Times New Roman" w:eastAsia="方正仿宋_GBK" w:cs="Times New Roman"/>
          <w:b/>
          <w:bCs/>
          <w:sz w:val="28"/>
          <w:szCs w:val="28"/>
          <w:highlight w:val="none"/>
          <w:lang w:val="en-US" w:eastAsia="zh-CN"/>
        </w:rPr>
        <w:t>附件：</w:t>
      </w:r>
      <w:bookmarkEnd w:id="16"/>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厂区篮球场改造项目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7"/>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7"/>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7"/>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7"/>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9"/>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4"/>
        <w:numPr>
          <w:ilvl w:val="0"/>
          <w:numId w:val="0"/>
        </w:numPr>
        <w:jc w:val="center"/>
        <w:rPr>
          <w:rFonts w:hint="eastAsia" w:ascii="仿宋" w:hAnsi="仿宋" w:eastAsia="仿宋" w:cs="仿宋"/>
          <w:snapToGrid w:val="0"/>
          <w:sz w:val="44"/>
          <w:szCs w:val="44"/>
        </w:rPr>
      </w:pPr>
      <w:bookmarkStart w:id="17" w:name="_Toc355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4B3FCF8">
      <w:pPr>
        <w:spacing w:line="480" w:lineRule="auto"/>
        <w:jc w:val="right"/>
        <w:rPr>
          <w:rFonts w:hint="eastAsia" w:ascii="仿宋" w:hAnsi="仿宋" w:eastAsia="仿宋" w:cs="仿宋"/>
          <w:sz w:val="32"/>
        </w:rPr>
      </w:pPr>
    </w:p>
    <w:p w14:paraId="3F772441">
      <w:pPr>
        <w:pStyle w:val="40"/>
        <w:rPr>
          <w:rFonts w:hint="eastAsia"/>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lang w:val="en-US" w:eastAsia="zh-CN"/>
        </w:rPr>
        <w:t>绍</w:t>
      </w:r>
      <w:r>
        <w:rPr>
          <w:rFonts w:hint="eastAsia" w:ascii="仿宋" w:hAnsi="仿宋" w:eastAsia="仿宋" w:cs="仿宋"/>
          <w:sz w:val="52"/>
          <w:highlight w:val="none"/>
          <w:lang w:val="en-US" w:eastAsia="zh-CN"/>
        </w:rPr>
        <w:t>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厂区篮球场改造</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SX-GC-LQ-2604001</w:t>
      </w:r>
    </w:p>
    <w:p w14:paraId="20BB9CDA">
      <w:pPr>
        <w:rPr>
          <w:rFonts w:hint="eastAsia" w:ascii="仿宋" w:hAnsi="仿宋" w:eastAsia="仿宋" w:cs="仿宋"/>
          <w:sz w:val="44"/>
        </w:rPr>
      </w:pPr>
    </w:p>
    <w:p w14:paraId="64ABEBE3">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3"/>
          <w:rFonts w:hint="eastAsia" w:ascii="仿宋" w:hAnsi="仿宋" w:eastAsia="仿宋" w:cs="仿宋"/>
          <w:sz w:val="30"/>
        </w:rPr>
        <w:br w:type="page"/>
      </w:r>
    </w:p>
    <w:p w14:paraId="22ACFB1C">
      <w:pPr>
        <w:adjustRightInd w:val="0"/>
        <w:snapToGrid w:val="0"/>
        <w:spacing w:line="360" w:lineRule="auto"/>
        <w:ind w:right="480"/>
        <w:jc w:val="left"/>
        <w:rPr>
          <w:rStyle w:val="23"/>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3"/>
          <w:rFonts w:hint="eastAsia" w:ascii="仿宋" w:hAnsi="仿宋" w:eastAsia="仿宋" w:cs="仿宋"/>
          <w:sz w:val="30"/>
        </w:rPr>
      </w:pPr>
      <w:bookmarkStart w:id="18" w:name="_Toc5734"/>
      <w:r>
        <w:rPr>
          <w:rStyle w:val="23"/>
          <w:rFonts w:hint="eastAsia" w:ascii="仿宋" w:hAnsi="仿宋" w:eastAsia="仿宋" w:cs="仿宋"/>
          <w:sz w:val="30"/>
        </w:rPr>
        <w:t>附件一：</w:t>
      </w:r>
      <w:bookmarkEnd w:id="18"/>
    </w:p>
    <w:p w14:paraId="7B642CA0">
      <w:pPr>
        <w:jc w:val="left"/>
        <w:outlineLvl w:val="0"/>
        <w:rPr>
          <w:rStyle w:val="23"/>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绍兴市再生能源发展有限公司厂区篮球场改造 </w:t>
      </w:r>
      <w:r>
        <w:rPr>
          <w:rFonts w:hint="eastAsia" w:ascii="仿宋" w:hAnsi="仿宋" w:eastAsia="仿宋" w:cs="仿宋"/>
          <w:sz w:val="30"/>
          <w:szCs w:val="30"/>
          <w:u w:val="none"/>
          <w:lang w:val="en-US" w:eastAsia="zh-CN"/>
        </w:rPr>
        <w:t>项目。</w:t>
      </w:r>
    </w:p>
    <w:tbl>
      <w:tblPr>
        <w:tblStyle w:val="15"/>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A1451B8">
        <w:tblPrEx>
          <w:tblCellMar>
            <w:top w:w="0" w:type="dxa"/>
            <w:left w:w="108" w:type="dxa"/>
            <w:bottom w:w="0" w:type="dxa"/>
            <w:right w:w="108" w:type="dxa"/>
          </w:tblCellMar>
        </w:tblPrEx>
        <w:trPr>
          <w:trHeight w:val="1338"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default" w:ascii="仿宋" w:hAnsi="仿宋" w:eastAsia="仿宋" w:cs="仿宋"/>
                <w:b w:val="0"/>
                <w:bCs w:val="0"/>
                <w:i w:val="0"/>
                <w:iCs w:val="0"/>
                <w:color w:val="auto"/>
                <w:sz w:val="24"/>
                <w:szCs w:val="24"/>
                <w:highlight w:val="none"/>
                <w:lang w:val="en-US"/>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安全生产许可</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具备有效的安全生产许可证。</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（需提供有效的安全生产许可证复印件）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144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营业执照范围</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kern w:val="0"/>
                <w:sz w:val="24"/>
                <w:szCs w:val="24"/>
                <w:lang w:val="en-US" w:eastAsia="zh-CN" w:bidi="ar"/>
              </w:rPr>
              <w:t>营业执照经营范围须包含体育场地设施工程施工或相关业务内容。</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（需提供营业执照复印件）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2"/>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3"/>
          <w:rFonts w:hint="eastAsia" w:ascii="仿宋" w:hAnsi="仿宋" w:eastAsia="仿宋" w:cs="仿宋"/>
          <w:sz w:val="30"/>
        </w:rPr>
      </w:pPr>
    </w:p>
    <w:p w14:paraId="4AA52C72">
      <w:pPr>
        <w:jc w:val="left"/>
        <w:outlineLvl w:val="0"/>
        <w:rPr>
          <w:rStyle w:val="23"/>
          <w:rFonts w:hint="eastAsia" w:ascii="仿宋" w:hAnsi="仿宋" w:eastAsia="仿宋" w:cs="仿宋"/>
          <w:sz w:val="30"/>
        </w:rPr>
        <w:sectPr>
          <w:pgSz w:w="11906" w:h="16838"/>
          <w:pgMar w:top="1701" w:right="1417" w:bottom="1134" w:left="1417" w:header="851" w:footer="992" w:gutter="0"/>
          <w:cols w:space="0" w:num="1"/>
          <w:rtlGutter w:val="0"/>
          <w:docGrid w:linePitch="312" w:charSpace="0"/>
        </w:sectPr>
      </w:pPr>
    </w:p>
    <w:p w14:paraId="3F7B11BD">
      <w:pPr>
        <w:jc w:val="left"/>
        <w:outlineLvl w:val="0"/>
        <w:rPr>
          <w:rStyle w:val="23"/>
          <w:rFonts w:hint="eastAsia" w:ascii="仿宋" w:hAnsi="仿宋" w:eastAsia="仿宋" w:cs="仿宋"/>
          <w:sz w:val="30"/>
        </w:rPr>
      </w:pPr>
      <w:bookmarkStart w:id="19" w:name="_Toc26148"/>
      <w:r>
        <w:rPr>
          <w:rStyle w:val="23"/>
          <w:rFonts w:hint="eastAsia" w:ascii="仿宋" w:hAnsi="仿宋" w:eastAsia="仿宋" w:cs="仿宋"/>
          <w:sz w:val="30"/>
        </w:rPr>
        <w:t>附件二：</w:t>
      </w:r>
      <w:bookmarkEnd w:id="19"/>
      <w:r>
        <w:rPr>
          <w:rStyle w:val="23"/>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厂区篮球场改造 </w:t>
      </w:r>
      <w:r>
        <w:rPr>
          <w:rFonts w:hint="eastAsia" w:ascii="仿宋" w:hAnsi="仿宋" w:eastAsia="仿宋" w:cs="仿宋"/>
          <w:sz w:val="30"/>
          <w:szCs w:val="30"/>
          <w:u w:val="none"/>
          <w:lang w:val="en-US" w:eastAsia="zh-CN"/>
        </w:rPr>
        <w:t>项目。</w:t>
      </w:r>
    </w:p>
    <w:tbl>
      <w:tblPr>
        <w:tblStyle w:val="15"/>
        <w:tblW w:w="5511" w:type="pct"/>
        <w:jc w:val="center"/>
        <w:tblLayout w:type="fixed"/>
        <w:tblCellMar>
          <w:top w:w="0" w:type="dxa"/>
          <w:left w:w="108" w:type="dxa"/>
          <w:bottom w:w="0" w:type="dxa"/>
          <w:right w:w="108" w:type="dxa"/>
        </w:tblCellMar>
      </w:tblPr>
      <w:tblGrid>
        <w:gridCol w:w="672"/>
        <w:gridCol w:w="2146"/>
        <w:gridCol w:w="5377"/>
        <w:gridCol w:w="2042"/>
      </w:tblGrid>
      <w:tr w14:paraId="1E43C5A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22325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D1595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934" w:type="dxa"/>
            <w:tcBorders>
              <w:top w:val="single" w:color="000000" w:sz="4" w:space="0"/>
              <w:left w:val="single" w:color="000000" w:sz="4" w:space="0"/>
              <w:bottom w:val="single" w:color="000000" w:sz="4" w:space="0"/>
              <w:right w:val="single" w:color="000000" w:sz="4" w:space="0"/>
            </w:tcBorders>
            <w:noWrap/>
            <w:vAlign w:val="center"/>
          </w:tcPr>
          <w:p w14:paraId="2BC44E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498492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016AD284">
        <w:tblPrEx>
          <w:tblCellMar>
            <w:top w:w="0" w:type="dxa"/>
            <w:left w:w="108" w:type="dxa"/>
            <w:bottom w:w="0" w:type="dxa"/>
            <w:right w:w="108" w:type="dxa"/>
          </w:tblCellMar>
        </w:tblPrEx>
        <w:trPr>
          <w:trHeight w:val="3021"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313F28E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0A3287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厂区篮球场改造</w:t>
            </w:r>
          </w:p>
        </w:tc>
        <w:tc>
          <w:tcPr>
            <w:tcW w:w="4934" w:type="dxa"/>
            <w:tcBorders>
              <w:top w:val="single" w:color="000000" w:sz="4" w:space="0"/>
              <w:left w:val="single" w:color="000000" w:sz="4" w:space="0"/>
              <w:bottom w:val="single" w:color="000000" w:sz="4" w:space="0"/>
              <w:right w:val="single" w:color="000000" w:sz="4" w:space="0"/>
            </w:tcBorders>
            <w:noWrap w:val="0"/>
            <w:vAlign w:val="center"/>
          </w:tcPr>
          <w:p w14:paraId="542936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1、旧地面铲除与清运1000㎡含原地面破损塑胶层铲除、垃圾装车外运</w:t>
            </w:r>
          </w:p>
          <w:p w14:paraId="14250D3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2、基础打磨与修补1000㎡含水泥基础打磨、裂缝填补、局部找平</w:t>
            </w:r>
          </w:p>
          <w:p w14:paraId="24FB7E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3、6mm厚硅PU弹性层铺1000㎡包含弹性层、加强层，分层施工</w:t>
            </w:r>
          </w:p>
          <w:p w14:paraId="6E58F2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4、硅PU面层施工1000㎡包含耐磨防滑面层</w:t>
            </w:r>
          </w:p>
          <w:p w14:paraId="1B47B1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5、球场标准划线按标准篮球场尺寸（含三秒区、中圈等）</w:t>
            </w:r>
          </w:p>
          <w:p w14:paraId="313186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6、场地养护与清理施工完成后成品保护与场地清洁</w:t>
            </w:r>
          </w:p>
          <w:p w14:paraId="2D3757C6">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7、户外休闲椅换新共计四把</w:t>
            </w:r>
          </w:p>
          <w:p w14:paraId="68BF8E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8、围网换新550㎡（包含原围网拆除）</w:t>
            </w:r>
          </w:p>
          <w:p w14:paraId="441DE3C1">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rPr>
              <w:t>9、篮球架2个（包含原篮球架拆除）</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1FFCF9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default" w:ascii="仿宋" w:hAnsi="仿宋" w:eastAsia="仿宋" w:cs="仿宋"/>
                <w:i w:val="0"/>
                <w:iCs w:val="0"/>
                <w:strike w:val="0"/>
                <w:dstrike w:val="0"/>
                <w:color w:val="000000"/>
                <w:sz w:val="24"/>
                <w:szCs w:val="24"/>
                <w:highlight w:val="none"/>
                <w:u w:val="none"/>
                <w:lang w:val="en-US" w:eastAsia="zh-CN"/>
              </w:rPr>
              <w:t>详见询价文件</w:t>
            </w:r>
          </w:p>
        </w:tc>
      </w:tr>
    </w:tbl>
    <w:p w14:paraId="16ABA85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22"/>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highlight w:val="none"/>
        </w:rPr>
        <w:t>。</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49BD6F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lang w:eastAsia="zh-CN"/>
        </w:rPr>
        <w:t>目采购总金额限价人民币28.7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该采购项目履约保证金为合同价的5%。中标人于合同签订前将履约保证金打入招标人指定账户。合同履行完成后，履约保证金转为质保金。质保期满后，招标人退还质保金（无息）。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BB4106C">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4AE7D14A">
      <w:pPr>
        <w:spacing w:line="480" w:lineRule="auto"/>
        <w:jc w:val="left"/>
        <w:outlineLvl w:val="0"/>
        <w:rPr>
          <w:rFonts w:hint="eastAsia" w:ascii="仿宋" w:hAnsi="仿宋" w:eastAsia="仿宋" w:cs="仿宋"/>
          <w:b/>
          <w:spacing w:val="-2"/>
          <w:sz w:val="30"/>
        </w:rPr>
      </w:pPr>
      <w:bookmarkStart w:id="20" w:name="_Toc15132"/>
      <w:bookmarkStart w:id="21" w:name="_Toc108839328"/>
      <w:bookmarkStart w:id="22" w:name="_Toc103165678"/>
      <w:r>
        <w:rPr>
          <w:rStyle w:val="23"/>
          <w:rFonts w:hint="eastAsia" w:ascii="仿宋" w:hAnsi="仿宋" w:eastAsia="仿宋" w:cs="仿宋"/>
          <w:sz w:val="30"/>
        </w:rPr>
        <w:t>附件三：</w:t>
      </w:r>
      <w:bookmarkEnd w:id="20"/>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厂区篮球场改造 </w:t>
      </w:r>
      <w:r>
        <w:rPr>
          <w:rFonts w:hint="eastAsia" w:ascii="仿宋" w:hAnsi="仿宋" w:eastAsia="仿宋" w:cs="仿宋"/>
          <w:color w:val="auto"/>
          <w:sz w:val="30"/>
          <w:szCs w:val="30"/>
          <w:u w:val="none"/>
          <w:lang w:val="en-US" w:eastAsia="zh-CN"/>
        </w:rPr>
        <w:t>项目。</w:t>
      </w:r>
    </w:p>
    <w:tbl>
      <w:tblPr>
        <w:tblStyle w:val="15"/>
        <w:tblW w:w="4696" w:type="pct"/>
        <w:jc w:val="center"/>
        <w:tblLayout w:type="fixed"/>
        <w:tblCellMar>
          <w:top w:w="0" w:type="dxa"/>
          <w:left w:w="108" w:type="dxa"/>
          <w:bottom w:w="0" w:type="dxa"/>
          <w:right w:w="108" w:type="dxa"/>
        </w:tblCellMar>
      </w:tblPr>
      <w:tblGrid>
        <w:gridCol w:w="963"/>
        <w:gridCol w:w="1230"/>
        <w:gridCol w:w="3434"/>
        <w:gridCol w:w="3098"/>
      </w:tblGrid>
      <w:tr w14:paraId="34C7EDDD">
        <w:tblPrEx>
          <w:tblCellMar>
            <w:top w:w="0" w:type="dxa"/>
            <w:left w:w="108" w:type="dxa"/>
            <w:bottom w:w="0" w:type="dxa"/>
            <w:right w:w="108" w:type="dxa"/>
          </w:tblCellMar>
        </w:tblPrEx>
        <w:trPr>
          <w:trHeight w:val="467" w:hRule="atLeast"/>
          <w:jc w:val="center"/>
        </w:trPr>
        <w:tc>
          <w:tcPr>
            <w:tcW w:w="963"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434"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3098"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eastAsia="zh-CN"/>
              </w:rPr>
              <w:t>技术要求</w:t>
            </w:r>
          </w:p>
        </w:tc>
      </w:tr>
      <w:tr w14:paraId="1F6F270A">
        <w:tblPrEx>
          <w:tblCellMar>
            <w:top w:w="0" w:type="dxa"/>
            <w:left w:w="108" w:type="dxa"/>
            <w:bottom w:w="0" w:type="dxa"/>
            <w:right w:w="108" w:type="dxa"/>
          </w:tblCellMar>
        </w:tblPrEx>
        <w:trPr>
          <w:trHeight w:val="532" w:hRule="atLeast"/>
          <w:jc w:val="center"/>
        </w:trPr>
        <w:tc>
          <w:tcPr>
            <w:tcW w:w="963"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3098"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52A98AB8">
      <w:pPr>
        <w:pStyle w:val="11"/>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本项目采用 “包工包料、固定总价” 的承包方式，项目完成且经由采购人验收合格后，服务方提供经双方确认的送货、施工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五年质保，其履约保证金（合同价的5%）到时自动转为质保金，质保期从项目验收合格之日起计算，质保金于质保期满（五年）且服务方无未决违约行为及质量争议后无息退还</w:t>
      </w:r>
      <w:r>
        <w:rPr>
          <w:rFonts w:hint="eastAsia" w:ascii="仿宋" w:hAnsi="仿宋" w:eastAsia="仿宋" w:cs="仿宋"/>
          <w:color w:val="auto"/>
          <w:kern w:val="2"/>
          <w:sz w:val="30"/>
          <w:szCs w:val="30"/>
          <w:lang w:eastAsia="zh-CN"/>
        </w:rPr>
        <w:t>。</w:t>
      </w:r>
    </w:p>
    <w:p w14:paraId="687EAA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CBF8F72">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default" w:ascii="仿宋" w:hAnsi="仿宋" w:eastAsia="仿宋" w:cs="仿宋"/>
          <w:b/>
          <w:spacing w:val="-2"/>
          <w:sz w:val="30"/>
          <w:lang w:val="en-US"/>
        </w:rPr>
      </w:pPr>
      <w:bookmarkStart w:id="23" w:name="_Toc12236"/>
      <w:r>
        <w:rPr>
          <w:rStyle w:val="23"/>
          <w:rFonts w:hint="eastAsia" w:ascii="仿宋" w:hAnsi="仿宋" w:eastAsia="仿宋" w:cs="仿宋"/>
          <w:sz w:val="30"/>
        </w:rPr>
        <w:t>附件</w:t>
      </w:r>
      <w:bookmarkEnd w:id="21"/>
      <w:bookmarkEnd w:id="22"/>
      <w:r>
        <w:rPr>
          <w:rStyle w:val="23"/>
          <w:rFonts w:hint="eastAsia" w:ascii="仿宋" w:hAnsi="仿宋" w:eastAsia="仿宋" w:cs="仿宋"/>
          <w:sz w:val="30"/>
          <w:lang w:val="en-US"/>
        </w:rPr>
        <w:t>四：</w:t>
      </w:r>
      <w:bookmarkEnd w:id="23"/>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厂区篮球场改造项目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3"/>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14:paraId="0806776C">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7CF5D452"/>
    <w:multiLevelType w:val="singleLevel"/>
    <w:tmpl w:val="7CF5D452"/>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4F4893"/>
    <w:rsid w:val="01D22213"/>
    <w:rsid w:val="02834D04"/>
    <w:rsid w:val="031428FF"/>
    <w:rsid w:val="038D5656"/>
    <w:rsid w:val="03F95A31"/>
    <w:rsid w:val="04605697"/>
    <w:rsid w:val="04887D16"/>
    <w:rsid w:val="05D22118"/>
    <w:rsid w:val="05D355DF"/>
    <w:rsid w:val="06057AB3"/>
    <w:rsid w:val="062B00FD"/>
    <w:rsid w:val="067A3460"/>
    <w:rsid w:val="076328DA"/>
    <w:rsid w:val="07A76692"/>
    <w:rsid w:val="08186607"/>
    <w:rsid w:val="083A3947"/>
    <w:rsid w:val="08F93082"/>
    <w:rsid w:val="097479E0"/>
    <w:rsid w:val="09B7226A"/>
    <w:rsid w:val="0A0C6ADD"/>
    <w:rsid w:val="0A32752C"/>
    <w:rsid w:val="0A9D29B8"/>
    <w:rsid w:val="0B2C6C02"/>
    <w:rsid w:val="0B8E6D39"/>
    <w:rsid w:val="0BC12699"/>
    <w:rsid w:val="0BCC31F9"/>
    <w:rsid w:val="0C5A16A4"/>
    <w:rsid w:val="0DC35837"/>
    <w:rsid w:val="0DE61498"/>
    <w:rsid w:val="10C87F96"/>
    <w:rsid w:val="110C39D4"/>
    <w:rsid w:val="1297576D"/>
    <w:rsid w:val="12BF4C87"/>
    <w:rsid w:val="12E70A09"/>
    <w:rsid w:val="1325794A"/>
    <w:rsid w:val="15341747"/>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DDB32DF"/>
    <w:rsid w:val="1E191157"/>
    <w:rsid w:val="1E1A21EF"/>
    <w:rsid w:val="203B090D"/>
    <w:rsid w:val="206F2E6D"/>
    <w:rsid w:val="21135480"/>
    <w:rsid w:val="211D7593"/>
    <w:rsid w:val="212C3971"/>
    <w:rsid w:val="213F386A"/>
    <w:rsid w:val="214D7086"/>
    <w:rsid w:val="217557F8"/>
    <w:rsid w:val="21820C38"/>
    <w:rsid w:val="21BA7E4E"/>
    <w:rsid w:val="22DF5956"/>
    <w:rsid w:val="22ED7F5E"/>
    <w:rsid w:val="24130D0C"/>
    <w:rsid w:val="259E2C64"/>
    <w:rsid w:val="26F76768"/>
    <w:rsid w:val="27AC61A6"/>
    <w:rsid w:val="27FE02E6"/>
    <w:rsid w:val="28C57566"/>
    <w:rsid w:val="29084622"/>
    <w:rsid w:val="29903771"/>
    <w:rsid w:val="29F704EF"/>
    <w:rsid w:val="2A0049E3"/>
    <w:rsid w:val="2AC220DE"/>
    <w:rsid w:val="2ADB5E21"/>
    <w:rsid w:val="2ADF08BA"/>
    <w:rsid w:val="2B603075"/>
    <w:rsid w:val="2C305EB2"/>
    <w:rsid w:val="2C980D1B"/>
    <w:rsid w:val="2CC63B3C"/>
    <w:rsid w:val="2CD9238D"/>
    <w:rsid w:val="2D023CA7"/>
    <w:rsid w:val="2D774B98"/>
    <w:rsid w:val="2E003054"/>
    <w:rsid w:val="2EB2531B"/>
    <w:rsid w:val="2F3D045F"/>
    <w:rsid w:val="2F6F3EAC"/>
    <w:rsid w:val="2F7D3F84"/>
    <w:rsid w:val="2F844FB7"/>
    <w:rsid w:val="30256074"/>
    <w:rsid w:val="302C4175"/>
    <w:rsid w:val="30890978"/>
    <w:rsid w:val="30A52DD9"/>
    <w:rsid w:val="31713FF6"/>
    <w:rsid w:val="32B04D2F"/>
    <w:rsid w:val="33992634"/>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B361330"/>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5A4388"/>
    <w:rsid w:val="436A096E"/>
    <w:rsid w:val="43985971"/>
    <w:rsid w:val="43A970E7"/>
    <w:rsid w:val="43BA0460"/>
    <w:rsid w:val="44322CE6"/>
    <w:rsid w:val="44544A76"/>
    <w:rsid w:val="449544C5"/>
    <w:rsid w:val="44A55070"/>
    <w:rsid w:val="45530393"/>
    <w:rsid w:val="469F7AF8"/>
    <w:rsid w:val="471B5F3A"/>
    <w:rsid w:val="47322367"/>
    <w:rsid w:val="475812CD"/>
    <w:rsid w:val="475D1115"/>
    <w:rsid w:val="478F3581"/>
    <w:rsid w:val="47B96D86"/>
    <w:rsid w:val="47D615F1"/>
    <w:rsid w:val="47D93555"/>
    <w:rsid w:val="48034DA7"/>
    <w:rsid w:val="486F4BB5"/>
    <w:rsid w:val="48A60514"/>
    <w:rsid w:val="48E14418"/>
    <w:rsid w:val="491635D4"/>
    <w:rsid w:val="492C3BEE"/>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0581A6B"/>
    <w:rsid w:val="51131CCB"/>
    <w:rsid w:val="51D845E4"/>
    <w:rsid w:val="52341DDD"/>
    <w:rsid w:val="531111FC"/>
    <w:rsid w:val="533444FB"/>
    <w:rsid w:val="55C54FE9"/>
    <w:rsid w:val="55E07717"/>
    <w:rsid w:val="56397366"/>
    <w:rsid w:val="58080247"/>
    <w:rsid w:val="5950112B"/>
    <w:rsid w:val="59C3293C"/>
    <w:rsid w:val="5A1C766A"/>
    <w:rsid w:val="5AD80CCE"/>
    <w:rsid w:val="5B3710B2"/>
    <w:rsid w:val="5CF528AB"/>
    <w:rsid w:val="5D132301"/>
    <w:rsid w:val="5D340EF8"/>
    <w:rsid w:val="5D7C523D"/>
    <w:rsid w:val="5DD30482"/>
    <w:rsid w:val="5E970206"/>
    <w:rsid w:val="5ED1360A"/>
    <w:rsid w:val="5F1E1E73"/>
    <w:rsid w:val="6012673A"/>
    <w:rsid w:val="612A3DEE"/>
    <w:rsid w:val="614D7B82"/>
    <w:rsid w:val="62B67083"/>
    <w:rsid w:val="64787E17"/>
    <w:rsid w:val="649C599A"/>
    <w:rsid w:val="669155F5"/>
    <w:rsid w:val="66B027B6"/>
    <w:rsid w:val="671A2875"/>
    <w:rsid w:val="677D6629"/>
    <w:rsid w:val="67966EFB"/>
    <w:rsid w:val="67B628F5"/>
    <w:rsid w:val="682119CD"/>
    <w:rsid w:val="69A94E0C"/>
    <w:rsid w:val="6B3C7DBA"/>
    <w:rsid w:val="6B656B47"/>
    <w:rsid w:val="6B7E1643"/>
    <w:rsid w:val="6C714475"/>
    <w:rsid w:val="6CDB032D"/>
    <w:rsid w:val="6CE30226"/>
    <w:rsid w:val="6DB2110D"/>
    <w:rsid w:val="6DBD736C"/>
    <w:rsid w:val="6DF45A5A"/>
    <w:rsid w:val="6E5526FF"/>
    <w:rsid w:val="6EB82DCE"/>
    <w:rsid w:val="6F2B1820"/>
    <w:rsid w:val="6F412F7A"/>
    <w:rsid w:val="6FB72F89"/>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550627"/>
    <w:rsid w:val="7A7B08FF"/>
    <w:rsid w:val="7AE21E9E"/>
    <w:rsid w:val="7B027F4F"/>
    <w:rsid w:val="7B09318D"/>
    <w:rsid w:val="7B5F5943"/>
    <w:rsid w:val="7B6004E6"/>
    <w:rsid w:val="7BE14791"/>
    <w:rsid w:val="7C4C470C"/>
    <w:rsid w:val="7CD03426"/>
    <w:rsid w:val="7DDA7768"/>
    <w:rsid w:val="7DFA5FDE"/>
    <w:rsid w:val="7E0B3994"/>
    <w:rsid w:val="7ED236BD"/>
    <w:rsid w:val="7F5B6E61"/>
    <w:rsid w:val="7FBF7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8"/>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空2字"/>
    <w:basedOn w:val="3"/>
    <w:autoRedefine/>
    <w:qFormat/>
    <w:uiPriority w:val="99"/>
    <w:pPr>
      <w:widowControl w:val="0"/>
      <w:snapToGrid w:val="0"/>
      <w:jc w:val="center"/>
    </w:pPr>
    <w:rPr>
      <w:rFonts w:ascii="宋体" w:hAnsi="宋体" w:eastAsia="宋体" w:cs="仿宋_GB2312"/>
      <w:sz w:val="24"/>
      <w:szCs w:val="24"/>
    </w:rPr>
  </w:style>
  <w:style w:type="paragraph" w:customStyle="1" w:styleId="3">
    <w:name w:val="左对齐正文"/>
    <w:autoRedefine/>
    <w:qFormat/>
    <w:uiPriority w:val="99"/>
    <w:rPr>
      <w:rFonts w:ascii="Calibri" w:hAnsi="Calibri" w:eastAsia="仿宋_GB2312" w:cs="Calibri"/>
      <w:kern w:val="2"/>
      <w:sz w:val="32"/>
      <w:szCs w:val="32"/>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3">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4">
    <w:name w:val="Body Text First Indent 2"/>
    <w:basedOn w:val="7"/>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0"/>
    <w:rPr>
      <w:i/>
    </w:rPr>
  </w:style>
  <w:style w:type="character" w:styleId="20">
    <w:name w:val="Hyperlink"/>
    <w:qFormat/>
    <w:uiPriority w:val="99"/>
    <w:rPr>
      <w:color w:val="0000FF"/>
      <w:u w:val="single"/>
    </w:rPr>
  </w:style>
  <w:style w:type="character" w:styleId="21">
    <w:name w:val="annotation reference"/>
    <w:basedOn w:val="17"/>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Char"/>
    <w:basedOn w:val="17"/>
    <w:link w:val="10"/>
    <w:qFormat/>
    <w:uiPriority w:val="0"/>
    <w:rPr>
      <w:kern w:val="2"/>
      <w:sz w:val="18"/>
      <w:szCs w:val="18"/>
    </w:rPr>
  </w:style>
  <w:style w:type="character" w:customStyle="1" w:styleId="27">
    <w:name w:val="批注框文本 Char"/>
    <w:basedOn w:val="17"/>
    <w:link w:val="8"/>
    <w:qFormat/>
    <w:uiPriority w:val="0"/>
    <w:rPr>
      <w:kern w:val="2"/>
      <w:sz w:val="18"/>
      <w:szCs w:val="18"/>
    </w:rPr>
  </w:style>
  <w:style w:type="character" w:customStyle="1" w:styleId="28">
    <w:name w:val="font31"/>
    <w:basedOn w:val="17"/>
    <w:qFormat/>
    <w:uiPriority w:val="0"/>
    <w:rPr>
      <w:rFonts w:hint="eastAsia" w:ascii="宋体" w:hAnsi="宋体" w:eastAsia="宋体" w:cs="宋体"/>
      <w:color w:val="000000"/>
      <w:sz w:val="22"/>
      <w:szCs w:val="22"/>
      <w:u w:val="none"/>
    </w:rPr>
  </w:style>
  <w:style w:type="character" w:customStyle="1" w:styleId="29">
    <w:name w:val="font51"/>
    <w:basedOn w:val="17"/>
    <w:qFormat/>
    <w:uiPriority w:val="0"/>
    <w:rPr>
      <w:rFonts w:hint="default" w:ascii="Times New Roman" w:hAnsi="Times New Roman" w:cs="Times New Roman"/>
      <w:color w:val="000000"/>
      <w:sz w:val="22"/>
      <w:szCs w:val="22"/>
      <w:u w:val="none"/>
    </w:rPr>
  </w:style>
  <w:style w:type="character" w:customStyle="1" w:styleId="30">
    <w:name w:val="font41"/>
    <w:basedOn w:val="17"/>
    <w:qFormat/>
    <w:uiPriority w:val="0"/>
    <w:rPr>
      <w:rFonts w:ascii="仿宋_GB2312" w:eastAsia="仿宋_GB2312" w:cs="仿宋_GB2312"/>
      <w:color w:val="000000"/>
      <w:sz w:val="22"/>
      <w:szCs w:val="22"/>
      <w:u w:val="none"/>
    </w:rPr>
  </w:style>
  <w:style w:type="character" w:customStyle="1" w:styleId="31">
    <w:name w:val="font21"/>
    <w:basedOn w:val="17"/>
    <w:qFormat/>
    <w:uiPriority w:val="0"/>
    <w:rPr>
      <w:rFonts w:hint="eastAsia" w:ascii="宋体" w:hAnsi="宋体" w:eastAsia="宋体" w:cs="宋体"/>
      <w:color w:val="000000"/>
      <w:sz w:val="22"/>
      <w:szCs w:val="22"/>
      <w:u w:val="none"/>
      <w:vertAlign w:val="superscript"/>
    </w:rPr>
  </w:style>
  <w:style w:type="character" w:customStyle="1" w:styleId="32">
    <w:name w:val="font01"/>
    <w:basedOn w:val="17"/>
    <w:qFormat/>
    <w:uiPriority w:val="0"/>
    <w:rPr>
      <w:rFonts w:hint="eastAsia" w:ascii="宋体" w:hAnsi="宋体" w:eastAsia="宋体" w:cs="宋体"/>
      <w:color w:val="000000"/>
      <w:sz w:val="22"/>
      <w:szCs w:val="22"/>
      <w:u w:val="none"/>
    </w:rPr>
  </w:style>
  <w:style w:type="character" w:customStyle="1" w:styleId="33">
    <w:name w:val="font11"/>
    <w:basedOn w:val="17"/>
    <w:qFormat/>
    <w:uiPriority w:val="0"/>
    <w:rPr>
      <w:rFonts w:hint="eastAsia" w:ascii="宋体" w:hAnsi="宋体" w:eastAsia="宋体" w:cs="宋体"/>
      <w:color w:val="000000"/>
      <w:sz w:val="24"/>
      <w:szCs w:val="24"/>
      <w:u w:val="none"/>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5">
    <w:name w:val="font81"/>
    <w:basedOn w:val="17"/>
    <w:qFormat/>
    <w:uiPriority w:val="0"/>
    <w:rPr>
      <w:rFonts w:ascii="宋体" w:hAnsi="宋体" w:eastAsia="宋体" w:cs="宋体"/>
      <w:color w:val="000000"/>
      <w:sz w:val="20"/>
      <w:szCs w:val="20"/>
      <w:u w:val="none"/>
    </w:rPr>
  </w:style>
  <w:style w:type="character" w:customStyle="1" w:styleId="36">
    <w:name w:val="font71"/>
    <w:basedOn w:val="17"/>
    <w:qFormat/>
    <w:uiPriority w:val="0"/>
    <w:rPr>
      <w:rFonts w:hint="eastAsia" w:ascii="仿宋" w:hAnsi="仿宋" w:eastAsia="仿宋" w:cs="仿宋"/>
      <w:color w:val="000000"/>
      <w:sz w:val="22"/>
      <w:szCs w:val="22"/>
      <w:u w:val="none"/>
    </w:rPr>
  </w:style>
  <w:style w:type="paragraph" w:customStyle="1" w:styleId="37">
    <w:name w:val="样式1"/>
    <w:basedOn w:val="1"/>
    <w:qFormat/>
    <w:uiPriority w:val="0"/>
    <w:pPr>
      <w:spacing w:line="240" w:lineRule="exact"/>
    </w:pPr>
    <w:rPr>
      <w:rFonts w:ascii="宋体" w:hAnsi="宋体" w:eastAsia="宋体"/>
      <w:sz w:val="24"/>
      <w:szCs w:val="24"/>
    </w:rPr>
  </w:style>
  <w:style w:type="character" w:customStyle="1" w:styleId="38">
    <w:name w:val="标题 1 Char"/>
    <w:link w:val="4"/>
    <w:qFormat/>
    <w:uiPriority w:val="0"/>
    <w:rPr>
      <w:rFonts w:ascii="宋体" w:hAnsi="Arial" w:eastAsia="黑体"/>
      <w:b/>
      <w:color w:val="000000"/>
      <w:kern w:val="44"/>
      <w:sz w:val="36"/>
    </w:rPr>
  </w:style>
  <w:style w:type="paragraph" w:customStyle="1" w:styleId="39">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0">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13676</Words>
  <Characters>14973</Characters>
  <Lines>53</Lines>
  <Paragraphs>15</Paragraphs>
  <TotalTime>11</TotalTime>
  <ScaleCrop>false</ScaleCrop>
  <LinksUpToDate>false</LinksUpToDate>
  <CharactersWithSpaces>16345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2026-05-29T07:14:24Z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F3287D1C210B4C11A7A61C009C8AA18A_13</vt:lpwstr>
  </property>
  <property fmtid="{D5CDD505-2E9C-101B-9397-08002B2CF9AE}" pid="4" name="KSOTemplateDocerSaveRecord">
    <vt:lpwstr>eyJoZGlkIjoiYzUwZDFhNTA3NTBkYjYwNzBmOWEzNGQxZTA1ZTZlYTEiLCJ1c2VySWQiOiI0MTkyNjk4ODkifQ==</vt:lpwstr>
  </property>
</Properties>
</file>