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EB419">
      <w:pPr>
        <w:jc w:val="center"/>
        <w:rPr>
          <w:rFonts w:hint="eastAsia" w:ascii="仿宋" w:hAnsi="仿宋" w:eastAsia="仿宋" w:cs="仿宋"/>
          <w:sz w:val="72"/>
        </w:rPr>
      </w:pPr>
    </w:p>
    <w:p w14:paraId="23668EBA">
      <w:pPr>
        <w:jc w:val="center"/>
        <w:rPr>
          <w:rFonts w:hint="eastAsia" w:ascii="仿宋" w:hAnsi="仿宋" w:eastAsia="仿宋" w:cs="仿宋"/>
          <w:sz w:val="72"/>
        </w:rPr>
      </w:pPr>
    </w:p>
    <w:p w14:paraId="34ECD07E">
      <w:pPr>
        <w:jc w:val="center"/>
        <w:outlineLvl w:val="0"/>
        <w:rPr>
          <w:rFonts w:hint="eastAsia" w:ascii="仿宋_GB2312" w:hAnsi="宋体" w:eastAsia="仿宋_GB2312"/>
          <w:b/>
          <w:sz w:val="52"/>
          <w:szCs w:val="52"/>
        </w:rPr>
      </w:pPr>
      <w:bookmarkStart w:id="0" w:name="_Toc1576"/>
      <w:r>
        <w:rPr>
          <w:rFonts w:hint="eastAsia" w:ascii="仿宋_GB2312" w:hAnsi="宋体" w:eastAsia="仿宋_GB2312"/>
          <w:b/>
          <w:sz w:val="52"/>
          <w:szCs w:val="52"/>
          <w:lang w:eastAsia="zh-CN"/>
        </w:rPr>
        <w:t>绍兴市再生能源发展有限公司</w:t>
      </w:r>
      <w:bookmarkEnd w:id="0"/>
    </w:p>
    <w:p w14:paraId="543ECF22">
      <w:pPr>
        <w:pStyle w:val="11"/>
        <w:rPr>
          <w:highlight w:val="none"/>
        </w:rPr>
      </w:pPr>
    </w:p>
    <w:p w14:paraId="54EFD54C">
      <w:pPr>
        <w:jc w:val="center"/>
        <w:rPr>
          <w:rFonts w:hint="default" w:ascii="仿宋_GB2312" w:hAnsi="宋体" w:eastAsia="仿宋_GB2312"/>
          <w:b/>
          <w:sz w:val="52"/>
          <w:szCs w:val="52"/>
          <w:highlight w:val="none"/>
          <w:lang w:val="en-US" w:eastAsia="zh-CN"/>
        </w:rPr>
      </w:pPr>
      <w:r>
        <w:rPr>
          <w:rFonts w:hint="default" w:ascii="仿宋_GB2312" w:hAnsi="宋体" w:eastAsia="仿宋_GB2312"/>
          <w:b/>
          <w:sz w:val="52"/>
          <w:szCs w:val="52"/>
          <w:highlight w:val="none"/>
          <w:lang w:val="en-US" w:eastAsia="zh-CN"/>
        </w:rPr>
        <w:t>年度纸巾采购项目</w:t>
      </w:r>
    </w:p>
    <w:p w14:paraId="6F730390">
      <w:pPr>
        <w:jc w:val="center"/>
        <w:rPr>
          <w:rFonts w:hint="eastAsia" w:ascii="仿宋_GB2312" w:hAnsi="宋体" w:eastAsia="仿宋_GB2312"/>
          <w:b/>
          <w:sz w:val="52"/>
          <w:szCs w:val="52"/>
          <w:highlight w:val="none"/>
          <w:lang w:eastAsia="zh-CN"/>
        </w:rPr>
      </w:pPr>
      <w:r>
        <w:rPr>
          <w:rFonts w:hint="eastAsia" w:ascii="仿宋_GB2312" w:hAnsi="宋体" w:eastAsia="仿宋_GB2312"/>
          <w:b/>
          <w:sz w:val="52"/>
          <w:szCs w:val="52"/>
          <w:highlight w:val="none"/>
          <w:lang w:eastAsia="zh-CN"/>
        </w:rPr>
        <w:t>挂网</w:t>
      </w:r>
      <w:r>
        <w:rPr>
          <w:rFonts w:hint="eastAsia" w:ascii="仿宋_GB2312" w:hAnsi="宋体" w:eastAsia="仿宋_GB2312"/>
          <w:b/>
          <w:sz w:val="52"/>
          <w:szCs w:val="52"/>
          <w:highlight w:val="none"/>
        </w:rPr>
        <w:t>文件</w:t>
      </w:r>
    </w:p>
    <w:p w14:paraId="7C1F7162">
      <w:pPr>
        <w:jc w:val="center"/>
        <w:rPr>
          <w:rFonts w:hint="eastAsia" w:ascii="仿宋" w:hAnsi="仿宋" w:eastAsia="仿宋" w:cs="仿宋"/>
          <w:b/>
          <w:sz w:val="48"/>
          <w:szCs w:val="48"/>
          <w:highlight w:val="none"/>
        </w:rPr>
      </w:pPr>
    </w:p>
    <w:p w14:paraId="6778471B">
      <w:pPr>
        <w:spacing w:line="360" w:lineRule="auto"/>
        <w:rPr>
          <w:rFonts w:hint="eastAsia" w:ascii="仿宋" w:hAnsi="仿宋" w:eastAsia="仿宋" w:cs="仿宋"/>
          <w:sz w:val="40"/>
          <w:szCs w:val="48"/>
          <w:highlight w:val="none"/>
        </w:rPr>
      </w:pPr>
    </w:p>
    <w:p w14:paraId="45CFA879">
      <w:pPr>
        <w:spacing w:line="360" w:lineRule="auto"/>
        <w:rPr>
          <w:rFonts w:hint="eastAsia" w:ascii="仿宋" w:hAnsi="仿宋" w:eastAsia="仿宋" w:cs="仿宋"/>
          <w:sz w:val="40"/>
          <w:szCs w:val="48"/>
          <w:highlight w:val="none"/>
        </w:rPr>
      </w:pPr>
    </w:p>
    <w:p w14:paraId="4EE1A441">
      <w:pPr>
        <w:spacing w:line="360" w:lineRule="auto"/>
        <w:rPr>
          <w:rFonts w:hint="eastAsia" w:ascii="仿宋" w:hAnsi="仿宋" w:eastAsia="仿宋" w:cs="仿宋"/>
          <w:sz w:val="40"/>
          <w:szCs w:val="48"/>
          <w:highlight w:val="none"/>
        </w:rPr>
      </w:pPr>
    </w:p>
    <w:p w14:paraId="36405B2A">
      <w:pPr>
        <w:spacing w:line="360" w:lineRule="auto"/>
        <w:jc w:val="center"/>
        <w:rPr>
          <w:rFonts w:hint="eastAsia" w:ascii="仿宋" w:hAnsi="仿宋" w:eastAsia="仿宋" w:cs="仿宋"/>
          <w:sz w:val="32"/>
          <w:szCs w:val="32"/>
          <w:highlight w:val="none"/>
          <w:u w:val="single"/>
          <w:lang w:val="en-US" w:eastAsia="zh-CN"/>
        </w:rPr>
      </w:pPr>
      <w:r>
        <w:rPr>
          <w:rFonts w:hint="eastAsia" w:ascii="仿宋" w:hAnsi="仿宋" w:eastAsia="仿宋" w:cs="仿宋"/>
          <w:sz w:val="32"/>
          <w:szCs w:val="32"/>
          <w:highlight w:val="none"/>
        </w:rPr>
        <w:t>采购编号：</w:t>
      </w:r>
      <w:r>
        <w:rPr>
          <w:rFonts w:hint="eastAsia" w:ascii="仿宋" w:hAnsi="仿宋" w:eastAsia="仿宋" w:cs="仿宋"/>
          <w:sz w:val="32"/>
          <w:szCs w:val="32"/>
          <w:highlight w:val="none"/>
          <w:u w:val="single"/>
          <w:lang w:val="en-US" w:eastAsia="zh-CN"/>
        </w:rPr>
        <w:t xml:space="preserve"> </w:t>
      </w:r>
      <w:bookmarkStart w:id="1" w:name="OLE_LINK1"/>
      <w:r>
        <w:rPr>
          <w:rFonts w:hint="eastAsia" w:ascii="仿宋" w:hAnsi="仿宋" w:eastAsia="仿宋" w:cs="仿宋"/>
          <w:sz w:val="32"/>
          <w:szCs w:val="32"/>
          <w:highlight w:val="none"/>
          <w:u w:val="single"/>
          <w:lang w:val="en-US" w:eastAsia="zh-CN"/>
        </w:rPr>
        <w:t>SX-</w:t>
      </w:r>
      <w:bookmarkEnd w:id="1"/>
      <w:r>
        <w:rPr>
          <w:rFonts w:hint="eastAsia" w:ascii="仿宋" w:hAnsi="仿宋" w:eastAsia="仿宋" w:cs="仿宋"/>
          <w:sz w:val="32"/>
          <w:szCs w:val="32"/>
          <w:highlight w:val="none"/>
          <w:u w:val="single"/>
          <w:lang w:val="en-US" w:eastAsia="zh-CN"/>
        </w:rPr>
        <w:t xml:space="preserve">CG-ZJ-2604010 </w:t>
      </w:r>
    </w:p>
    <w:p w14:paraId="6D250556">
      <w:pPr>
        <w:spacing w:line="360" w:lineRule="auto"/>
        <w:ind w:firstLine="80" w:firstLineChars="25"/>
        <w:jc w:val="center"/>
        <w:rPr>
          <w:rFonts w:hint="default" w:ascii="仿宋" w:hAnsi="仿宋" w:eastAsia="仿宋" w:cs="仿宋"/>
          <w:sz w:val="32"/>
          <w:szCs w:val="32"/>
          <w:highlight w:val="none"/>
          <w:u w:val="single"/>
          <w:lang w:val="en-US" w:eastAsia="zh-CN"/>
        </w:rPr>
      </w:pPr>
      <w:bookmarkStart w:id="2" w:name="OLE_LINK53"/>
      <w:bookmarkStart w:id="3" w:name="OLE_LINK52"/>
      <w:r>
        <w:rPr>
          <w:rFonts w:hint="eastAsia" w:ascii="仿宋" w:hAnsi="仿宋" w:eastAsia="仿宋" w:cs="仿宋"/>
          <w:sz w:val="32"/>
          <w:szCs w:val="32"/>
          <w:highlight w:val="none"/>
        </w:rPr>
        <w:t>项目名称：</w:t>
      </w:r>
      <w:bookmarkEnd w:id="2"/>
      <w:bookmarkEnd w:id="3"/>
      <w:r>
        <w:rPr>
          <w:rFonts w:hint="eastAsia" w:ascii="仿宋" w:hAnsi="仿宋" w:eastAsia="仿宋" w:cs="仿宋"/>
          <w:sz w:val="32"/>
          <w:szCs w:val="32"/>
          <w:highlight w:val="none"/>
          <w:u w:val="single"/>
          <w:lang w:val="en-US" w:eastAsia="zh-CN"/>
        </w:rPr>
        <w:t xml:space="preserve">年度纸巾采购项目 </w:t>
      </w:r>
    </w:p>
    <w:p w14:paraId="6A82DF5E">
      <w:pPr>
        <w:spacing w:line="360" w:lineRule="auto"/>
        <w:ind w:firstLine="80" w:firstLineChars="25"/>
        <w:jc w:val="center"/>
        <w:rPr>
          <w:rFonts w:hint="eastAsia" w:ascii="仿宋" w:hAnsi="仿宋" w:eastAsia="仿宋" w:cs="仿宋"/>
          <w:sz w:val="32"/>
          <w:szCs w:val="32"/>
          <w:u w:val="single"/>
          <w:lang w:val="en-US" w:eastAsia="zh-CN"/>
        </w:rPr>
      </w:pPr>
    </w:p>
    <w:p w14:paraId="12F97776">
      <w:pPr>
        <w:rPr>
          <w:rFonts w:hint="eastAsia" w:ascii="仿宋" w:hAnsi="仿宋" w:eastAsia="仿宋" w:cs="仿宋"/>
          <w:sz w:val="84"/>
        </w:rPr>
      </w:pPr>
    </w:p>
    <w:p w14:paraId="297F9618">
      <w:pPr>
        <w:rPr>
          <w:rFonts w:hint="eastAsia" w:ascii="仿宋" w:hAnsi="仿宋" w:eastAsia="仿宋" w:cs="仿宋"/>
          <w:sz w:val="84"/>
        </w:rPr>
      </w:pPr>
    </w:p>
    <w:p w14:paraId="33BAD177">
      <w:pPr>
        <w:rPr>
          <w:rFonts w:hint="eastAsia" w:ascii="仿宋" w:hAnsi="仿宋" w:eastAsia="仿宋" w:cs="仿宋"/>
          <w:sz w:val="84"/>
        </w:rPr>
      </w:pPr>
    </w:p>
    <w:p w14:paraId="1BFEA016">
      <w:pPr>
        <w:snapToGrid w:val="0"/>
        <w:spacing w:line="480" w:lineRule="auto"/>
        <w:jc w:val="center"/>
        <w:rPr>
          <w:rFonts w:hint="eastAsia" w:ascii="仿宋" w:hAnsi="仿宋" w:eastAsia="仿宋" w:cs="仿宋"/>
          <w:sz w:val="32"/>
          <w:szCs w:val="32"/>
          <w:highlight w:val="none"/>
          <w:lang w:eastAsia="zh-CN"/>
        </w:rPr>
      </w:pPr>
      <w:r>
        <w:rPr>
          <w:rFonts w:hint="eastAsia" w:ascii="仿宋" w:hAnsi="仿宋" w:eastAsia="仿宋" w:cs="仿宋"/>
          <w:sz w:val="32"/>
          <w:szCs w:val="32"/>
          <w:lang w:eastAsia="zh-CN"/>
        </w:rPr>
        <w:t>绍兴</w:t>
      </w:r>
      <w:r>
        <w:rPr>
          <w:rFonts w:hint="eastAsia" w:ascii="仿宋" w:hAnsi="仿宋" w:eastAsia="仿宋" w:cs="仿宋"/>
          <w:sz w:val="32"/>
          <w:szCs w:val="32"/>
          <w:highlight w:val="none"/>
          <w:lang w:eastAsia="zh-CN"/>
        </w:rPr>
        <w:t>市再生能源发展有限公司</w:t>
      </w:r>
    </w:p>
    <w:p w14:paraId="289C425F">
      <w:pPr>
        <w:spacing w:line="360" w:lineRule="auto"/>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二○二</w:t>
      </w:r>
      <w:r>
        <w:rPr>
          <w:rFonts w:hint="eastAsia" w:ascii="仿宋" w:hAnsi="仿宋" w:eastAsia="仿宋" w:cs="仿宋"/>
          <w:sz w:val="32"/>
          <w:szCs w:val="32"/>
          <w:highlight w:val="none"/>
          <w:lang w:val="en-US" w:eastAsia="zh-CN"/>
        </w:rPr>
        <w:t>六</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五</w:t>
      </w:r>
      <w:r>
        <w:rPr>
          <w:rFonts w:hint="eastAsia" w:ascii="仿宋" w:hAnsi="仿宋" w:eastAsia="仿宋" w:cs="仿宋"/>
          <w:sz w:val="32"/>
          <w:szCs w:val="32"/>
          <w:highlight w:val="none"/>
        </w:rPr>
        <w:t>月</w:t>
      </w:r>
    </w:p>
    <w:p w14:paraId="1B2C013F">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14:paraId="06EDA5AC">
      <w:pPr>
        <w:pStyle w:val="9"/>
        <w:tabs>
          <w:tab w:val="right" w:leader="dot" w:pos="9070"/>
        </w:tabs>
        <w:rPr>
          <w:rFonts w:hint="eastAsia" w:ascii="Times New Roman" w:hAnsi="Times New Roman" w:eastAsia="仿宋" w:cs="Times New Roman"/>
          <w:b w:val="0"/>
          <w:bCs w:val="0"/>
          <w:sz w:val="32"/>
          <w:szCs w:val="32"/>
        </w:rPr>
      </w:pP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TOC \o "1-1" \h \u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HYPERLINK \l _Toc1576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lang w:eastAsia="zh-CN"/>
        </w:rPr>
        <w:t>绍兴市再生能源发展有限公司</w:t>
      </w:r>
      <w:r>
        <w:rPr>
          <w:rFonts w:hint="default" w:ascii="Times New Roman" w:hAnsi="Times New Roman" w:eastAsia="仿宋" w:cs="Times New Roman"/>
          <w:b w:val="0"/>
          <w:bCs w:val="0"/>
          <w:sz w:val="32"/>
          <w:szCs w:val="32"/>
        </w:rPr>
        <w:tab/>
      </w:r>
      <w:r>
        <w:rPr>
          <w:rFonts w:hint="default" w:ascii="Times New Roman" w:hAnsi="Times New Roman" w:eastAsia="仿宋" w:cs="Times New Roman"/>
          <w:b w:val="0"/>
          <w:bCs w:val="0"/>
          <w:sz w:val="32"/>
          <w:szCs w:val="32"/>
        </w:rPr>
        <w:fldChar w:fldCharType="begin"/>
      </w:r>
      <w:r>
        <w:rPr>
          <w:rFonts w:hint="default" w:ascii="Times New Roman" w:hAnsi="Times New Roman" w:eastAsia="仿宋" w:cs="Times New Roman"/>
          <w:b w:val="0"/>
          <w:bCs w:val="0"/>
          <w:sz w:val="32"/>
          <w:szCs w:val="32"/>
        </w:rPr>
        <w:instrText xml:space="preserve"> PAGEREF _Toc1576 \h </w:instrText>
      </w:r>
      <w:r>
        <w:rPr>
          <w:rFonts w:hint="default" w:ascii="Times New Roman" w:hAnsi="Times New Roman" w:eastAsia="仿宋" w:cs="Times New Roman"/>
          <w:b w:val="0"/>
          <w:bCs w:val="0"/>
          <w:sz w:val="32"/>
          <w:szCs w:val="32"/>
        </w:rPr>
        <w:fldChar w:fldCharType="separate"/>
      </w:r>
      <w:r>
        <w:rPr>
          <w:rFonts w:hint="default" w:ascii="Times New Roman" w:hAnsi="Times New Roman" w:eastAsia="仿宋" w:cs="Times New Roman"/>
          <w:b w:val="0"/>
          <w:bCs w:val="0"/>
          <w:sz w:val="32"/>
          <w:szCs w:val="32"/>
        </w:rPr>
        <w:t>1</w:t>
      </w:r>
      <w:r>
        <w:rPr>
          <w:rFonts w:hint="default" w:ascii="Times New Roman" w:hAnsi="Times New Roman" w:eastAsia="仿宋" w:cs="Times New Roman"/>
          <w:b w:val="0"/>
          <w:bCs w:val="0"/>
          <w:sz w:val="32"/>
          <w:szCs w:val="32"/>
        </w:rPr>
        <w:fldChar w:fldCharType="end"/>
      </w:r>
      <w:r>
        <w:rPr>
          <w:rFonts w:hint="eastAsia" w:ascii="Times New Roman" w:hAnsi="Times New Roman" w:eastAsia="仿宋" w:cs="Times New Roman"/>
          <w:b w:val="0"/>
          <w:bCs w:val="0"/>
          <w:sz w:val="32"/>
          <w:szCs w:val="32"/>
        </w:rPr>
        <w:fldChar w:fldCharType="end"/>
      </w:r>
    </w:p>
    <w:p w14:paraId="1FE26DD1">
      <w:pPr>
        <w:pStyle w:val="9"/>
        <w:tabs>
          <w:tab w:val="right" w:leader="dot" w:pos="9070"/>
        </w:tabs>
        <w:rPr>
          <w:rFonts w:hint="eastAsia" w:ascii="Times New Roman" w:hAnsi="Times New Roman" w:eastAsia="仿宋" w:cs="Times New Roman"/>
          <w:b w:val="0"/>
          <w:bCs w:val="0"/>
          <w:sz w:val="32"/>
          <w:szCs w:val="32"/>
        </w:rPr>
      </w:pP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HYPERLINK \l _Toc8555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lang w:val="en-US" w:eastAsia="zh-CN"/>
        </w:rPr>
        <w:t>第一部分   询价公告</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_Toc8555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3</w:t>
      </w:r>
      <w:r>
        <w:rPr>
          <w:rFonts w:hint="eastAsia" w:ascii="Times New Roman" w:hAnsi="Times New Roman" w:eastAsia="仿宋" w:cs="Times New Roman"/>
          <w:b w:val="0"/>
          <w:bCs w:val="0"/>
          <w:sz w:val="32"/>
          <w:szCs w:val="32"/>
        </w:rPr>
        <w:fldChar w:fldCharType="end"/>
      </w:r>
      <w:r>
        <w:rPr>
          <w:rFonts w:hint="eastAsia" w:ascii="Times New Roman" w:hAnsi="Times New Roman" w:eastAsia="仿宋" w:cs="Times New Roman"/>
          <w:b w:val="0"/>
          <w:bCs w:val="0"/>
          <w:sz w:val="32"/>
          <w:szCs w:val="32"/>
        </w:rPr>
        <w:fldChar w:fldCharType="end"/>
      </w:r>
    </w:p>
    <w:p w14:paraId="386F0BC5">
      <w:pPr>
        <w:pStyle w:val="9"/>
        <w:tabs>
          <w:tab w:val="right" w:leader="dot" w:pos="9070"/>
        </w:tabs>
        <w:rPr>
          <w:rFonts w:hint="eastAsia" w:ascii="Times New Roman" w:hAnsi="Times New Roman" w:eastAsia="仿宋" w:cs="Times New Roman"/>
          <w:b w:val="0"/>
          <w:bCs w:val="0"/>
          <w:sz w:val="32"/>
          <w:szCs w:val="32"/>
        </w:rPr>
      </w:pP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HYPERLINK \l _Toc17952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第三部分   询价内容</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_Toc17952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11</w:t>
      </w:r>
      <w:r>
        <w:rPr>
          <w:rFonts w:hint="eastAsia" w:ascii="Times New Roman" w:hAnsi="Times New Roman" w:eastAsia="仿宋" w:cs="Times New Roman"/>
          <w:b w:val="0"/>
          <w:bCs w:val="0"/>
          <w:sz w:val="32"/>
          <w:szCs w:val="32"/>
        </w:rPr>
        <w:fldChar w:fldCharType="end"/>
      </w:r>
      <w:r>
        <w:rPr>
          <w:rFonts w:hint="eastAsia" w:ascii="Times New Roman" w:hAnsi="Times New Roman" w:eastAsia="仿宋" w:cs="Times New Roman"/>
          <w:b w:val="0"/>
          <w:bCs w:val="0"/>
          <w:sz w:val="32"/>
          <w:szCs w:val="32"/>
        </w:rPr>
        <w:fldChar w:fldCharType="end"/>
      </w:r>
    </w:p>
    <w:p w14:paraId="5EDC76C3">
      <w:pPr>
        <w:pStyle w:val="9"/>
        <w:tabs>
          <w:tab w:val="right" w:leader="dot" w:pos="9070"/>
        </w:tabs>
        <w:rPr>
          <w:rFonts w:hint="eastAsia" w:ascii="Times New Roman" w:hAnsi="Times New Roman" w:eastAsia="仿宋" w:cs="Times New Roman"/>
          <w:b w:val="0"/>
          <w:bCs w:val="0"/>
          <w:sz w:val="32"/>
          <w:szCs w:val="32"/>
        </w:rPr>
      </w:pP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HYPERLINK \l _Toc17080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lang w:val="en-US" w:eastAsia="zh-CN"/>
        </w:rPr>
        <w:t xml:space="preserve">第四部分 </w:t>
      </w:r>
      <w:r>
        <w:rPr>
          <w:rFonts w:hint="eastAsia" w:eastAsia="仿宋" w:cs="Times New Roman"/>
          <w:b w:val="0"/>
          <w:bCs w:val="0"/>
          <w:sz w:val="32"/>
          <w:szCs w:val="32"/>
          <w:lang w:val="en-US" w:eastAsia="zh-CN"/>
        </w:rPr>
        <w:t xml:space="preserve">  </w:t>
      </w:r>
      <w:r>
        <w:rPr>
          <w:rFonts w:hint="eastAsia" w:ascii="Times New Roman" w:hAnsi="Times New Roman" w:eastAsia="仿宋" w:cs="Times New Roman"/>
          <w:b w:val="0"/>
          <w:bCs w:val="0"/>
          <w:sz w:val="32"/>
          <w:szCs w:val="32"/>
          <w:lang w:val="en-US" w:eastAsia="zh-CN"/>
        </w:rPr>
        <w:t>合同主要条款（供参考）</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_Toc17080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13</w:t>
      </w:r>
      <w:r>
        <w:rPr>
          <w:rFonts w:hint="eastAsia" w:ascii="Times New Roman" w:hAnsi="Times New Roman" w:eastAsia="仿宋" w:cs="Times New Roman"/>
          <w:b w:val="0"/>
          <w:bCs w:val="0"/>
          <w:sz w:val="32"/>
          <w:szCs w:val="32"/>
        </w:rPr>
        <w:fldChar w:fldCharType="end"/>
      </w:r>
      <w:r>
        <w:rPr>
          <w:rFonts w:hint="eastAsia" w:ascii="Times New Roman" w:hAnsi="Times New Roman" w:eastAsia="仿宋" w:cs="Times New Roman"/>
          <w:b w:val="0"/>
          <w:bCs w:val="0"/>
          <w:sz w:val="32"/>
          <w:szCs w:val="32"/>
        </w:rPr>
        <w:fldChar w:fldCharType="end"/>
      </w:r>
    </w:p>
    <w:p w14:paraId="23C2E8E0">
      <w:pPr>
        <w:pStyle w:val="9"/>
        <w:tabs>
          <w:tab w:val="right" w:leader="dot" w:pos="9070"/>
        </w:tabs>
        <w:rPr>
          <w:rFonts w:hint="eastAsia" w:ascii="Times New Roman" w:hAnsi="Times New Roman" w:eastAsia="仿宋" w:cs="Times New Roman"/>
          <w:b w:val="0"/>
          <w:bCs w:val="0"/>
          <w:sz w:val="32"/>
          <w:szCs w:val="32"/>
        </w:rPr>
      </w:pP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HYPERLINK \l _Toc25146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lang w:val="en-US" w:eastAsia="zh-CN"/>
        </w:rPr>
        <w:t>附件：</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_Toc25146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17</w:t>
      </w:r>
      <w:r>
        <w:rPr>
          <w:rFonts w:hint="eastAsia" w:ascii="Times New Roman" w:hAnsi="Times New Roman" w:eastAsia="仿宋" w:cs="Times New Roman"/>
          <w:b w:val="0"/>
          <w:bCs w:val="0"/>
          <w:sz w:val="32"/>
          <w:szCs w:val="32"/>
        </w:rPr>
        <w:fldChar w:fldCharType="end"/>
      </w:r>
      <w:r>
        <w:rPr>
          <w:rFonts w:hint="eastAsia" w:ascii="Times New Roman" w:hAnsi="Times New Roman" w:eastAsia="仿宋" w:cs="Times New Roman"/>
          <w:b w:val="0"/>
          <w:bCs w:val="0"/>
          <w:sz w:val="32"/>
          <w:szCs w:val="32"/>
        </w:rPr>
        <w:fldChar w:fldCharType="end"/>
      </w:r>
    </w:p>
    <w:p w14:paraId="1D1DD4C1">
      <w:pPr>
        <w:pStyle w:val="9"/>
        <w:tabs>
          <w:tab w:val="right" w:leader="dot" w:pos="9070"/>
        </w:tabs>
        <w:rPr>
          <w:rFonts w:hint="eastAsia" w:ascii="Times New Roman" w:hAnsi="Times New Roman" w:eastAsia="仿宋" w:cs="Times New Roman"/>
          <w:b w:val="0"/>
          <w:bCs w:val="0"/>
          <w:sz w:val="32"/>
          <w:szCs w:val="32"/>
        </w:rPr>
      </w:pP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HYPERLINK \l _Toc895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第</w:t>
      </w:r>
      <w:r>
        <w:rPr>
          <w:rFonts w:hint="eastAsia" w:ascii="Times New Roman" w:hAnsi="Times New Roman" w:eastAsia="仿宋" w:cs="Times New Roman"/>
          <w:b w:val="0"/>
          <w:bCs w:val="0"/>
          <w:sz w:val="32"/>
          <w:szCs w:val="32"/>
          <w:lang w:eastAsia="zh-CN"/>
        </w:rPr>
        <w:t>五</w:t>
      </w:r>
      <w:r>
        <w:rPr>
          <w:rFonts w:hint="eastAsia" w:ascii="Times New Roman" w:hAnsi="Times New Roman" w:eastAsia="仿宋" w:cs="Times New Roman"/>
          <w:b w:val="0"/>
          <w:bCs w:val="0"/>
          <w:sz w:val="32"/>
          <w:szCs w:val="32"/>
        </w:rPr>
        <w:t>部分   报价文件格式</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_Toc895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20</w:t>
      </w:r>
      <w:r>
        <w:rPr>
          <w:rFonts w:hint="eastAsia" w:ascii="Times New Roman" w:hAnsi="Times New Roman" w:eastAsia="仿宋" w:cs="Times New Roman"/>
          <w:b w:val="0"/>
          <w:bCs w:val="0"/>
          <w:sz w:val="32"/>
          <w:szCs w:val="32"/>
        </w:rPr>
        <w:fldChar w:fldCharType="end"/>
      </w:r>
      <w:r>
        <w:rPr>
          <w:rFonts w:hint="eastAsia" w:ascii="Times New Roman" w:hAnsi="Times New Roman" w:eastAsia="仿宋" w:cs="Times New Roman"/>
          <w:b w:val="0"/>
          <w:bCs w:val="0"/>
          <w:sz w:val="32"/>
          <w:szCs w:val="32"/>
        </w:rPr>
        <w:fldChar w:fldCharType="end"/>
      </w:r>
    </w:p>
    <w:p w14:paraId="6B9CE2C9">
      <w:pPr>
        <w:pStyle w:val="9"/>
        <w:tabs>
          <w:tab w:val="right" w:leader="dot" w:pos="9070"/>
        </w:tabs>
        <w:rPr>
          <w:rFonts w:hint="eastAsia" w:ascii="Times New Roman" w:hAnsi="Times New Roman" w:eastAsia="仿宋" w:cs="Times New Roman"/>
          <w:b w:val="0"/>
          <w:bCs w:val="0"/>
          <w:sz w:val="32"/>
          <w:szCs w:val="32"/>
        </w:rPr>
      </w:pP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HYPERLINK \l _Toc8510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附件</w:t>
      </w:r>
      <w:r>
        <w:rPr>
          <w:rFonts w:hint="eastAsia" w:ascii="Times New Roman" w:hAnsi="Times New Roman" w:eastAsia="仿宋" w:cs="Times New Roman"/>
          <w:b w:val="0"/>
          <w:bCs w:val="0"/>
          <w:sz w:val="32"/>
          <w:szCs w:val="32"/>
          <w:lang w:val="en-US"/>
        </w:rPr>
        <w:t>一：</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_Toc8510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21</w:t>
      </w:r>
      <w:r>
        <w:rPr>
          <w:rFonts w:hint="eastAsia" w:ascii="Times New Roman" w:hAnsi="Times New Roman" w:eastAsia="仿宋" w:cs="Times New Roman"/>
          <w:b w:val="0"/>
          <w:bCs w:val="0"/>
          <w:sz w:val="32"/>
          <w:szCs w:val="32"/>
        </w:rPr>
        <w:fldChar w:fldCharType="end"/>
      </w:r>
      <w:r>
        <w:rPr>
          <w:rFonts w:hint="eastAsia" w:ascii="Times New Roman" w:hAnsi="Times New Roman" w:eastAsia="仿宋" w:cs="Times New Roman"/>
          <w:b w:val="0"/>
          <w:bCs w:val="0"/>
          <w:sz w:val="32"/>
          <w:szCs w:val="32"/>
        </w:rPr>
        <w:fldChar w:fldCharType="end"/>
      </w:r>
    </w:p>
    <w:p w14:paraId="29825BB5">
      <w:pPr>
        <w:pStyle w:val="9"/>
        <w:tabs>
          <w:tab w:val="right" w:leader="dot" w:pos="9070"/>
        </w:tabs>
        <w:rPr>
          <w:rFonts w:hint="eastAsia" w:ascii="Times New Roman" w:hAnsi="Times New Roman" w:eastAsia="仿宋" w:cs="Times New Roman"/>
          <w:b w:val="0"/>
          <w:bCs w:val="0"/>
          <w:sz w:val="32"/>
          <w:szCs w:val="32"/>
        </w:rPr>
      </w:pP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HYPERLINK \l _Toc138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附件</w:t>
      </w:r>
      <w:r>
        <w:rPr>
          <w:rFonts w:hint="eastAsia" w:ascii="Times New Roman" w:hAnsi="Times New Roman" w:eastAsia="仿宋" w:cs="Times New Roman"/>
          <w:b w:val="0"/>
          <w:bCs w:val="0"/>
          <w:sz w:val="32"/>
          <w:szCs w:val="32"/>
          <w:lang w:val="en-US"/>
        </w:rPr>
        <w:t>二</w:t>
      </w:r>
      <w:r>
        <w:rPr>
          <w:rFonts w:hint="eastAsia" w:ascii="Times New Roman" w:hAnsi="Times New Roman" w:eastAsia="仿宋" w:cs="Times New Roman"/>
          <w:b w:val="0"/>
          <w:bCs w:val="0"/>
          <w:sz w:val="32"/>
          <w:szCs w:val="32"/>
        </w:rPr>
        <w:t>：</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_Toc138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23</w:t>
      </w:r>
      <w:r>
        <w:rPr>
          <w:rFonts w:hint="eastAsia" w:ascii="Times New Roman" w:hAnsi="Times New Roman" w:eastAsia="仿宋" w:cs="Times New Roman"/>
          <w:b w:val="0"/>
          <w:bCs w:val="0"/>
          <w:sz w:val="32"/>
          <w:szCs w:val="32"/>
        </w:rPr>
        <w:fldChar w:fldCharType="end"/>
      </w:r>
      <w:r>
        <w:rPr>
          <w:rFonts w:hint="eastAsia" w:ascii="Times New Roman" w:hAnsi="Times New Roman" w:eastAsia="仿宋" w:cs="Times New Roman"/>
          <w:b w:val="0"/>
          <w:bCs w:val="0"/>
          <w:sz w:val="32"/>
          <w:szCs w:val="32"/>
        </w:rPr>
        <w:fldChar w:fldCharType="end"/>
      </w:r>
    </w:p>
    <w:p w14:paraId="714402C8">
      <w:pPr>
        <w:pStyle w:val="9"/>
        <w:tabs>
          <w:tab w:val="right" w:leader="dot" w:pos="9070"/>
        </w:tabs>
        <w:rPr>
          <w:rFonts w:hint="eastAsia" w:ascii="Times New Roman" w:hAnsi="Times New Roman" w:eastAsia="仿宋" w:cs="Times New Roman"/>
          <w:b w:val="0"/>
          <w:bCs w:val="0"/>
          <w:sz w:val="32"/>
          <w:szCs w:val="32"/>
        </w:rPr>
      </w:pP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HYPERLINK \l _Toc16767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附件</w:t>
      </w:r>
      <w:r>
        <w:rPr>
          <w:rFonts w:hint="eastAsia" w:ascii="Times New Roman" w:hAnsi="Times New Roman" w:eastAsia="仿宋" w:cs="Times New Roman"/>
          <w:b w:val="0"/>
          <w:bCs w:val="0"/>
          <w:sz w:val="32"/>
          <w:szCs w:val="32"/>
          <w:lang w:val="en-US"/>
        </w:rPr>
        <w:t>三：</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_Toc16767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25</w:t>
      </w:r>
      <w:r>
        <w:rPr>
          <w:rFonts w:hint="eastAsia" w:ascii="Times New Roman" w:hAnsi="Times New Roman" w:eastAsia="仿宋" w:cs="Times New Roman"/>
          <w:b w:val="0"/>
          <w:bCs w:val="0"/>
          <w:sz w:val="32"/>
          <w:szCs w:val="32"/>
        </w:rPr>
        <w:fldChar w:fldCharType="end"/>
      </w:r>
      <w:r>
        <w:rPr>
          <w:rFonts w:hint="eastAsia" w:ascii="Times New Roman" w:hAnsi="Times New Roman" w:eastAsia="仿宋" w:cs="Times New Roman"/>
          <w:b w:val="0"/>
          <w:bCs w:val="0"/>
          <w:sz w:val="32"/>
          <w:szCs w:val="32"/>
        </w:rPr>
        <w:fldChar w:fldCharType="end"/>
      </w:r>
    </w:p>
    <w:p w14:paraId="2CB08D88">
      <w:pPr>
        <w:pStyle w:val="9"/>
        <w:tabs>
          <w:tab w:val="right" w:leader="dot" w:pos="9070"/>
        </w:tabs>
        <w:rPr>
          <w:rFonts w:hint="eastAsia" w:ascii="Times New Roman" w:hAnsi="Times New Roman" w:eastAsia="仿宋" w:cs="Times New Roman"/>
          <w:b w:val="0"/>
          <w:bCs w:val="0"/>
          <w:sz w:val="32"/>
          <w:szCs w:val="32"/>
        </w:rPr>
      </w:pPr>
      <w:r>
        <w:rPr>
          <w:rFonts w:hint="eastAsia" w:ascii="Times New Roman" w:hAnsi="Times New Roman" w:eastAsia="仿宋" w:cs="Times New Roman"/>
          <w:b w:val="0"/>
          <w:bCs w:val="0"/>
          <w:sz w:val="32"/>
          <w:szCs w:val="32"/>
        </w:rPr>
        <w:fldChar w:fldCharType="end"/>
      </w:r>
    </w:p>
    <w:p w14:paraId="7D54F6DE">
      <w:pPr>
        <w:rPr>
          <w:rFonts w:hint="eastAsia" w:ascii="仿宋" w:hAnsi="仿宋" w:eastAsia="仿宋" w:cs="仿宋"/>
          <w:sz w:val="36"/>
        </w:rPr>
      </w:pPr>
    </w:p>
    <w:p w14:paraId="624240EE">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8555"/>
      <w:bookmarkStart w:id="5" w:name="_Toc530583878"/>
      <w:bookmarkStart w:id="6" w:name="_Toc530583921"/>
      <w:r>
        <w:rPr>
          <w:rFonts w:hint="eastAsia" w:ascii="仿宋" w:hAnsi="仿宋" w:eastAsia="仿宋" w:cs="仿宋"/>
          <w:b/>
          <w:snapToGrid w:val="0"/>
          <w:color w:val="000000"/>
          <w:kern w:val="44"/>
          <w:sz w:val="44"/>
          <w:szCs w:val="44"/>
          <w:lang w:val="en-US" w:eastAsia="zh-CN" w:bidi="ar-SA"/>
        </w:rPr>
        <w:t>第一部分   询价公告</w:t>
      </w:r>
      <w:bookmarkEnd w:id="4"/>
      <w:bookmarkEnd w:id="5"/>
      <w:bookmarkEnd w:id="6"/>
    </w:p>
    <w:p w14:paraId="42A9A8C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年度纸巾采购项目进行招标</w:t>
      </w:r>
      <w:r>
        <w:rPr>
          <w:rFonts w:hint="eastAsia" w:ascii="仿宋" w:hAnsi="仿宋" w:eastAsia="仿宋" w:cs="仿宋"/>
          <w:sz w:val="30"/>
          <w:szCs w:val="30"/>
        </w:rPr>
        <w:t>，欢迎符合要求的供应商积极参与。</w:t>
      </w:r>
    </w:p>
    <w:p w14:paraId="429406B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3B61172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SX-CG-ZJ-2604010  </w:t>
      </w:r>
    </w:p>
    <w:p w14:paraId="4EB00A9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p>
    <w:tbl>
      <w:tblPr>
        <w:tblStyle w:val="13"/>
        <w:tblW w:w="4760" w:type="pct"/>
        <w:jc w:val="center"/>
        <w:tblLayout w:type="fixed"/>
        <w:tblCellMar>
          <w:top w:w="0" w:type="dxa"/>
          <w:left w:w="108" w:type="dxa"/>
          <w:bottom w:w="0" w:type="dxa"/>
          <w:right w:w="108" w:type="dxa"/>
        </w:tblCellMar>
      </w:tblPr>
      <w:tblGrid>
        <w:gridCol w:w="958"/>
        <w:gridCol w:w="2145"/>
        <w:gridCol w:w="2598"/>
        <w:gridCol w:w="915"/>
        <w:gridCol w:w="755"/>
        <w:gridCol w:w="1471"/>
      </w:tblGrid>
      <w:tr w14:paraId="6835E69F">
        <w:tblPrEx>
          <w:tblCellMar>
            <w:top w:w="0" w:type="dxa"/>
            <w:left w:w="108" w:type="dxa"/>
            <w:bottom w:w="0" w:type="dxa"/>
            <w:right w:w="108" w:type="dxa"/>
          </w:tblCellMar>
        </w:tblPrEx>
        <w:trPr>
          <w:trHeight w:val="574" w:hRule="atLeast"/>
          <w:jc w:val="center"/>
        </w:trPr>
        <w:tc>
          <w:tcPr>
            <w:tcW w:w="958" w:type="dxa"/>
            <w:tcBorders>
              <w:top w:val="single" w:color="000000" w:sz="4" w:space="0"/>
              <w:left w:val="single" w:color="000000" w:sz="4" w:space="0"/>
              <w:bottom w:val="single" w:color="000000" w:sz="4" w:space="0"/>
              <w:right w:val="single" w:color="000000" w:sz="4" w:space="0"/>
            </w:tcBorders>
            <w:noWrap/>
            <w:vAlign w:val="center"/>
          </w:tcPr>
          <w:p w14:paraId="5684E0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722320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2598" w:type="dxa"/>
            <w:tcBorders>
              <w:top w:val="single" w:color="000000" w:sz="4" w:space="0"/>
              <w:left w:val="single" w:color="000000" w:sz="4" w:space="0"/>
              <w:bottom w:val="single" w:color="000000" w:sz="4" w:space="0"/>
              <w:right w:val="single" w:color="000000" w:sz="4" w:space="0"/>
            </w:tcBorders>
            <w:noWrap/>
            <w:vAlign w:val="center"/>
          </w:tcPr>
          <w:p w14:paraId="155886A1">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规格型号</w:t>
            </w: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3C8B27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预估数量</w:t>
            </w:r>
          </w:p>
        </w:tc>
        <w:tc>
          <w:tcPr>
            <w:tcW w:w="755" w:type="dxa"/>
            <w:tcBorders>
              <w:top w:val="single" w:color="000000" w:sz="4" w:space="0"/>
              <w:left w:val="single" w:color="000000" w:sz="4" w:space="0"/>
              <w:bottom w:val="single" w:color="000000" w:sz="4" w:space="0"/>
              <w:right w:val="single" w:color="000000" w:sz="4" w:space="0"/>
            </w:tcBorders>
            <w:noWrap/>
            <w:vAlign w:val="center"/>
          </w:tcPr>
          <w:p w14:paraId="559633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68A20">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备注</w:t>
            </w:r>
          </w:p>
        </w:tc>
      </w:tr>
      <w:tr w14:paraId="0D170546">
        <w:tblPrEx>
          <w:tblCellMar>
            <w:top w:w="0" w:type="dxa"/>
            <w:left w:w="108" w:type="dxa"/>
            <w:bottom w:w="0" w:type="dxa"/>
            <w:right w:w="108" w:type="dxa"/>
          </w:tblCellMar>
        </w:tblPrEx>
        <w:trPr>
          <w:trHeight w:val="529" w:hRule="atLeast"/>
          <w:jc w:val="center"/>
        </w:trPr>
        <w:tc>
          <w:tcPr>
            <w:tcW w:w="958" w:type="dxa"/>
            <w:tcBorders>
              <w:top w:val="single" w:color="000000" w:sz="4" w:space="0"/>
              <w:left w:val="single" w:color="000000" w:sz="4" w:space="0"/>
              <w:bottom w:val="single" w:color="000000" w:sz="4" w:space="0"/>
              <w:right w:val="single" w:color="000000" w:sz="4" w:space="0"/>
            </w:tcBorders>
            <w:noWrap/>
            <w:vAlign w:val="center"/>
          </w:tcPr>
          <w:p w14:paraId="143570C6">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58199145">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擦手纸</w:t>
            </w:r>
          </w:p>
        </w:tc>
        <w:tc>
          <w:tcPr>
            <w:tcW w:w="2598" w:type="dxa"/>
            <w:tcBorders>
              <w:top w:val="single" w:color="000000" w:sz="4" w:space="0"/>
              <w:left w:val="single" w:color="000000" w:sz="4" w:space="0"/>
              <w:bottom w:val="single" w:color="000000" w:sz="4" w:space="0"/>
              <w:right w:val="single" w:color="000000" w:sz="4" w:space="0"/>
            </w:tcBorders>
            <w:noWrap w:val="0"/>
            <w:vAlign w:val="center"/>
          </w:tcPr>
          <w:p w14:paraId="09B67DEC">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纸音200张擦</w:t>
            </w:r>
          </w:p>
          <w:p w14:paraId="61C4FA3A">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手纸</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EFF60F8">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70</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14:paraId="6E2F60BD">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箱</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3B240BF6">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20包/箱</w:t>
            </w:r>
          </w:p>
        </w:tc>
      </w:tr>
      <w:tr w14:paraId="5B343679">
        <w:tblPrEx>
          <w:tblCellMar>
            <w:top w:w="0" w:type="dxa"/>
            <w:left w:w="108" w:type="dxa"/>
            <w:bottom w:w="0" w:type="dxa"/>
            <w:right w:w="108" w:type="dxa"/>
          </w:tblCellMar>
        </w:tblPrEx>
        <w:trPr>
          <w:trHeight w:val="909" w:hRule="atLeast"/>
          <w:jc w:val="center"/>
        </w:trPr>
        <w:tc>
          <w:tcPr>
            <w:tcW w:w="958" w:type="dxa"/>
            <w:tcBorders>
              <w:top w:val="single" w:color="000000" w:sz="4" w:space="0"/>
              <w:left w:val="single" w:color="000000" w:sz="4" w:space="0"/>
              <w:bottom w:val="single" w:color="000000" w:sz="4" w:space="0"/>
              <w:right w:val="single" w:color="000000" w:sz="4" w:space="0"/>
            </w:tcBorders>
            <w:noWrap/>
            <w:vAlign w:val="center"/>
          </w:tcPr>
          <w:p w14:paraId="04F559AC">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4D82F5C5">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抽纸</w:t>
            </w:r>
          </w:p>
        </w:tc>
        <w:tc>
          <w:tcPr>
            <w:tcW w:w="2598" w:type="dxa"/>
            <w:tcBorders>
              <w:top w:val="single" w:color="000000" w:sz="4" w:space="0"/>
              <w:left w:val="single" w:color="000000" w:sz="4" w:space="0"/>
              <w:bottom w:val="single" w:color="000000" w:sz="4" w:space="0"/>
              <w:right w:val="single" w:color="000000" w:sz="4" w:space="0"/>
            </w:tcBorders>
            <w:noWrap w:val="0"/>
            <w:vAlign w:val="center"/>
          </w:tcPr>
          <w:p w14:paraId="67C75C41">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纸音抽取式面巾纸可湿水四边压花504抽</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DA2D6A6">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仿宋" w:hAnsi="仿宋" w:eastAsia="仿宋" w:cs="仿宋"/>
                <w:i w:val="0"/>
                <w:iCs w:val="0"/>
                <w:color w:val="000000"/>
                <w:kern w:val="0"/>
                <w:sz w:val="24"/>
                <w:szCs w:val="24"/>
                <w:u w:val="none"/>
                <w:lang w:val="en-US" w:eastAsia="zh-CN" w:bidi="ar"/>
              </w:rPr>
            </w:pPr>
          </w:p>
          <w:p w14:paraId="3BD6A9C7">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14:paraId="682DBF8C">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仿宋" w:hAnsi="仿宋" w:eastAsia="仿宋" w:cs="仿宋"/>
                <w:i w:val="0"/>
                <w:iCs w:val="0"/>
                <w:color w:val="000000"/>
                <w:kern w:val="0"/>
                <w:sz w:val="24"/>
                <w:szCs w:val="24"/>
                <w:u w:val="none"/>
                <w:lang w:val="en-US" w:eastAsia="zh-CN" w:bidi="ar"/>
              </w:rPr>
            </w:pPr>
          </w:p>
          <w:p w14:paraId="42FCE49F">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箱</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0E9BF509">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仿宋" w:hAnsi="仿宋" w:eastAsia="仿宋" w:cs="仿宋"/>
                <w:i w:val="0"/>
                <w:iCs w:val="0"/>
                <w:color w:val="000000"/>
                <w:kern w:val="0"/>
                <w:sz w:val="24"/>
                <w:szCs w:val="24"/>
                <w:u w:val="none"/>
                <w:lang w:val="en-US" w:eastAsia="zh-CN" w:bidi="ar"/>
              </w:rPr>
            </w:pPr>
          </w:p>
          <w:p w14:paraId="55BD64F1">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80包/箱</w:t>
            </w:r>
          </w:p>
        </w:tc>
      </w:tr>
      <w:tr w14:paraId="171C40F8">
        <w:tblPrEx>
          <w:tblCellMar>
            <w:top w:w="0" w:type="dxa"/>
            <w:left w:w="108" w:type="dxa"/>
            <w:bottom w:w="0" w:type="dxa"/>
            <w:right w:w="108" w:type="dxa"/>
          </w:tblCellMar>
        </w:tblPrEx>
        <w:trPr>
          <w:trHeight w:val="529" w:hRule="atLeast"/>
          <w:jc w:val="center"/>
        </w:trPr>
        <w:tc>
          <w:tcPr>
            <w:tcW w:w="958" w:type="dxa"/>
            <w:tcBorders>
              <w:top w:val="single" w:color="000000" w:sz="4" w:space="0"/>
              <w:left w:val="single" w:color="000000" w:sz="4" w:space="0"/>
              <w:bottom w:val="single" w:color="000000" w:sz="4" w:space="0"/>
              <w:right w:val="single" w:color="000000" w:sz="4" w:space="0"/>
            </w:tcBorders>
            <w:noWrap/>
            <w:vAlign w:val="center"/>
          </w:tcPr>
          <w:p w14:paraId="260C9762">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3EB3575B">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卷筒纸</w:t>
            </w:r>
          </w:p>
        </w:tc>
        <w:tc>
          <w:tcPr>
            <w:tcW w:w="2598" w:type="dxa"/>
            <w:tcBorders>
              <w:top w:val="single" w:color="000000" w:sz="4" w:space="0"/>
              <w:left w:val="single" w:color="000000" w:sz="4" w:space="0"/>
              <w:bottom w:val="single" w:color="000000" w:sz="4" w:space="0"/>
              <w:right w:val="single" w:color="000000" w:sz="4" w:space="0"/>
            </w:tcBorders>
            <w:noWrap w:val="0"/>
            <w:vAlign w:val="center"/>
          </w:tcPr>
          <w:p w14:paraId="78AECF48">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纸音低碳200g卷筒纸</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99C6B11">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14:paraId="097752F4">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箱</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0DECB5C5">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100卷/箱</w:t>
            </w:r>
          </w:p>
        </w:tc>
      </w:tr>
    </w:tbl>
    <w:p w14:paraId="47E30BEA">
      <w:pPr>
        <w:pStyle w:val="12"/>
        <w:snapToGrid/>
        <w:spacing w:line="360" w:lineRule="auto"/>
        <w:ind w:left="0" w:leftChars="0" w:firstLine="0" w:firstLineChars="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 </w:t>
      </w:r>
    </w:p>
    <w:p w14:paraId="257A7B60">
      <w:pPr>
        <w:pStyle w:val="12"/>
        <w:numPr>
          <w:ilvl w:val="0"/>
          <w:numId w:val="0"/>
        </w:numPr>
        <w:snapToGrid/>
        <w:spacing w:line="360" w:lineRule="auto"/>
        <w:ind w:firstLine="600" w:firstLineChars="2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3.技术要求：</w:t>
      </w:r>
    </w:p>
    <w:p w14:paraId="5142F3D1">
      <w:pPr>
        <w:pStyle w:val="12"/>
        <w:numPr>
          <w:ilvl w:val="0"/>
          <w:numId w:val="0"/>
        </w:numPr>
        <w:snapToGrid/>
        <w:spacing w:line="360" w:lineRule="auto"/>
        <w:ind w:firstLine="600" w:firstLineChars="2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①保证所投产品均为“纸音”品牌原厂原装的全新合格正品，严禁提供贴牌、假冒伪劣或临期产品。</w:t>
      </w:r>
    </w:p>
    <w:p w14:paraId="785A2AEE">
      <w:pPr>
        <w:pStyle w:val="12"/>
        <w:numPr>
          <w:ilvl w:val="0"/>
          <w:numId w:val="0"/>
        </w:numPr>
        <w:snapToGrid/>
        <w:spacing w:line="360" w:lineRule="auto"/>
        <w:ind w:firstLine="600" w:firstLineChars="2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②产品质量须符合国家现行标准：擦手纸符合GB/T 24455《擦手纸》标准，卷筒纸符合GB/T 20810《卫生纸（含卫生纸原纸）》标准，抽纸符合GB/T 20808《纸巾》标准，且柔软度、吸水性、抗张强度等技术指标不低于采购人使用要求。</w:t>
      </w:r>
    </w:p>
    <w:p w14:paraId="50352179">
      <w:pPr>
        <w:pStyle w:val="12"/>
        <w:numPr>
          <w:ilvl w:val="0"/>
          <w:numId w:val="0"/>
        </w:numPr>
        <w:snapToGrid/>
        <w:spacing w:line="360" w:lineRule="auto"/>
        <w:ind w:firstLine="600" w:firstLineChars="2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③每批次货物交付时，供货方须提供该批次产品的出厂检验报告及合格证明文件，确保产品卫生安全，无毒无害。</w:t>
      </w:r>
    </w:p>
    <w:p w14:paraId="20C6E73E">
      <w:pPr>
        <w:pStyle w:val="12"/>
        <w:numPr>
          <w:ilvl w:val="0"/>
          <w:numId w:val="0"/>
        </w:numPr>
        <w:snapToGrid/>
        <w:spacing w:line="360" w:lineRule="auto"/>
        <w:ind w:firstLine="600" w:firstLineChars="200"/>
        <w:rPr>
          <w:rFonts w:hint="eastAsia" w:ascii="仿宋" w:hAnsi="仿宋" w:eastAsia="仿宋" w:cs="仿宋"/>
          <w:sz w:val="30"/>
          <w:szCs w:val="30"/>
          <w:highlight w:val="yellow"/>
          <w:lang w:val="en-US" w:eastAsia="zh-CN"/>
        </w:rPr>
      </w:pPr>
      <w:r>
        <w:rPr>
          <w:rFonts w:hint="eastAsia" w:ascii="仿宋" w:hAnsi="仿宋" w:eastAsia="仿宋" w:cs="仿宋"/>
          <w:kern w:val="2"/>
          <w:sz w:val="30"/>
          <w:szCs w:val="30"/>
          <w:lang w:val="en-US" w:eastAsia="zh-CN" w:bidi="ar-SA"/>
        </w:rPr>
        <w:t>④产品包装应完好无损，标识清晰：擦手纸注明“擦手专用”，卷筒纸注明“卫生纸（卷筒）”，抽纸注明“纸巾（抽纸</w:t>
      </w:r>
      <w:r>
        <w:rPr>
          <w:rFonts w:hint="eastAsia" w:ascii="仿宋" w:hAnsi="仿宋" w:eastAsia="仿宋" w:cs="仿宋"/>
          <w:kern w:val="2"/>
          <w:sz w:val="30"/>
          <w:szCs w:val="30"/>
          <w:highlight w:val="none"/>
          <w:lang w:val="en-US" w:eastAsia="zh-CN" w:bidi="ar-SA"/>
        </w:rPr>
        <w:t>）”，并标注规格、数量、生产日期及保质期，满足采购人存储及使用需求</w:t>
      </w:r>
      <w:r>
        <w:rPr>
          <w:rFonts w:hint="eastAsia" w:ascii="仿宋" w:hAnsi="仿宋" w:eastAsia="仿宋" w:cs="仿宋"/>
          <w:sz w:val="30"/>
          <w:szCs w:val="30"/>
          <w:highlight w:val="none"/>
          <w:lang w:val="en-US" w:eastAsia="zh-CN"/>
        </w:rPr>
        <w:t>。</w:t>
      </w:r>
    </w:p>
    <w:p w14:paraId="5260B29F">
      <w:pPr>
        <w:pStyle w:val="12"/>
        <w:numPr>
          <w:ilvl w:val="0"/>
          <w:numId w:val="0"/>
        </w:numPr>
        <w:snapToGrid/>
        <w:spacing w:line="360" w:lineRule="auto"/>
        <w:ind w:firstLine="600" w:firstLineChars="200"/>
        <w:rPr>
          <w:rFonts w:hint="eastAsia" w:ascii="仿宋" w:hAnsi="仿宋" w:eastAsia="仿宋" w:cs="仿宋"/>
          <w:sz w:val="30"/>
          <w:szCs w:val="30"/>
          <w:highlight w:val="none"/>
          <w:lang w:eastAsia="zh-CN"/>
        </w:rPr>
      </w:pPr>
      <w:r>
        <w:rPr>
          <w:rFonts w:hint="eastAsia" w:ascii="仿宋" w:hAnsi="仿宋" w:eastAsia="仿宋" w:cs="仿宋"/>
          <w:kern w:val="2"/>
          <w:sz w:val="30"/>
          <w:szCs w:val="30"/>
          <w:lang w:val="en-US" w:eastAsia="zh-CN" w:bidi="ar-SA"/>
        </w:rPr>
        <w:t>4.</w:t>
      </w:r>
      <w:r>
        <w:rPr>
          <w:rFonts w:hint="eastAsia" w:ascii="仿宋" w:hAnsi="仿宋" w:eastAsia="仿宋" w:cs="仿宋"/>
          <w:sz w:val="30"/>
          <w:szCs w:val="30"/>
          <w:highlight w:val="none"/>
        </w:rPr>
        <w:t>本项目采购总金额限价为</w:t>
      </w:r>
      <w:r>
        <w:rPr>
          <w:rFonts w:hint="eastAsia" w:ascii="仿宋" w:hAnsi="仿宋" w:eastAsia="仿宋" w:cs="仿宋"/>
          <w:sz w:val="30"/>
          <w:szCs w:val="30"/>
          <w:highlight w:val="none"/>
          <w:lang w:eastAsia="zh-CN"/>
        </w:rPr>
        <w:t>人民币</w:t>
      </w:r>
      <w:r>
        <w:rPr>
          <w:rFonts w:hint="eastAsia" w:ascii="仿宋" w:hAnsi="仿宋" w:eastAsia="仿宋" w:cs="仿宋"/>
          <w:sz w:val="30"/>
          <w:szCs w:val="30"/>
          <w:highlight w:val="none"/>
          <w:lang w:val="en-US" w:eastAsia="zh-CN"/>
        </w:rPr>
        <w:t>2.9万</w:t>
      </w:r>
      <w:r>
        <w:rPr>
          <w:rFonts w:hint="eastAsia" w:ascii="仿宋" w:hAnsi="仿宋" w:eastAsia="仿宋" w:cs="仿宋"/>
          <w:sz w:val="30"/>
          <w:szCs w:val="30"/>
          <w:highlight w:val="none"/>
        </w:rPr>
        <w:t>元。</w:t>
      </w:r>
    </w:p>
    <w:p w14:paraId="7BFF74C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highlight w:val="none"/>
          <w:lang w:eastAsia="zh-CN"/>
        </w:rPr>
      </w:pPr>
      <w:r>
        <w:rPr>
          <w:rFonts w:hint="eastAsia" w:ascii="仿宋_GB2312" w:eastAsia="仿宋_GB2312"/>
          <w:b/>
          <w:bCs/>
          <w:sz w:val="30"/>
          <w:szCs w:val="30"/>
          <w:highlight w:val="none"/>
          <w:lang w:eastAsia="zh-CN"/>
        </w:rPr>
        <w:t>二、供应商要求。</w:t>
      </w:r>
    </w:p>
    <w:p w14:paraId="3A28D20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highlight w:val="none"/>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w:t>
      </w:r>
      <w:r>
        <w:rPr>
          <w:rFonts w:hint="eastAsia" w:ascii="仿宋" w:hAnsi="仿宋" w:eastAsia="仿宋" w:cs="仿宋"/>
          <w:sz w:val="30"/>
          <w:szCs w:val="30"/>
          <w:highlight w:val="none"/>
          <w:lang w:val="en-US" w:eastAsia="zh-CN"/>
        </w:rPr>
        <w:t>投标人经营范围须包含相关的销售资质。</w:t>
      </w:r>
    </w:p>
    <w:p w14:paraId="2DFB282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14:paraId="23F826D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14:paraId="50BB5A9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w:t>
      </w:r>
    </w:p>
    <w:p w14:paraId="60780F04">
      <w:pPr>
        <w:pStyle w:val="1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5.本项目内容不允许分包。</w:t>
      </w:r>
    </w:p>
    <w:p w14:paraId="31202C6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bookmarkStart w:id="7" w:name="_Toc530583879"/>
      <w:bookmarkStart w:id="8" w:name="_Toc530583922"/>
      <w:bookmarkStart w:id="9" w:name="_Toc530583880"/>
      <w:bookmarkStart w:id="10" w:name="_Toc530583923"/>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14:paraId="0AA8C9E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6月5</w:t>
      </w:r>
      <w:r>
        <w:rPr>
          <w:rFonts w:hint="eastAsia" w:ascii="仿宋_GB2312" w:eastAsia="仿宋_GB2312"/>
          <w:sz w:val="30"/>
          <w:szCs w:val="30"/>
        </w:rPr>
        <w:t>日。</w:t>
      </w:r>
    </w:p>
    <w:p w14:paraId="413918B7">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14:paraId="00939C8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14:paraId="33FF4D8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2F8A847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14:paraId="3D818B1D">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p>
    <w:p w14:paraId="69476E1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报价文件邮递递交截止时间：截至202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6</w:t>
      </w:r>
      <w:r>
        <w:rPr>
          <w:rFonts w:hint="eastAsia" w:ascii="仿宋_GB2312" w:eastAsia="仿宋_GB2312"/>
          <w:sz w:val="30"/>
          <w:szCs w:val="30"/>
        </w:rPr>
        <w:t>月</w:t>
      </w:r>
      <w:r>
        <w:rPr>
          <w:rFonts w:hint="eastAsia" w:ascii="仿宋_GB2312" w:eastAsia="仿宋_GB2312"/>
          <w:sz w:val="30"/>
          <w:szCs w:val="30"/>
          <w:lang w:val="en-US" w:eastAsia="zh-CN"/>
        </w:rPr>
        <w:t>4日</w:t>
      </w:r>
      <w:r>
        <w:rPr>
          <w:rFonts w:hint="eastAsia" w:ascii="仿宋_GB2312" w:eastAsia="仿宋_GB2312"/>
          <w:sz w:val="30"/>
          <w:szCs w:val="30"/>
        </w:rPr>
        <w:t>，以邮寄签收时间为准，因邮寄原因导致报价文件不能如期送达等风险由供应商自行承担。</w:t>
      </w:r>
    </w:p>
    <w:p w14:paraId="69EA963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14:paraId="4F6C3BF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6E0CCEBB">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w:t>
      </w:r>
      <w:r>
        <w:rPr>
          <w:rFonts w:hint="eastAsia" w:ascii="仿宋_GB2312" w:eastAsia="仿宋_GB2312" w:cs="Times New Roman"/>
          <w:sz w:val="30"/>
          <w:szCs w:val="30"/>
          <w:lang w:val="en-US" w:eastAsia="zh-CN"/>
        </w:rPr>
        <w:t>杨</w:t>
      </w:r>
      <w:r>
        <w:rPr>
          <w:rFonts w:hint="eastAsia" w:ascii="仿宋_GB2312" w:hAnsi="Times New Roman" w:eastAsia="仿宋_GB2312" w:cs="Times New Roman"/>
          <w:sz w:val="30"/>
          <w:szCs w:val="30"/>
          <w:lang w:val="en-US" w:eastAsia="zh-CN"/>
        </w:rPr>
        <w:t>工    联系电话：18</w:t>
      </w:r>
      <w:r>
        <w:rPr>
          <w:rFonts w:hint="eastAsia" w:ascii="仿宋_GB2312" w:eastAsia="仿宋_GB2312" w:cs="Times New Roman"/>
          <w:sz w:val="30"/>
          <w:szCs w:val="30"/>
          <w:lang w:val="en-US" w:eastAsia="zh-CN"/>
        </w:rPr>
        <w:t>857591913</w:t>
      </w:r>
    </w:p>
    <w:p w14:paraId="67FB804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14:paraId="6C81090D">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14:paraId="483B6D10">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14:paraId="2E58BB0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62C16CA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w:t>
      </w:r>
      <w:r>
        <w:rPr>
          <w:rFonts w:hint="eastAsia" w:ascii="仿宋_GB2312" w:eastAsia="仿宋_GB2312" w:cs="Times New Roman"/>
          <w:color w:val="auto"/>
          <w:sz w:val="30"/>
          <w:szCs w:val="30"/>
          <w:lang w:val="en-US" w:eastAsia="zh-CN"/>
        </w:rPr>
        <w:t>0575-85791902</w:t>
      </w:r>
    </w:p>
    <w:p w14:paraId="7336D46D">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14:paraId="10380F46">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2026</w:t>
      </w:r>
      <w:r>
        <w:rPr>
          <w:rFonts w:hint="default" w:ascii="仿宋_GB2312" w:eastAsia="仿宋_GB2312"/>
          <w:sz w:val="30"/>
          <w:szCs w:val="30"/>
          <w:lang w:val="en-US"/>
        </w:rPr>
        <w:t>年</w:t>
      </w:r>
      <w:r>
        <w:rPr>
          <w:rFonts w:hint="eastAsia" w:ascii="仿宋_GB2312" w:eastAsia="仿宋_GB2312"/>
          <w:sz w:val="30"/>
          <w:szCs w:val="30"/>
          <w:lang w:val="en-US" w:eastAsia="zh-CN"/>
        </w:rPr>
        <w:t>5月29</w:t>
      </w:r>
      <w:r>
        <w:rPr>
          <w:rFonts w:hint="eastAsia" w:ascii="仿宋_GB2312" w:eastAsia="仿宋_GB2312"/>
          <w:sz w:val="30"/>
          <w:szCs w:val="30"/>
        </w:rPr>
        <w:t>日</w:t>
      </w:r>
    </w:p>
    <w:p w14:paraId="1D36769C">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hint="eastAsia" w:ascii="仿宋" w:hAnsi="仿宋" w:eastAsia="仿宋" w:cs="仿宋"/>
          <w:b/>
          <w:snapToGrid w:val="0"/>
          <w:color w:val="000000"/>
          <w:kern w:val="44"/>
          <w:sz w:val="44"/>
          <w:szCs w:val="44"/>
          <w:lang w:val="en-US" w:eastAsia="zh-CN" w:bidi="ar-SA"/>
        </w:rPr>
      </w:pPr>
    </w:p>
    <w:p w14:paraId="58AC69DC">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hint="eastAsia" w:ascii="仿宋" w:hAnsi="仿宋" w:eastAsia="仿宋" w:cs="仿宋"/>
          <w:b/>
          <w:snapToGrid w:val="0"/>
          <w:color w:val="000000"/>
          <w:kern w:val="44"/>
          <w:sz w:val="44"/>
          <w:szCs w:val="44"/>
          <w:lang w:val="en-US" w:eastAsia="zh-CN" w:bidi="ar-SA"/>
        </w:rPr>
      </w:pPr>
    </w:p>
    <w:p w14:paraId="758970A0">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ascii="仿宋_GB2312" w:eastAsia="仿宋_GB2312"/>
          <w:snapToGrid w:val="0"/>
          <w:sz w:val="30"/>
          <w:szCs w:val="30"/>
        </w:rPr>
      </w:pPr>
      <w:r>
        <w:rPr>
          <w:rFonts w:hint="eastAsia" w:ascii="仿宋" w:hAnsi="仿宋" w:eastAsia="仿宋" w:cs="仿宋"/>
          <w:b/>
          <w:snapToGrid w:val="0"/>
          <w:color w:val="000000"/>
          <w:kern w:val="44"/>
          <w:sz w:val="44"/>
          <w:szCs w:val="44"/>
          <w:lang w:val="en-US" w:eastAsia="zh-CN" w:bidi="ar-SA"/>
        </w:rPr>
        <w:t>第二部分   采购须知</w:t>
      </w:r>
      <w:bookmarkEnd w:id="7"/>
      <w:bookmarkEnd w:id="8"/>
    </w:p>
    <w:p w14:paraId="5DF30CDF">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14:paraId="43837104">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14:paraId="20D0069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14:paraId="4007F918">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14:paraId="2BE745B7">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14:paraId="53DF06A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14:paraId="4083C06F">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14:paraId="764FA82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14:paraId="120E9D1B">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14:paraId="4212F15E">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14:paraId="79BDD39B">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14:paraId="1538DA94">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14:paraId="2E17C05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14:paraId="46EEF3F4">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14:paraId="0A4B3DF9">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14:paraId="05C2F5B4">
      <w:pPr>
        <w:pageBreakBefore w:val="0"/>
        <w:kinsoku/>
        <w:wordWrap/>
        <w:topLinePunct w:val="0"/>
        <w:bidi w:val="0"/>
        <w:snapToGrid w:val="0"/>
        <w:spacing w:line="360" w:lineRule="auto"/>
        <w:ind w:firstLine="600" w:firstLineChars="200"/>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1.</w:t>
      </w:r>
      <w:r>
        <w:rPr>
          <w:rFonts w:hint="eastAsia" w:ascii="仿宋_GB2312" w:hAnsi="宋体" w:eastAsia="仿宋_GB2312"/>
          <w:sz w:val="30"/>
          <w:szCs w:val="30"/>
        </w:rPr>
        <w:t>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w:t>
      </w:r>
      <w:r>
        <w:rPr>
          <w:rFonts w:hint="eastAsia" w:ascii="仿宋_GB2312" w:hAnsi="宋体" w:eastAsia="仿宋_GB2312"/>
          <w:sz w:val="30"/>
          <w:szCs w:val="30"/>
          <w:lang w:eastAsia="zh-CN"/>
        </w:rPr>
        <w:t>；</w:t>
      </w:r>
    </w:p>
    <w:p w14:paraId="7B4BC3D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2</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14:paraId="12D2C136">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lang w:val="en-US" w:eastAsia="zh-CN"/>
        </w:rPr>
        <w:t>3</w:t>
      </w:r>
      <w:r>
        <w:rPr>
          <w:rFonts w:hint="eastAsia" w:ascii="仿宋_GB2312" w:hAnsi="宋体" w:eastAsia="仿宋_GB2312"/>
          <w:sz w:val="30"/>
          <w:szCs w:val="30"/>
        </w:rPr>
        <w:t>.</w:t>
      </w:r>
      <w:r>
        <w:rPr>
          <w:rFonts w:hint="eastAsia" w:ascii="仿宋_GB2312" w:hAnsi="宋体" w:eastAsia="仿宋_GB2312"/>
          <w:sz w:val="30"/>
          <w:szCs w:val="30"/>
          <w:lang w:val="en-US" w:eastAsia="zh-CN"/>
        </w:rPr>
        <w:t>服务</w:t>
      </w:r>
      <w:r>
        <w:rPr>
          <w:rFonts w:hint="eastAsia" w:ascii="仿宋_GB2312" w:hAnsi="宋体" w:eastAsia="仿宋_GB2312"/>
          <w:sz w:val="30"/>
          <w:szCs w:val="30"/>
        </w:rPr>
        <w:t>质量保证承诺函（附件</w:t>
      </w:r>
      <w:r>
        <w:rPr>
          <w:rFonts w:hint="eastAsia" w:ascii="仿宋_GB2312" w:hAnsi="宋体" w:eastAsia="仿宋_GB2312"/>
          <w:sz w:val="30"/>
          <w:szCs w:val="30"/>
          <w:lang w:val="en-US" w:eastAsia="zh-CN"/>
        </w:rPr>
        <w:t>三</w:t>
      </w:r>
      <w:r>
        <w:rPr>
          <w:rFonts w:hint="eastAsia" w:ascii="仿宋_GB2312" w:hAnsi="宋体" w:eastAsia="仿宋_GB2312"/>
          <w:sz w:val="30"/>
          <w:szCs w:val="30"/>
        </w:rPr>
        <w:t>）；</w:t>
      </w:r>
    </w:p>
    <w:p w14:paraId="12B87EAC">
      <w:pPr>
        <w:pageBreakBefore w:val="0"/>
        <w:kinsoku/>
        <w:wordWrap/>
        <w:topLinePunct w:val="0"/>
        <w:bidi w:val="0"/>
        <w:snapToGrid w:val="0"/>
        <w:spacing w:line="360" w:lineRule="auto"/>
        <w:ind w:firstLine="600" w:firstLineChars="200"/>
        <w:rPr>
          <w:rFonts w:hint="default" w:ascii="仿宋_GB2312" w:hAnsi="宋体" w:eastAsia="仿宋_GB2312"/>
          <w:b/>
          <w:bCs/>
          <w:color w:val="FF0000"/>
          <w:sz w:val="30"/>
          <w:szCs w:val="30"/>
          <w:lang w:eastAsia="zh-CN"/>
        </w:rPr>
      </w:pPr>
      <w:r>
        <w:rPr>
          <w:rFonts w:hint="eastAsia" w:ascii="仿宋_GB2312" w:hAnsi="宋体" w:eastAsia="仿宋_GB2312"/>
          <w:sz w:val="30"/>
          <w:szCs w:val="30"/>
          <w:lang w:val="en-US" w:eastAsia="zh-CN"/>
        </w:rPr>
        <w:t>4</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14:paraId="1795959B">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14:paraId="44552339">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14:paraId="1C725121">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14:paraId="180F98EB">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14:paraId="4D53D4E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14:paraId="0C872476">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14:paraId="5F467F6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14:paraId="3AB08411">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14:paraId="4F980AA5">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14:paraId="58405848">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14:paraId="7952F743">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14:paraId="0EAA2AE1">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14:paraId="327EDD2E">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14:paraId="3D6E035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14:paraId="31661636">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14:paraId="0EE49715">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14:paraId="22F7029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18A6B925">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14:paraId="1CC95567">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14:paraId="1E895EF2">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14:paraId="58BE4334">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14:paraId="140DA1A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14:paraId="18E1B25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14:paraId="0199C01A">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14:paraId="20EDC6C4">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14:paraId="31C36D9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14:paraId="16687E2F">
      <w:pPr>
        <w:pageBreakBefore w:val="0"/>
        <w:kinsoku/>
        <w:wordWrap/>
        <w:topLinePunct w:val="0"/>
        <w:bidi w:val="0"/>
        <w:snapToGrid w:val="0"/>
        <w:spacing w:line="360" w:lineRule="auto"/>
        <w:ind w:firstLine="602" w:firstLineChars="200"/>
        <w:jc w:val="left"/>
        <w:outlineLvl w:val="1"/>
        <w:rPr>
          <w:rFonts w:ascii="仿宋_GB2312" w:eastAsia="仿宋_GB2312"/>
          <w:b/>
          <w:bCs/>
          <w:color w:val="auto"/>
          <w:sz w:val="30"/>
          <w:szCs w:val="30"/>
          <w:highlight w:val="none"/>
        </w:rPr>
      </w:pPr>
      <w:r>
        <w:rPr>
          <w:rFonts w:hint="eastAsia" w:ascii="仿宋_GB2312" w:eastAsia="仿宋_GB2312"/>
          <w:b/>
          <w:bCs/>
          <w:color w:val="auto"/>
          <w:sz w:val="30"/>
          <w:szCs w:val="30"/>
          <w:highlight w:val="none"/>
          <w:lang w:eastAsia="zh-CN"/>
        </w:rPr>
        <w:t>十一、</w:t>
      </w:r>
      <w:r>
        <w:rPr>
          <w:rFonts w:hint="eastAsia" w:ascii="仿宋_GB2312" w:eastAsia="仿宋_GB2312"/>
          <w:b/>
          <w:bCs/>
          <w:color w:val="auto"/>
          <w:sz w:val="30"/>
          <w:szCs w:val="30"/>
          <w:highlight w:val="none"/>
        </w:rPr>
        <w:t>成交原则与</w:t>
      </w:r>
      <w:r>
        <w:rPr>
          <w:rFonts w:hint="eastAsia" w:ascii="仿宋_GB2312" w:eastAsia="仿宋_GB2312"/>
          <w:b/>
          <w:bCs/>
          <w:color w:val="auto"/>
          <w:sz w:val="30"/>
          <w:szCs w:val="30"/>
          <w:highlight w:val="none"/>
          <w:lang w:val="en-US" w:eastAsia="zh-CN"/>
        </w:rPr>
        <w:t>二次报价</w:t>
      </w:r>
      <w:r>
        <w:rPr>
          <w:rFonts w:hint="eastAsia" w:ascii="仿宋_GB2312" w:eastAsia="仿宋_GB2312"/>
          <w:b/>
          <w:bCs/>
          <w:color w:val="auto"/>
          <w:sz w:val="30"/>
          <w:szCs w:val="30"/>
          <w:highlight w:val="none"/>
        </w:rPr>
        <w:t>。</w:t>
      </w:r>
    </w:p>
    <w:p w14:paraId="6A6C15B8">
      <w:pPr>
        <w:pageBreakBefore w:val="0"/>
        <w:kinsoku/>
        <w:wordWrap/>
        <w:topLinePunct w:val="0"/>
        <w:bidi w:val="0"/>
        <w:snapToGrid w:val="0"/>
        <w:spacing w:line="360" w:lineRule="auto"/>
        <w:ind w:firstLine="600" w:firstLineChars="200"/>
        <w:jc w:val="lef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（一）为保障公司利益最大化，在初次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基础上，我司将开展二次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工作。</w:t>
      </w:r>
      <w:r>
        <w:rPr>
          <w:rFonts w:hint="eastAsia" w:ascii="仿宋_GB2312" w:eastAsia="仿宋_GB2312"/>
          <w:color w:val="auto"/>
          <w:sz w:val="30"/>
          <w:szCs w:val="30"/>
          <w:highlight w:val="none"/>
          <w:lang w:eastAsia="zh-CN"/>
        </w:rPr>
        <w:t>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将针对初次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中部分关键条款或价格存在调整空间的物资/服务，</w:t>
      </w:r>
      <w:r>
        <w:rPr>
          <w:rFonts w:hint="eastAsia" w:ascii="仿宋_GB2312" w:eastAsia="仿宋_GB2312"/>
          <w:color w:val="auto"/>
          <w:sz w:val="30"/>
          <w:szCs w:val="30"/>
          <w:highlight w:val="none"/>
          <w:lang w:val="en-US" w:eastAsia="zh-CN"/>
        </w:rPr>
        <w:t>遵循公平、公正、公开的原则进行。</w:t>
      </w:r>
      <w:r>
        <w:rPr>
          <w:rFonts w:hint="eastAsia" w:ascii="仿宋_GB2312" w:eastAsia="仿宋_GB2312"/>
          <w:color w:val="auto"/>
          <w:sz w:val="30"/>
          <w:szCs w:val="30"/>
          <w:highlight w:val="none"/>
          <w:lang w:eastAsia="zh-CN"/>
        </w:rPr>
        <w:t>参与二次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的供应商需严格按照</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lang w:eastAsia="zh-CN"/>
        </w:rPr>
        <w:t>提供的二次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文件要求，在规定的时间内提交详细且具有竞争力的报价及相关说明。报价应涵盖所有费用明细，确保清晰透明。供应商在二次报价时，除需提供更新后的价格信息外，还需对初次报价中的相关疑问或我司提出的特定要求做出明确回应，确保报价的完整性与准确性。</w:t>
      </w:r>
      <w:r>
        <w:rPr>
          <w:rFonts w:hint="eastAsia" w:ascii="仿宋_GB2312" w:eastAsia="仿宋_GB2312"/>
          <w:color w:val="auto"/>
          <w:sz w:val="30"/>
          <w:szCs w:val="30"/>
          <w:highlight w:val="none"/>
          <w:lang w:val="en-US" w:eastAsia="zh-CN"/>
        </w:rPr>
        <w:t>采购人将严格按照既定的招标流程和时间安排，向符合条件的供应商电话发出二次报价通知。供应商的二次报价一经提交，不得更改。采购人</w:t>
      </w:r>
      <w:r>
        <w:rPr>
          <w:rFonts w:hint="eastAsia" w:ascii="仿宋_GB2312" w:eastAsia="仿宋_GB2312"/>
          <w:color w:val="auto"/>
          <w:sz w:val="30"/>
          <w:szCs w:val="30"/>
          <w:highlight w:val="none"/>
        </w:rPr>
        <w:t>组织评审小组对各单位的</w:t>
      </w:r>
      <w:r>
        <w:rPr>
          <w:rFonts w:hint="eastAsia" w:ascii="仿宋_GB2312" w:eastAsia="仿宋_GB2312"/>
          <w:color w:val="auto"/>
          <w:sz w:val="30"/>
          <w:szCs w:val="30"/>
          <w:highlight w:val="none"/>
          <w:lang w:val="en-US" w:eastAsia="zh-CN"/>
        </w:rPr>
        <w:t>二次</w:t>
      </w:r>
      <w:r>
        <w:rPr>
          <w:rFonts w:hint="eastAsia" w:ascii="仿宋_GB2312" w:eastAsia="仿宋_GB2312"/>
          <w:color w:val="auto"/>
          <w:sz w:val="30"/>
          <w:szCs w:val="30"/>
          <w:highlight w:val="none"/>
        </w:rPr>
        <w:t>报价资料</w:t>
      </w:r>
      <w:r>
        <w:rPr>
          <w:rFonts w:hint="eastAsia" w:ascii="仿宋_GB2312" w:eastAsia="仿宋_GB2312"/>
          <w:color w:val="auto"/>
          <w:sz w:val="30"/>
          <w:szCs w:val="30"/>
          <w:highlight w:val="none"/>
          <w:lang w:val="en-US" w:eastAsia="zh-CN"/>
        </w:rPr>
        <w:t>当场</w:t>
      </w:r>
      <w:r>
        <w:rPr>
          <w:rFonts w:hint="eastAsia" w:ascii="仿宋_GB2312" w:eastAsia="仿宋_GB2312"/>
          <w:color w:val="auto"/>
          <w:sz w:val="30"/>
          <w:szCs w:val="30"/>
          <w:highlight w:val="none"/>
        </w:rPr>
        <w:t>进行审核，在满足</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要求的前提下，</w:t>
      </w:r>
      <w:r>
        <w:rPr>
          <w:rFonts w:hint="eastAsia" w:ascii="仿宋_GB2312" w:eastAsia="仿宋_GB2312"/>
          <w:color w:val="auto"/>
          <w:sz w:val="30"/>
          <w:szCs w:val="30"/>
          <w:highlight w:val="none"/>
          <w:lang w:eastAsia="zh-CN"/>
        </w:rPr>
        <w:t>以二次报价</w:t>
      </w:r>
      <w:r>
        <w:rPr>
          <w:rFonts w:hint="eastAsia" w:ascii="仿宋_GB2312" w:eastAsia="仿宋_GB2312"/>
          <w:color w:val="auto"/>
          <w:sz w:val="30"/>
          <w:szCs w:val="30"/>
          <w:highlight w:val="none"/>
        </w:rPr>
        <w:t>金额最低价成交的原则确定</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若出现税率不一致的情况，以除税</w:t>
      </w:r>
      <w:r>
        <w:rPr>
          <w:rFonts w:hint="eastAsia" w:ascii="仿宋_GB2312" w:eastAsia="仿宋_GB2312"/>
          <w:color w:val="auto"/>
          <w:sz w:val="30"/>
          <w:szCs w:val="30"/>
          <w:highlight w:val="none"/>
          <w:lang w:eastAsia="zh-CN"/>
        </w:rPr>
        <w:t>总金额</w:t>
      </w:r>
      <w:r>
        <w:rPr>
          <w:rFonts w:hint="eastAsia" w:ascii="仿宋_GB2312" w:eastAsia="仿宋_GB2312"/>
          <w:color w:val="auto"/>
          <w:sz w:val="30"/>
          <w:szCs w:val="30"/>
          <w:highlight w:val="none"/>
        </w:rPr>
        <w:t>相对比。如果出现相同总金额最低报价情况时，总金额最低报价相同的</w:t>
      </w:r>
      <w:r>
        <w:rPr>
          <w:rFonts w:hint="eastAsia" w:ascii="仿宋_GB2312" w:eastAsia="仿宋_GB2312"/>
          <w:color w:val="auto"/>
          <w:sz w:val="30"/>
          <w:szCs w:val="30"/>
          <w:highlight w:val="none"/>
          <w:lang w:val="en-US" w:eastAsia="zh-CN"/>
        </w:rPr>
        <w:t>报价人</w:t>
      </w:r>
      <w:r>
        <w:rPr>
          <w:rFonts w:hint="eastAsia" w:ascii="仿宋_GB2312" w:eastAsia="仿宋_GB2312"/>
          <w:color w:val="auto"/>
          <w:sz w:val="30"/>
          <w:szCs w:val="30"/>
          <w:highlight w:val="none"/>
        </w:rPr>
        <w:t>再进行一轮报价。如报价再相同，则由</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抽签决定</w:t>
      </w:r>
      <w:r>
        <w:rPr>
          <w:rFonts w:hint="eastAsia" w:ascii="仿宋_GB2312" w:eastAsia="仿宋_GB2312"/>
          <w:color w:val="auto"/>
          <w:sz w:val="30"/>
          <w:szCs w:val="30"/>
          <w:highlight w:val="none"/>
          <w:lang w:val="en-US" w:eastAsia="zh-CN"/>
        </w:rPr>
        <w:t>中标单位。</w:t>
      </w:r>
    </w:p>
    <w:p w14:paraId="4ED82A19">
      <w:pPr>
        <w:pStyle w:val="12"/>
        <w:snapToGrid/>
        <w:spacing w:line="360" w:lineRule="auto"/>
        <w:rPr>
          <w:rFonts w:hint="eastAsia"/>
          <w:color w:val="auto"/>
          <w:lang w:eastAsia="zh-CN"/>
        </w:rPr>
      </w:pP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二次报价流程仅限于采购总金额限价人民币10万元（含）以上的采购项目展开，若采购总金额限价低于人民币10万元（不含）则不进行二次报价，以初次递交报价文件为最终报价。</w:t>
      </w:r>
    </w:p>
    <w:p w14:paraId="3678CC37">
      <w:pPr>
        <w:pStyle w:val="12"/>
        <w:snapToGrid/>
        <w:spacing w:line="360" w:lineRule="auto"/>
        <w:ind w:left="0" w:leftChars="0" w:firstLine="600" w:firstLineChars="0"/>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三）参与二次报价的供应商需在接到采购人电话通知后30分钟内将盖章后的二次报价文件电子版发至邮箱dzw@sxszsny.com。若超过30分钟采购人未收到准确有效的二次报价文件，则默认供应商保持原价。二次报价文件内容参照附件“二次报价一览表”。</w:t>
      </w:r>
    </w:p>
    <w:p w14:paraId="173ABC32">
      <w:pPr>
        <w:pageBreakBefore w:val="0"/>
        <w:kinsoku/>
        <w:wordWrap/>
        <w:topLinePunct w:val="0"/>
        <w:bidi w:val="0"/>
        <w:snapToGrid w:val="0"/>
        <w:spacing w:line="360" w:lineRule="auto"/>
        <w:ind w:left="974" w:leftChars="64" w:hanging="840" w:hangingChars="280"/>
        <w:jc w:val="left"/>
        <w:rPr>
          <w:rFonts w:ascii="仿宋_GB2312" w:eastAsia="仿宋_GB2312"/>
          <w:color w:val="FF0000"/>
          <w:sz w:val="30"/>
          <w:szCs w:val="30"/>
        </w:rPr>
      </w:pPr>
      <w:r>
        <w:rPr>
          <w:rFonts w:hint="eastAsia" w:ascii="仿宋_GB2312" w:eastAsia="仿宋_GB2312"/>
          <w:color w:val="auto"/>
          <w:sz w:val="30"/>
          <w:szCs w:val="30"/>
          <w:highlight w:val="none"/>
        </w:rPr>
        <w:t xml:space="preserve">   （</w:t>
      </w:r>
      <w:r>
        <w:rPr>
          <w:rFonts w:hint="eastAsia" w:ascii="仿宋_GB2312" w:eastAsia="仿宋_GB2312"/>
          <w:color w:val="auto"/>
          <w:sz w:val="30"/>
          <w:szCs w:val="30"/>
          <w:highlight w:val="none"/>
          <w:lang w:val="en-US" w:eastAsia="zh-CN"/>
        </w:rPr>
        <w:t>四</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不向未</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解释未成交原因，不退还报价文件。</w:t>
      </w:r>
    </w:p>
    <w:p w14:paraId="3C6B639F">
      <w:pPr>
        <w:pStyle w:val="19"/>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14:paraId="5FFD1E09">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14:paraId="405C3781">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14:paraId="0C9676D1">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4074EFDB">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5591EA2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20EFCCD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45B2CF7C">
      <w:pPr>
        <w:pStyle w:val="2"/>
        <w:numPr>
          <w:ilvl w:val="0"/>
          <w:numId w:val="0"/>
        </w:numPr>
        <w:jc w:val="center"/>
        <w:outlineLvl w:val="9"/>
        <w:rPr>
          <w:rFonts w:hint="eastAsia" w:ascii="仿宋" w:hAnsi="仿宋" w:eastAsia="仿宋" w:cs="仿宋"/>
          <w:snapToGrid w:val="0"/>
          <w:sz w:val="44"/>
          <w:szCs w:val="44"/>
        </w:rPr>
      </w:pPr>
    </w:p>
    <w:p w14:paraId="5CB04477">
      <w:pPr>
        <w:rPr>
          <w:rFonts w:hint="eastAsia" w:ascii="仿宋" w:hAnsi="仿宋" w:eastAsia="仿宋" w:cs="仿宋"/>
          <w:snapToGrid w:val="0"/>
          <w:sz w:val="44"/>
          <w:szCs w:val="44"/>
        </w:rPr>
      </w:pPr>
    </w:p>
    <w:p w14:paraId="13A683CE">
      <w:pPr>
        <w:pStyle w:val="4"/>
        <w:rPr>
          <w:rFonts w:hint="eastAsia" w:ascii="仿宋" w:hAnsi="仿宋" w:eastAsia="仿宋" w:cs="仿宋"/>
          <w:snapToGrid w:val="0"/>
          <w:sz w:val="44"/>
          <w:szCs w:val="44"/>
        </w:rPr>
      </w:pPr>
    </w:p>
    <w:p w14:paraId="1643322B">
      <w:pPr>
        <w:pStyle w:val="11"/>
        <w:rPr>
          <w:rFonts w:hint="eastAsia" w:ascii="仿宋" w:hAnsi="仿宋" w:eastAsia="仿宋" w:cs="仿宋"/>
          <w:snapToGrid w:val="0"/>
          <w:sz w:val="44"/>
          <w:szCs w:val="44"/>
        </w:rPr>
      </w:pPr>
    </w:p>
    <w:p w14:paraId="6F7B1054">
      <w:pPr>
        <w:rPr>
          <w:rFonts w:hint="eastAsia" w:ascii="仿宋" w:hAnsi="仿宋" w:eastAsia="仿宋" w:cs="仿宋"/>
          <w:snapToGrid w:val="0"/>
          <w:sz w:val="44"/>
          <w:szCs w:val="44"/>
        </w:rPr>
      </w:pPr>
    </w:p>
    <w:p w14:paraId="070A749E">
      <w:pPr>
        <w:rPr>
          <w:rFonts w:hint="eastAsia" w:ascii="仿宋" w:hAnsi="仿宋" w:eastAsia="仿宋" w:cs="仿宋"/>
          <w:snapToGrid w:val="0"/>
          <w:sz w:val="44"/>
          <w:szCs w:val="44"/>
        </w:rPr>
      </w:pPr>
    </w:p>
    <w:p w14:paraId="7DEBCF3A">
      <w:pPr>
        <w:rPr>
          <w:rFonts w:hint="eastAsia" w:ascii="仿宋" w:hAnsi="仿宋" w:eastAsia="仿宋" w:cs="仿宋"/>
          <w:snapToGrid w:val="0"/>
          <w:sz w:val="44"/>
          <w:szCs w:val="44"/>
        </w:rPr>
      </w:pPr>
    </w:p>
    <w:p w14:paraId="74901F0A">
      <w:pPr>
        <w:rPr>
          <w:rFonts w:hint="eastAsia" w:ascii="仿宋" w:hAnsi="仿宋" w:eastAsia="仿宋" w:cs="仿宋"/>
          <w:snapToGrid w:val="0"/>
          <w:sz w:val="44"/>
          <w:szCs w:val="44"/>
        </w:rPr>
      </w:pPr>
    </w:p>
    <w:p w14:paraId="711401CF">
      <w:pPr>
        <w:rPr>
          <w:rFonts w:hint="eastAsia" w:ascii="仿宋" w:hAnsi="仿宋" w:eastAsia="仿宋" w:cs="仿宋"/>
          <w:snapToGrid w:val="0"/>
          <w:sz w:val="44"/>
          <w:szCs w:val="44"/>
        </w:rPr>
      </w:pPr>
    </w:p>
    <w:p w14:paraId="6489D0A7">
      <w:pPr>
        <w:rPr>
          <w:rFonts w:hint="eastAsia" w:ascii="仿宋" w:hAnsi="仿宋" w:eastAsia="仿宋" w:cs="仿宋"/>
          <w:snapToGrid w:val="0"/>
          <w:sz w:val="44"/>
          <w:szCs w:val="44"/>
        </w:rPr>
      </w:pPr>
    </w:p>
    <w:p w14:paraId="442412A4">
      <w:pPr>
        <w:rPr>
          <w:rFonts w:hint="eastAsia" w:ascii="仿宋" w:hAnsi="仿宋" w:eastAsia="仿宋" w:cs="仿宋"/>
          <w:snapToGrid w:val="0"/>
          <w:sz w:val="44"/>
          <w:szCs w:val="44"/>
        </w:rPr>
      </w:pPr>
    </w:p>
    <w:p w14:paraId="3B113E72">
      <w:pPr>
        <w:pStyle w:val="2"/>
        <w:numPr>
          <w:ilvl w:val="0"/>
          <w:numId w:val="0"/>
        </w:numPr>
        <w:jc w:val="center"/>
        <w:rPr>
          <w:rFonts w:hint="eastAsia" w:ascii="仿宋" w:hAnsi="仿宋" w:eastAsia="仿宋" w:cs="仿宋"/>
          <w:b w:val="0"/>
          <w:bCs/>
          <w:snapToGrid w:val="0"/>
          <w:sz w:val="44"/>
        </w:rPr>
      </w:pPr>
      <w:bookmarkStart w:id="11" w:name="_Toc17952"/>
      <w:r>
        <w:rPr>
          <w:rFonts w:hint="eastAsia" w:ascii="仿宋" w:hAnsi="仿宋" w:eastAsia="仿宋" w:cs="仿宋"/>
          <w:snapToGrid w:val="0"/>
          <w:sz w:val="44"/>
          <w:szCs w:val="44"/>
        </w:rPr>
        <w:t>第三部分   询价内容</w:t>
      </w:r>
      <w:bookmarkEnd w:id="9"/>
      <w:bookmarkEnd w:id="10"/>
      <w:bookmarkEnd w:id="11"/>
    </w:p>
    <w:p w14:paraId="20F783B5">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14:paraId="256C070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val="en-US" w:eastAsia="zh-CN"/>
        </w:rPr>
        <w:t>详见报价清单</w:t>
      </w:r>
    </w:p>
    <w:p w14:paraId="0F473F03">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二、</w:t>
      </w:r>
      <w:r>
        <w:rPr>
          <w:rFonts w:hint="eastAsia" w:ascii="仿宋" w:hAnsi="仿宋" w:eastAsia="仿宋" w:cs="仿宋"/>
          <w:color w:val="auto"/>
          <w:kern w:val="2"/>
          <w:sz w:val="30"/>
          <w:szCs w:val="30"/>
          <w:highlight w:val="none"/>
        </w:rPr>
        <w:t>供货方式</w:t>
      </w:r>
    </w:p>
    <w:p w14:paraId="1B36B8E9">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本项目为年度采购项目，供货期一年，实行分批次供货。供货方接到采购人送货通知（包括电话、微信或书面订单）后，需在 48小时内将货物如数送至采购人指定地点。每次送货需附带该批次产品的送货清单，注明产品名称、规格、数量及生产日期。如遇紧急需求，供货方应配合采购人要求，启动应急配送机制，确保物资及时到位。</w:t>
      </w:r>
    </w:p>
    <w:p w14:paraId="5542679E">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rPr>
        <w:t>三、付款方式</w:t>
      </w:r>
    </w:p>
    <w:p w14:paraId="490CA6F1">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sz w:val="30"/>
          <w:szCs w:val="30"/>
          <w:highlight w:val="none"/>
          <w:lang w:val="en-US" w:eastAsia="zh-CN"/>
        </w:rPr>
        <w:t>每批次货物运送至采购人指定地点，且经由采购人验收合格后，供货方提供经双方确认的送货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方需提供履约保证金（合同价的5%），履约保证金于合同期满且无未决质量争议后无息退还。</w:t>
      </w:r>
    </w:p>
    <w:p w14:paraId="6F94A17B">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14:paraId="2E7712E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14:paraId="75D194BC">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14:paraId="42FB0458">
      <w:pPr>
        <w:pStyle w:val="2"/>
        <w:numPr>
          <w:ilvl w:val="0"/>
          <w:numId w:val="0"/>
        </w:numPr>
        <w:jc w:val="center"/>
        <w:outlineLvl w:val="9"/>
        <w:rPr>
          <w:rFonts w:hint="eastAsia" w:ascii="仿宋" w:hAnsi="仿宋" w:eastAsia="仿宋" w:cs="仿宋"/>
          <w:snapToGrid w:val="0"/>
          <w:sz w:val="30"/>
          <w:szCs w:val="30"/>
        </w:rPr>
      </w:pPr>
      <w:bookmarkStart w:id="12" w:name="_Toc530583924"/>
      <w:r>
        <w:rPr>
          <w:rFonts w:hint="eastAsia" w:ascii="仿宋" w:hAnsi="仿宋" w:eastAsia="仿宋" w:cs="仿宋"/>
          <w:snapToGrid w:val="0"/>
          <w:sz w:val="30"/>
          <w:szCs w:val="30"/>
        </w:rPr>
        <w:br w:type="page"/>
      </w:r>
    </w:p>
    <w:p w14:paraId="2C38EEF5">
      <w:pPr>
        <w:pStyle w:val="2"/>
        <w:numPr>
          <w:ilvl w:val="0"/>
          <w:numId w:val="4"/>
        </w:numPr>
        <w:ind w:left="840" w:leftChars="0" w:firstLineChars="0"/>
        <w:jc w:val="center"/>
        <w:rPr>
          <w:rFonts w:hint="eastAsia" w:ascii="仿宋" w:hAnsi="仿宋" w:eastAsia="仿宋" w:cs="仿宋"/>
          <w:snapToGrid w:val="0"/>
          <w:sz w:val="44"/>
          <w:szCs w:val="44"/>
          <w:lang w:val="en-US" w:eastAsia="zh-CN"/>
        </w:rPr>
      </w:pPr>
      <w:r>
        <w:rPr>
          <w:rFonts w:hint="eastAsia" w:ascii="仿宋" w:hAnsi="仿宋" w:eastAsia="仿宋" w:cs="仿宋"/>
          <w:snapToGrid w:val="0"/>
          <w:sz w:val="44"/>
          <w:szCs w:val="44"/>
          <w:lang w:val="en-US" w:eastAsia="zh-CN"/>
        </w:rPr>
        <w:t xml:space="preserve">   </w:t>
      </w:r>
      <w:bookmarkStart w:id="13" w:name="_Toc17080"/>
      <w:r>
        <w:rPr>
          <w:rFonts w:hint="eastAsia" w:ascii="仿宋" w:hAnsi="仿宋" w:eastAsia="仿宋" w:cs="仿宋"/>
          <w:snapToGrid w:val="0"/>
          <w:sz w:val="44"/>
          <w:szCs w:val="44"/>
          <w:lang w:val="en-US" w:eastAsia="zh-CN"/>
        </w:rPr>
        <w:t>合同主要条款（供参考）</w:t>
      </w:r>
      <w:bookmarkEnd w:id="13"/>
    </w:p>
    <w:p w14:paraId="36F8FF30">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rPr>
        <w:t>采购方需采购以下供货范围设备/备件若干，经供需双方友好协商，一致同</w:t>
      </w:r>
      <w:r>
        <w:rPr>
          <w:rFonts w:hint="eastAsia" w:ascii="Times New Roman" w:hAnsi="Times New Roman" w:eastAsia="方正仿宋_GBK" w:cs="Times New Roman"/>
          <w:sz w:val="28"/>
          <w:szCs w:val="28"/>
          <w:highlight w:val="none"/>
        </w:rPr>
        <w:t>意签订本合同，以便遵照执行。</w:t>
      </w:r>
    </w:p>
    <w:p w14:paraId="1A7624AC">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lang w:eastAsia="zh-CN"/>
        </w:rPr>
        <w:t>第一条</w:t>
      </w:r>
      <w:r>
        <w:rPr>
          <w:rFonts w:hint="eastAsia" w:ascii="黑体" w:hAnsi="黑体" w:eastAsia="黑体" w:cs="黑体"/>
          <w:sz w:val="28"/>
          <w:szCs w:val="28"/>
          <w:highlight w:val="none"/>
          <w:lang w:val="en-US" w:eastAsia="zh-CN"/>
        </w:rPr>
        <w:t xml:space="preserve"> </w:t>
      </w:r>
      <w:r>
        <w:rPr>
          <w:rFonts w:hint="eastAsia" w:ascii="黑体" w:hAnsi="黑体" w:eastAsia="黑体" w:cs="黑体"/>
          <w:sz w:val="28"/>
          <w:szCs w:val="28"/>
          <w:highlight w:val="none"/>
          <w:lang w:eastAsia="zh-CN"/>
        </w:rPr>
        <w:t>供货</w:t>
      </w:r>
      <w:r>
        <w:rPr>
          <w:rFonts w:hint="eastAsia" w:ascii="黑体" w:hAnsi="黑体" w:eastAsia="黑体" w:cs="黑体"/>
          <w:sz w:val="28"/>
          <w:szCs w:val="28"/>
          <w:highlight w:val="none"/>
        </w:rPr>
        <w:t>范围及价格</w:t>
      </w:r>
    </w:p>
    <w:tbl>
      <w:tblPr>
        <w:tblStyle w:val="13"/>
        <w:tblW w:w="9571" w:type="dxa"/>
        <w:jc w:val="center"/>
        <w:tblLayout w:type="fixed"/>
        <w:tblCellMar>
          <w:top w:w="0" w:type="dxa"/>
          <w:left w:w="108" w:type="dxa"/>
          <w:bottom w:w="0" w:type="dxa"/>
          <w:right w:w="108" w:type="dxa"/>
        </w:tblCellMar>
      </w:tblPr>
      <w:tblGrid>
        <w:gridCol w:w="751"/>
        <w:gridCol w:w="1439"/>
        <w:gridCol w:w="1711"/>
        <w:gridCol w:w="709"/>
        <w:gridCol w:w="709"/>
        <w:gridCol w:w="1186"/>
        <w:gridCol w:w="1439"/>
        <w:gridCol w:w="1627"/>
      </w:tblGrid>
      <w:tr w14:paraId="29B27345">
        <w:tblPrEx>
          <w:tblCellMar>
            <w:top w:w="0" w:type="dxa"/>
            <w:left w:w="108" w:type="dxa"/>
            <w:bottom w:w="0" w:type="dxa"/>
            <w:right w:w="108" w:type="dxa"/>
          </w:tblCellMar>
        </w:tblPrEx>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0085ABDB">
            <w:pPr>
              <w:adjustRightInd/>
              <w:snapToGrid/>
              <w:spacing w:after="0"/>
              <w:jc w:val="center"/>
              <w:rPr>
                <w:rFonts w:hint="default"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序号</w:t>
            </w:r>
          </w:p>
        </w:tc>
        <w:tc>
          <w:tcPr>
            <w:tcW w:w="1439" w:type="dxa"/>
            <w:tcBorders>
              <w:top w:val="single" w:color="auto" w:sz="4" w:space="0"/>
              <w:left w:val="nil"/>
              <w:bottom w:val="single" w:color="auto" w:sz="4" w:space="0"/>
              <w:right w:val="single" w:color="auto" w:sz="4" w:space="0"/>
            </w:tcBorders>
            <w:noWrap w:val="0"/>
            <w:vAlign w:val="center"/>
          </w:tcPr>
          <w:p w14:paraId="78B09A60">
            <w:pPr>
              <w:adjustRightInd/>
              <w:snapToGrid/>
              <w:spacing w:after="0"/>
              <w:jc w:val="center"/>
              <w:rPr>
                <w:rFonts w:hint="default" w:ascii="Times New Roman" w:hAnsi="Times New Roman" w:eastAsia="方正仿宋_GBK" w:cs="Times New Roman"/>
                <w:b/>
                <w:bCs/>
                <w:sz w:val="24"/>
                <w:szCs w:val="24"/>
                <w:highlight w:val="none"/>
              </w:rPr>
            </w:pPr>
            <w:r>
              <w:rPr>
                <w:rFonts w:hint="default" w:ascii="Times New Roman" w:hAnsi="Times New Roman" w:eastAsia="方正仿宋_GBK" w:cs="Times New Roman"/>
                <w:b/>
                <w:bCs/>
                <w:sz w:val="24"/>
                <w:szCs w:val="24"/>
                <w:highlight w:val="none"/>
                <w:lang w:val="en-US" w:eastAsia="zh-CN"/>
              </w:rPr>
              <w:t>产品名称</w:t>
            </w:r>
          </w:p>
        </w:tc>
        <w:tc>
          <w:tcPr>
            <w:tcW w:w="1711" w:type="dxa"/>
            <w:tcBorders>
              <w:top w:val="single" w:color="auto" w:sz="4" w:space="0"/>
              <w:left w:val="nil"/>
              <w:bottom w:val="single" w:color="auto" w:sz="4" w:space="0"/>
              <w:right w:val="single" w:color="auto" w:sz="4" w:space="0"/>
            </w:tcBorders>
            <w:noWrap w:val="0"/>
            <w:vAlign w:val="center"/>
          </w:tcPr>
          <w:p w14:paraId="7E1DDE49">
            <w:pPr>
              <w:adjustRightInd/>
              <w:snapToGrid/>
              <w:spacing w:after="0"/>
              <w:jc w:val="center"/>
              <w:rPr>
                <w:rFonts w:hint="default"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规格型号</w:t>
            </w:r>
          </w:p>
        </w:tc>
        <w:tc>
          <w:tcPr>
            <w:tcW w:w="709" w:type="dxa"/>
            <w:tcBorders>
              <w:top w:val="single" w:color="auto" w:sz="4" w:space="0"/>
              <w:left w:val="nil"/>
              <w:bottom w:val="single" w:color="auto" w:sz="4" w:space="0"/>
              <w:right w:val="single" w:color="auto" w:sz="4" w:space="0"/>
            </w:tcBorders>
            <w:noWrap w:val="0"/>
            <w:vAlign w:val="center"/>
          </w:tcPr>
          <w:p w14:paraId="0FE24892">
            <w:pPr>
              <w:adjustRightInd/>
              <w:snapToGrid/>
              <w:spacing w:after="0"/>
              <w:jc w:val="center"/>
              <w:rPr>
                <w:rFonts w:hint="default"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单位</w:t>
            </w:r>
          </w:p>
        </w:tc>
        <w:tc>
          <w:tcPr>
            <w:tcW w:w="709" w:type="dxa"/>
            <w:tcBorders>
              <w:top w:val="single" w:color="auto" w:sz="4" w:space="0"/>
              <w:left w:val="nil"/>
              <w:bottom w:val="single" w:color="auto" w:sz="4" w:space="0"/>
              <w:right w:val="single" w:color="auto" w:sz="4" w:space="0"/>
            </w:tcBorders>
            <w:noWrap w:val="0"/>
            <w:vAlign w:val="center"/>
          </w:tcPr>
          <w:p w14:paraId="1827530D">
            <w:pPr>
              <w:adjustRightInd/>
              <w:snapToGrid/>
              <w:spacing w:after="0"/>
              <w:jc w:val="center"/>
              <w:rPr>
                <w:rFonts w:hint="default" w:ascii="Times New Roman" w:hAnsi="Times New Roman" w:eastAsia="方正仿宋_GBK" w:cs="Times New Roman"/>
                <w:b/>
                <w:bCs/>
                <w:sz w:val="24"/>
                <w:szCs w:val="24"/>
                <w:highlight w:val="none"/>
              </w:rPr>
            </w:pPr>
            <w:r>
              <w:rPr>
                <w:rFonts w:hint="eastAsia" w:eastAsia="方正仿宋_GBK" w:cs="Times New Roman"/>
                <w:b/>
                <w:bCs/>
                <w:sz w:val="24"/>
                <w:szCs w:val="24"/>
                <w:highlight w:val="none"/>
                <w:lang w:val="en-US" w:eastAsia="zh-CN"/>
              </w:rPr>
              <w:t>预估</w:t>
            </w:r>
            <w:r>
              <w:rPr>
                <w:rFonts w:hint="eastAsia" w:ascii="Times New Roman" w:hAnsi="Times New Roman" w:eastAsia="方正仿宋_GBK" w:cs="Times New Roman"/>
                <w:b/>
                <w:bCs/>
                <w:sz w:val="24"/>
                <w:szCs w:val="24"/>
                <w:highlight w:val="none"/>
              </w:rPr>
              <w:t>数量</w:t>
            </w:r>
          </w:p>
        </w:tc>
        <w:tc>
          <w:tcPr>
            <w:tcW w:w="1186" w:type="dxa"/>
            <w:tcBorders>
              <w:top w:val="single" w:color="auto" w:sz="4" w:space="0"/>
              <w:left w:val="nil"/>
              <w:bottom w:val="single" w:color="auto" w:sz="4" w:space="0"/>
              <w:right w:val="single" w:color="auto" w:sz="4" w:space="0"/>
            </w:tcBorders>
            <w:noWrap w:val="0"/>
            <w:vAlign w:val="center"/>
          </w:tcPr>
          <w:p w14:paraId="14A91725">
            <w:pPr>
              <w:adjustRightInd/>
              <w:snapToGrid/>
              <w:spacing w:after="0"/>
              <w:jc w:val="center"/>
              <w:rPr>
                <w:rFonts w:hint="eastAsia" w:ascii="Times New Roman" w:hAnsi="Times New Roman" w:eastAsia="方正仿宋_GBK" w:cs="Times New Roman"/>
                <w:b/>
                <w:bCs/>
                <w:sz w:val="24"/>
                <w:szCs w:val="24"/>
                <w:highlight w:val="none"/>
                <w:lang w:eastAsia="zh-CN"/>
              </w:rPr>
            </w:pPr>
            <w:r>
              <w:rPr>
                <w:rFonts w:hint="eastAsia" w:eastAsia="方正仿宋_GBK" w:cs="Times New Roman"/>
                <w:b/>
                <w:bCs/>
                <w:sz w:val="24"/>
                <w:szCs w:val="24"/>
                <w:highlight w:val="none"/>
                <w:lang w:val="en-US" w:eastAsia="zh-CN"/>
              </w:rPr>
              <w:t>备注</w:t>
            </w:r>
          </w:p>
        </w:tc>
        <w:tc>
          <w:tcPr>
            <w:tcW w:w="1439" w:type="dxa"/>
            <w:tcBorders>
              <w:top w:val="single" w:color="auto" w:sz="4" w:space="0"/>
              <w:left w:val="nil"/>
              <w:bottom w:val="single" w:color="auto" w:sz="4" w:space="0"/>
              <w:right w:val="single" w:color="auto" w:sz="4" w:space="0"/>
            </w:tcBorders>
            <w:noWrap w:val="0"/>
            <w:vAlign w:val="center"/>
          </w:tcPr>
          <w:p w14:paraId="7EF68D53">
            <w:pPr>
              <w:adjustRightInd/>
              <w:snapToGrid/>
              <w:spacing w:after="0"/>
              <w:jc w:val="center"/>
              <w:rPr>
                <w:rFonts w:hint="eastAsia"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单价</w:t>
            </w:r>
          </w:p>
          <w:p w14:paraId="11AA5CED">
            <w:pPr>
              <w:adjustRightInd/>
              <w:snapToGrid/>
              <w:spacing w:after="0"/>
              <w:jc w:val="center"/>
              <w:rPr>
                <w:rFonts w:hint="default"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（元）</w:t>
            </w:r>
          </w:p>
        </w:tc>
        <w:tc>
          <w:tcPr>
            <w:tcW w:w="1627" w:type="dxa"/>
            <w:tcBorders>
              <w:top w:val="single" w:color="auto" w:sz="4" w:space="0"/>
              <w:left w:val="nil"/>
              <w:bottom w:val="single" w:color="auto" w:sz="4" w:space="0"/>
              <w:right w:val="single" w:color="auto" w:sz="4" w:space="0"/>
            </w:tcBorders>
            <w:noWrap w:val="0"/>
            <w:vAlign w:val="center"/>
          </w:tcPr>
          <w:p w14:paraId="6C4E858D">
            <w:pPr>
              <w:adjustRightInd/>
              <w:snapToGrid/>
              <w:spacing w:after="0"/>
              <w:jc w:val="center"/>
              <w:rPr>
                <w:rFonts w:hint="eastAsia"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金额</w:t>
            </w:r>
          </w:p>
          <w:p w14:paraId="45268156">
            <w:pPr>
              <w:adjustRightInd/>
              <w:snapToGrid/>
              <w:spacing w:after="0"/>
              <w:jc w:val="center"/>
              <w:rPr>
                <w:rFonts w:hint="default"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（元）</w:t>
            </w:r>
          </w:p>
        </w:tc>
      </w:tr>
      <w:tr w14:paraId="12FDB466">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14:paraId="0ED6F5FA">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1</w:t>
            </w:r>
          </w:p>
        </w:tc>
        <w:tc>
          <w:tcPr>
            <w:tcW w:w="1439" w:type="dxa"/>
            <w:tcBorders>
              <w:top w:val="nil"/>
              <w:left w:val="nil"/>
              <w:bottom w:val="single" w:color="auto" w:sz="4" w:space="0"/>
              <w:right w:val="single" w:color="auto" w:sz="4" w:space="0"/>
            </w:tcBorders>
            <w:shd w:val="clear" w:color="000000" w:fill="FFFFFF"/>
            <w:noWrap w:val="0"/>
            <w:vAlign w:val="center"/>
          </w:tcPr>
          <w:p w14:paraId="7903C9D8">
            <w:pPr>
              <w:adjustRightInd/>
              <w:snapToGrid/>
              <w:spacing w:after="0"/>
              <w:jc w:val="center"/>
              <w:rPr>
                <w:rFonts w:hint="eastAsia" w:ascii="Times New Roman" w:hAnsi="Times New Roman" w:eastAsia="方正仿宋_GBK" w:cs="Times New Roman"/>
                <w:b/>
                <w:bCs/>
                <w:sz w:val="24"/>
                <w:szCs w:val="24"/>
              </w:rPr>
            </w:pPr>
          </w:p>
        </w:tc>
        <w:tc>
          <w:tcPr>
            <w:tcW w:w="1711" w:type="dxa"/>
            <w:tcBorders>
              <w:top w:val="nil"/>
              <w:left w:val="nil"/>
              <w:bottom w:val="single" w:color="auto" w:sz="4" w:space="0"/>
              <w:right w:val="single" w:color="auto" w:sz="4" w:space="0"/>
            </w:tcBorders>
            <w:shd w:val="clear" w:color="000000" w:fill="FFFFFF"/>
            <w:noWrap w:val="0"/>
            <w:vAlign w:val="center"/>
          </w:tcPr>
          <w:p w14:paraId="3FA647C3">
            <w:pPr>
              <w:adjustRightInd/>
              <w:snapToGrid/>
              <w:spacing w:after="0"/>
              <w:jc w:val="center"/>
              <w:rPr>
                <w:rFonts w:hint="eastAsia" w:ascii="Times New Roman" w:hAnsi="Times New Roman" w:eastAsia="方正仿宋_GBK" w:cs="Times New Roman"/>
                <w:b/>
                <w:bCs/>
                <w:sz w:val="24"/>
                <w:szCs w:val="24"/>
              </w:rPr>
            </w:pPr>
          </w:p>
        </w:tc>
        <w:tc>
          <w:tcPr>
            <w:tcW w:w="709" w:type="dxa"/>
            <w:tcBorders>
              <w:top w:val="nil"/>
              <w:left w:val="nil"/>
              <w:bottom w:val="single" w:color="auto" w:sz="4" w:space="0"/>
              <w:right w:val="single" w:color="auto" w:sz="4" w:space="0"/>
            </w:tcBorders>
            <w:shd w:val="clear" w:color="000000" w:fill="FFFFFF"/>
            <w:noWrap w:val="0"/>
            <w:vAlign w:val="center"/>
          </w:tcPr>
          <w:p w14:paraId="6533A1DE">
            <w:pPr>
              <w:adjustRightInd/>
              <w:snapToGrid/>
              <w:spacing w:after="0"/>
              <w:jc w:val="center"/>
              <w:rPr>
                <w:rFonts w:hint="default" w:ascii="Times New Roman" w:hAnsi="Times New Roman" w:eastAsia="方正仿宋_GBK" w:cs="Times New Roman"/>
                <w:b/>
                <w:bCs/>
                <w:sz w:val="24"/>
                <w:szCs w:val="24"/>
              </w:rPr>
            </w:pPr>
          </w:p>
        </w:tc>
        <w:tc>
          <w:tcPr>
            <w:tcW w:w="709" w:type="dxa"/>
            <w:tcBorders>
              <w:top w:val="nil"/>
              <w:left w:val="nil"/>
              <w:bottom w:val="single" w:color="auto" w:sz="4" w:space="0"/>
              <w:right w:val="single" w:color="auto" w:sz="4" w:space="0"/>
            </w:tcBorders>
            <w:shd w:val="clear" w:color="000000" w:fill="FFFFFF"/>
            <w:noWrap w:val="0"/>
            <w:vAlign w:val="center"/>
          </w:tcPr>
          <w:p w14:paraId="26704756">
            <w:pPr>
              <w:adjustRightInd/>
              <w:snapToGrid/>
              <w:spacing w:after="0"/>
              <w:jc w:val="center"/>
              <w:rPr>
                <w:rFonts w:hint="default" w:ascii="Times New Roman" w:hAnsi="Times New Roman" w:eastAsia="方正仿宋_GBK" w:cs="Times New Roman"/>
                <w:b/>
                <w:bCs/>
                <w:sz w:val="24"/>
                <w:szCs w:val="24"/>
              </w:rPr>
            </w:pPr>
          </w:p>
        </w:tc>
        <w:tc>
          <w:tcPr>
            <w:tcW w:w="1186" w:type="dxa"/>
            <w:tcBorders>
              <w:top w:val="nil"/>
              <w:left w:val="nil"/>
              <w:bottom w:val="single" w:color="auto" w:sz="4" w:space="0"/>
              <w:right w:val="single" w:color="auto" w:sz="4" w:space="0"/>
            </w:tcBorders>
            <w:noWrap w:val="0"/>
            <w:vAlign w:val="center"/>
          </w:tcPr>
          <w:p w14:paraId="632BF058">
            <w:pPr>
              <w:adjustRightInd/>
              <w:snapToGrid/>
              <w:spacing w:after="0"/>
              <w:jc w:val="center"/>
              <w:rPr>
                <w:rFonts w:hint="default" w:ascii="Times New Roman" w:hAnsi="Times New Roman" w:eastAsia="方正仿宋_GBK" w:cs="Times New Roman"/>
                <w:b/>
                <w:bCs/>
                <w:sz w:val="24"/>
                <w:szCs w:val="24"/>
              </w:rPr>
            </w:pPr>
          </w:p>
        </w:tc>
        <w:tc>
          <w:tcPr>
            <w:tcW w:w="1439" w:type="dxa"/>
            <w:tcBorders>
              <w:top w:val="nil"/>
              <w:left w:val="nil"/>
              <w:bottom w:val="single" w:color="auto" w:sz="4" w:space="0"/>
              <w:right w:val="single" w:color="auto" w:sz="4" w:space="0"/>
            </w:tcBorders>
            <w:noWrap w:val="0"/>
            <w:vAlign w:val="center"/>
          </w:tcPr>
          <w:p w14:paraId="797EC2E6">
            <w:pPr>
              <w:adjustRightInd/>
              <w:snapToGrid/>
              <w:spacing w:after="0"/>
              <w:jc w:val="center"/>
              <w:rPr>
                <w:rFonts w:hint="default" w:ascii="Times New Roman" w:hAnsi="Times New Roman" w:eastAsia="方正仿宋_GBK" w:cs="Times New Roman"/>
                <w:b/>
                <w:bCs/>
                <w:sz w:val="24"/>
                <w:szCs w:val="24"/>
              </w:rPr>
            </w:pPr>
          </w:p>
        </w:tc>
        <w:tc>
          <w:tcPr>
            <w:tcW w:w="1627" w:type="dxa"/>
            <w:tcBorders>
              <w:top w:val="nil"/>
              <w:left w:val="nil"/>
              <w:bottom w:val="single" w:color="auto" w:sz="4" w:space="0"/>
              <w:right w:val="single" w:color="auto" w:sz="4" w:space="0"/>
            </w:tcBorders>
            <w:noWrap w:val="0"/>
            <w:vAlign w:val="center"/>
          </w:tcPr>
          <w:p w14:paraId="55F60B0E">
            <w:pPr>
              <w:adjustRightInd/>
              <w:snapToGrid/>
              <w:spacing w:after="0"/>
              <w:jc w:val="center"/>
              <w:rPr>
                <w:rFonts w:hint="eastAsia" w:ascii="Times New Roman" w:hAnsi="Times New Roman" w:eastAsia="方正仿宋_GBK" w:cs="Times New Roman"/>
                <w:b/>
                <w:bCs/>
                <w:sz w:val="24"/>
                <w:szCs w:val="24"/>
              </w:rPr>
            </w:pPr>
          </w:p>
        </w:tc>
      </w:tr>
      <w:tr w14:paraId="0E877BCF">
        <w:tblPrEx>
          <w:tblCellMar>
            <w:top w:w="0" w:type="dxa"/>
            <w:left w:w="108" w:type="dxa"/>
            <w:bottom w:w="0" w:type="dxa"/>
            <w:right w:w="108" w:type="dxa"/>
          </w:tblCellMar>
        </w:tblPrEx>
        <w:trPr>
          <w:trHeight w:val="836" w:hRule="atLeast"/>
          <w:jc w:val="center"/>
        </w:trPr>
        <w:tc>
          <w:tcPr>
            <w:tcW w:w="6505" w:type="dxa"/>
            <w:gridSpan w:val="6"/>
            <w:tcBorders>
              <w:top w:val="nil"/>
              <w:left w:val="single" w:color="auto" w:sz="4" w:space="0"/>
              <w:bottom w:val="single" w:color="auto" w:sz="4" w:space="0"/>
              <w:right w:val="single" w:color="auto" w:sz="4" w:space="0"/>
            </w:tcBorders>
            <w:noWrap w:val="0"/>
            <w:vAlign w:val="center"/>
          </w:tcPr>
          <w:p w14:paraId="47F666EB">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合同总金额人民币（大写）：</w:t>
            </w:r>
          </w:p>
        </w:tc>
        <w:tc>
          <w:tcPr>
            <w:tcW w:w="1439" w:type="dxa"/>
            <w:tcBorders>
              <w:top w:val="nil"/>
              <w:left w:val="single" w:color="auto" w:sz="4" w:space="0"/>
              <w:bottom w:val="single" w:color="auto" w:sz="4" w:space="0"/>
              <w:right w:val="single" w:color="auto" w:sz="4" w:space="0"/>
            </w:tcBorders>
            <w:noWrap w:val="0"/>
            <w:vAlign w:val="center"/>
          </w:tcPr>
          <w:p w14:paraId="7615F5B0">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w:t>
            </w:r>
          </w:p>
        </w:tc>
        <w:tc>
          <w:tcPr>
            <w:tcW w:w="1627" w:type="dxa"/>
            <w:tcBorders>
              <w:top w:val="nil"/>
              <w:left w:val="single" w:color="auto" w:sz="4" w:space="0"/>
              <w:bottom w:val="single" w:color="auto" w:sz="4" w:space="0"/>
              <w:right w:val="single" w:color="auto" w:sz="4" w:space="0"/>
            </w:tcBorders>
            <w:noWrap w:val="0"/>
            <w:vAlign w:val="center"/>
          </w:tcPr>
          <w:p w14:paraId="6E443802">
            <w:pPr>
              <w:adjustRightInd/>
              <w:snapToGrid/>
              <w:spacing w:after="0"/>
              <w:jc w:val="left"/>
              <w:rPr>
                <w:rFonts w:hint="eastAsia" w:ascii="Times New Roman" w:hAnsi="Times New Roman" w:eastAsia="方正仿宋_GBK" w:cs="Times New Roman"/>
                <w:b/>
                <w:bCs/>
                <w:sz w:val="24"/>
                <w:szCs w:val="24"/>
              </w:rPr>
            </w:pPr>
          </w:p>
        </w:tc>
      </w:tr>
      <w:tr w14:paraId="2903F576">
        <w:tblPrEx>
          <w:tblCellMar>
            <w:top w:w="0" w:type="dxa"/>
            <w:left w:w="108" w:type="dxa"/>
            <w:bottom w:w="0" w:type="dxa"/>
            <w:right w:w="108" w:type="dxa"/>
          </w:tblCellMar>
        </w:tblPrEx>
        <w:trPr>
          <w:trHeight w:val="716" w:hRule="atLeast"/>
          <w:jc w:val="center"/>
        </w:trPr>
        <w:tc>
          <w:tcPr>
            <w:tcW w:w="9571" w:type="dxa"/>
            <w:gridSpan w:val="8"/>
            <w:tcBorders>
              <w:top w:val="nil"/>
              <w:left w:val="single" w:color="auto" w:sz="4" w:space="0"/>
              <w:bottom w:val="single" w:color="auto" w:sz="4" w:space="0"/>
              <w:right w:val="single" w:color="auto" w:sz="4" w:space="0"/>
            </w:tcBorders>
            <w:noWrap w:val="0"/>
            <w:vAlign w:val="center"/>
          </w:tcPr>
          <w:p w14:paraId="74D1688C">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备注：以上金额含</w:t>
            </w:r>
            <w:r>
              <w:rPr>
                <w:rFonts w:hint="eastAsia" w:eastAsia="方正仿宋_GBK" w:cs="Times New Roman"/>
                <w:b/>
                <w:bCs/>
                <w:sz w:val="24"/>
                <w:szCs w:val="24"/>
                <w:lang w:val="en-US" w:eastAsia="zh-CN"/>
              </w:rPr>
              <w:t xml:space="preserve">  </w:t>
            </w:r>
            <w:r>
              <w:rPr>
                <w:rFonts w:hint="eastAsia" w:ascii="Times New Roman" w:hAnsi="Times New Roman" w:eastAsia="方正仿宋_GBK" w:cs="Times New Roman"/>
                <w:b/>
                <w:bCs/>
                <w:sz w:val="24"/>
                <w:szCs w:val="24"/>
              </w:rPr>
              <w:t>%增值税和运费</w:t>
            </w:r>
          </w:p>
        </w:tc>
      </w:tr>
    </w:tbl>
    <w:p w14:paraId="1E1C81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rPr>
        <w:t xml:space="preserve">第二条  </w:t>
      </w:r>
      <w:r>
        <w:rPr>
          <w:rFonts w:hint="eastAsia" w:ascii="黑体" w:hAnsi="黑体" w:eastAsia="黑体" w:cs="黑体"/>
          <w:sz w:val="28"/>
          <w:szCs w:val="28"/>
          <w:lang w:eastAsia="zh-CN"/>
        </w:rPr>
        <w:t>供货</w:t>
      </w:r>
      <w:r>
        <w:rPr>
          <w:rFonts w:hint="eastAsia" w:ascii="黑体" w:hAnsi="黑体" w:eastAsia="黑体" w:cs="黑体"/>
          <w:sz w:val="28"/>
          <w:szCs w:val="28"/>
        </w:rPr>
        <w:t>时间、地点</w:t>
      </w:r>
      <w:r>
        <w:rPr>
          <w:rFonts w:hint="eastAsia" w:ascii="黑体" w:hAnsi="黑体" w:eastAsia="黑体" w:cs="黑体"/>
          <w:sz w:val="28"/>
          <w:szCs w:val="28"/>
          <w:lang w:eastAsia="zh-CN"/>
        </w:rPr>
        <w:t>、要求</w:t>
      </w:r>
    </w:p>
    <w:p w14:paraId="453342D8">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yellow"/>
        </w:rPr>
      </w:pP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eastAsia="zh-CN"/>
        </w:rPr>
        <w:t>供货</w:t>
      </w:r>
      <w:r>
        <w:rPr>
          <w:rFonts w:hint="eastAsia" w:ascii="方正仿宋_GBK" w:hAnsi="方正仿宋_GBK" w:eastAsia="方正仿宋_GBK" w:cs="方正仿宋_GBK"/>
          <w:sz w:val="28"/>
          <w:szCs w:val="28"/>
        </w:rPr>
        <w:t>时间：</w:t>
      </w:r>
      <w:r>
        <w:rPr>
          <w:rFonts w:hint="eastAsia" w:ascii="方正仿宋_GBK" w:hAnsi="方正仿宋_GBK" w:eastAsia="方正仿宋_GBK" w:cs="方正仿宋_GBK"/>
          <w:sz w:val="28"/>
          <w:szCs w:val="28"/>
          <w:lang w:val="en-US" w:eastAsia="zh-CN"/>
        </w:rPr>
        <w:t>本项目为年度采购项目，供货期一年，实行分批次供货。供货方接到采购人送货通知（包括电话、微信或书面订单）后，需在 48小时内将货物如数送至采购人指定地点。每次送货需附带该批次产品的送货清单，注明产品名称、规格、数量及生产日期。如遇</w:t>
      </w:r>
      <w:r>
        <w:rPr>
          <w:rFonts w:hint="eastAsia" w:ascii="方正仿宋_GBK" w:hAnsi="方正仿宋_GBK" w:eastAsia="方正仿宋_GBK" w:cs="方正仿宋_GBK"/>
          <w:sz w:val="28"/>
          <w:szCs w:val="28"/>
          <w:highlight w:val="none"/>
          <w:lang w:val="en-US" w:eastAsia="zh-CN"/>
        </w:rPr>
        <w:t>紧急需求，供货方应配合采购人要求，启动应急配送机制，确保物资及时到位</w:t>
      </w:r>
      <w:r>
        <w:rPr>
          <w:rFonts w:hint="eastAsia" w:ascii="方正仿宋_GBK" w:hAnsi="方正仿宋_GBK" w:eastAsia="方正仿宋_GBK" w:cs="方正仿宋_GBK"/>
          <w:sz w:val="28"/>
          <w:szCs w:val="28"/>
          <w:highlight w:val="none"/>
        </w:rPr>
        <w:t>。</w:t>
      </w:r>
    </w:p>
    <w:p w14:paraId="15FBED40">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lang w:eastAsia="zh-CN"/>
        </w:rPr>
        <w:t>供货</w:t>
      </w:r>
      <w:r>
        <w:rPr>
          <w:rFonts w:hint="eastAsia" w:ascii="方正仿宋_GBK" w:hAnsi="方正仿宋_GBK" w:eastAsia="方正仿宋_GBK" w:cs="方正仿宋_GBK"/>
          <w:sz w:val="28"/>
          <w:szCs w:val="28"/>
        </w:rPr>
        <w:t>地点：</w:t>
      </w:r>
      <w:r>
        <w:rPr>
          <w:rFonts w:hint="eastAsia" w:ascii="方正仿宋_GBK" w:hAnsi="方正仿宋_GBK" w:eastAsia="方正仿宋_GBK" w:cs="方正仿宋_GBK"/>
          <w:sz w:val="28"/>
          <w:szCs w:val="28"/>
          <w:lang w:eastAsia="zh-CN"/>
        </w:rPr>
        <w:t>浙江省绍兴市柯桥区钱滨线二线海塘绍兴市再生能源发展有限公司。</w:t>
      </w:r>
    </w:p>
    <w:p w14:paraId="2B2F559C">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3、供货要求：交货时，应附有相应的装货清单、合格证及相关技术资料。（如有）</w:t>
      </w:r>
    </w:p>
    <w:p w14:paraId="44C320E3">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highlight w:val="none"/>
        </w:rPr>
      </w:pPr>
      <w:r>
        <w:rPr>
          <w:rFonts w:hint="eastAsia" w:ascii="黑体" w:hAnsi="黑体" w:eastAsia="黑体" w:cs="黑体"/>
          <w:sz w:val="28"/>
          <w:szCs w:val="28"/>
        </w:rPr>
        <w:t>第三条 技</w:t>
      </w:r>
      <w:r>
        <w:rPr>
          <w:rFonts w:hint="eastAsia" w:ascii="黑体" w:hAnsi="黑体" w:eastAsia="黑体" w:cs="黑体"/>
          <w:sz w:val="28"/>
          <w:szCs w:val="28"/>
          <w:highlight w:val="none"/>
        </w:rPr>
        <w:t>术要求</w:t>
      </w:r>
    </w:p>
    <w:p w14:paraId="4034EB73">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①保证所投产品均为“纸音”品牌原厂原装的全新合格正品，严禁提供贴牌、假冒伪劣或临期产品。</w:t>
      </w:r>
    </w:p>
    <w:p w14:paraId="6C1E93AE">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②产品质量须符合国家现行标准：擦手纸符合GB/T 24455《擦手纸》标准，卷筒纸符合GB/T 20810《卫生纸（含卫生纸原纸）》标准，抽纸符合GB/T 20808《纸巾》标准，且柔软度、吸水性、抗张强度等技术指标不低于采购人使用要求。</w:t>
      </w:r>
    </w:p>
    <w:p w14:paraId="0B4E4448">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③每批次货物交付时，供货方须提供该批次产品的出厂检验报告及合格证明文件，确保产品卫生安全，无毒无害。</w:t>
      </w:r>
    </w:p>
    <w:p w14:paraId="0A7EBEEA">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val="en-US" w:eastAsia="zh-CN"/>
        </w:rPr>
        <w:t>④产品包装应完好无损，标识清晰：擦手纸注明“擦手专用”，卷筒纸注明“卫生纸（卷筒）”，抽纸注明“纸巾（抽纸）”，并标注规格、数量、生产日期及保质期，满足采购人存储及使用需求</w:t>
      </w:r>
      <w:r>
        <w:rPr>
          <w:rFonts w:hint="eastAsia" w:ascii="方正仿宋_GBK" w:hAnsi="方正仿宋_GBK" w:eastAsia="方正仿宋_GBK" w:cs="方正仿宋_GBK"/>
          <w:sz w:val="28"/>
          <w:szCs w:val="28"/>
          <w:highlight w:val="none"/>
        </w:rPr>
        <w:t>。</w:t>
      </w:r>
    </w:p>
    <w:p w14:paraId="0BC699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 xml:space="preserve">第四条 合同价格   </w:t>
      </w:r>
    </w:p>
    <w:p w14:paraId="736911F9">
      <w:pPr>
        <w:pStyle w:val="34"/>
        <w:keepNext w:val="0"/>
        <w:keepLines w:val="0"/>
        <w:pageBreakBefore w:val="0"/>
        <w:widowControl/>
        <w:kinsoku/>
        <w:wordWrap/>
        <w:overflowPunct/>
        <w:topLinePunct w:val="0"/>
        <w:autoSpaceDE/>
        <w:autoSpaceDN/>
        <w:bidi w:val="0"/>
        <w:adjustRightInd w:val="0"/>
        <w:snapToGrid w:val="0"/>
        <w:spacing w:after="0"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合同总金额人民币（大写）</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元整，本合同为</w:t>
      </w:r>
      <w:r>
        <w:rPr>
          <w:rFonts w:hint="eastAsia" w:ascii="方正仿宋_GBK" w:hAnsi="方正仿宋_GBK" w:eastAsia="方正仿宋_GBK" w:cs="方正仿宋_GBK"/>
          <w:sz w:val="28"/>
          <w:szCs w:val="28"/>
          <w:highlight w:val="none"/>
        </w:rPr>
        <w:t>固定</w:t>
      </w:r>
      <w:r>
        <w:rPr>
          <w:rFonts w:hint="eastAsia" w:ascii="方正仿宋_GBK" w:hAnsi="方正仿宋_GBK" w:eastAsia="方正仿宋_GBK" w:cs="方正仿宋_GBK"/>
          <w:sz w:val="28"/>
          <w:szCs w:val="28"/>
          <w:highlight w:val="none"/>
          <w:lang w:val="en-US" w:eastAsia="zh-CN"/>
        </w:rPr>
        <w:t>单价</w:t>
      </w:r>
      <w:r>
        <w:rPr>
          <w:rFonts w:hint="eastAsia" w:ascii="方正仿宋_GBK" w:hAnsi="方正仿宋_GBK" w:eastAsia="方正仿宋_GBK" w:cs="方正仿宋_GBK"/>
          <w:sz w:val="28"/>
          <w:szCs w:val="28"/>
          <w:highlight w:val="none"/>
        </w:rPr>
        <w:t>合</w:t>
      </w:r>
      <w:r>
        <w:rPr>
          <w:rFonts w:hint="eastAsia" w:ascii="方正仿宋_GBK" w:hAnsi="方正仿宋_GBK" w:eastAsia="方正仿宋_GBK" w:cs="方正仿宋_GBK"/>
          <w:sz w:val="28"/>
          <w:szCs w:val="28"/>
        </w:rPr>
        <w:t>同，</w:t>
      </w:r>
      <w:r>
        <w:rPr>
          <w:rFonts w:hint="eastAsia" w:ascii="方正仿宋_GBK" w:hAnsi="方正仿宋_GBK" w:eastAsia="方正仿宋_GBK" w:cs="方正仿宋_GBK"/>
          <w:sz w:val="28"/>
          <w:szCs w:val="28"/>
          <w:lang w:eastAsia="zh-CN"/>
        </w:rPr>
        <w:t>按实际结算，</w:t>
      </w:r>
      <w:r>
        <w:rPr>
          <w:rFonts w:hint="eastAsia" w:ascii="方正仿宋_GBK" w:hAnsi="方正仿宋_GBK" w:eastAsia="方正仿宋_GBK" w:cs="方正仿宋_GBK"/>
          <w:sz w:val="28"/>
          <w:szCs w:val="28"/>
        </w:rPr>
        <w:t>金额包含包装费、运费、税金、保险费等， 供需双方不能因市场价格变化而调整合同价。</w:t>
      </w:r>
    </w:p>
    <w:p w14:paraId="1BB9B344">
      <w:pPr>
        <w:pStyle w:val="34"/>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付款方式</w:t>
      </w:r>
    </w:p>
    <w:p w14:paraId="3B51C19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每批次货物运送至采购人指定地点，且经由采购人验收合格后，供货方提供经双方确认的送货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方需提供履约保证金（合同价的5%），履约保证金于合同期满且无未决质量争议后无息退还。</w:t>
      </w:r>
    </w:p>
    <w:p w14:paraId="56AA12FF">
      <w:pPr>
        <w:pStyle w:val="34"/>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验收标准</w:t>
      </w:r>
    </w:p>
    <w:p w14:paraId="66971CD6">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供方应提供相应的送货单，采购方</w:t>
      </w: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相关</w:t>
      </w:r>
      <w:r>
        <w:rPr>
          <w:rFonts w:hint="eastAsia" w:ascii="方正仿宋_GBK" w:hAnsi="方正仿宋_GBK" w:eastAsia="方正仿宋_GBK" w:cs="方正仿宋_GBK"/>
          <w:sz w:val="28"/>
          <w:szCs w:val="28"/>
        </w:rPr>
        <w:t>技术协议</w:t>
      </w:r>
      <w:r>
        <w:rPr>
          <w:rFonts w:hint="eastAsia" w:ascii="方正仿宋_GBK" w:hAnsi="方正仿宋_GBK" w:eastAsia="方正仿宋_GBK" w:cs="方正仿宋_GBK"/>
          <w:sz w:val="28"/>
          <w:szCs w:val="28"/>
          <w:lang w:eastAsia="zh-CN"/>
        </w:rPr>
        <w:t>、行业规范或</w:t>
      </w:r>
      <w:r>
        <w:rPr>
          <w:rFonts w:hint="eastAsia" w:ascii="方正仿宋_GBK" w:hAnsi="方正仿宋_GBK" w:eastAsia="方正仿宋_GBK" w:cs="方正仿宋_GBK"/>
          <w:sz w:val="28"/>
          <w:szCs w:val="28"/>
        </w:rPr>
        <w:t>国家标准</w:t>
      </w:r>
      <w:r>
        <w:rPr>
          <w:rFonts w:hint="eastAsia" w:ascii="方正仿宋_GBK" w:hAnsi="方正仿宋_GBK" w:eastAsia="方正仿宋_GBK" w:cs="方正仿宋_GBK"/>
          <w:sz w:val="28"/>
          <w:szCs w:val="28"/>
          <w:lang w:eastAsia="zh-CN"/>
        </w:rPr>
        <w:t>进行</w:t>
      </w:r>
      <w:r>
        <w:rPr>
          <w:rFonts w:hint="eastAsia" w:ascii="方正仿宋_GBK" w:hAnsi="方正仿宋_GBK" w:eastAsia="方正仿宋_GBK" w:cs="方正仿宋_GBK"/>
          <w:sz w:val="28"/>
          <w:szCs w:val="28"/>
        </w:rPr>
        <w:t>验收，</w:t>
      </w:r>
      <w:r>
        <w:rPr>
          <w:rFonts w:hint="eastAsia" w:ascii="方正仿宋_GBK" w:hAnsi="方正仿宋_GBK" w:eastAsia="方正仿宋_GBK" w:cs="方正仿宋_GBK"/>
          <w:sz w:val="28"/>
          <w:szCs w:val="28"/>
          <w:lang w:eastAsia="zh-CN"/>
        </w:rPr>
        <w:t>验收标准以严格者为基准，规格、质量等应符合相关质量标准。</w:t>
      </w:r>
      <w:r>
        <w:rPr>
          <w:rFonts w:hint="eastAsia" w:ascii="方正仿宋_GBK" w:hAnsi="方正仿宋_GBK" w:eastAsia="方正仿宋_GBK" w:cs="方正仿宋_GBK"/>
          <w:sz w:val="28"/>
          <w:szCs w:val="28"/>
        </w:rPr>
        <w:t xml:space="preserve">到厂验收，只能视为初步验收，即可合同要求予以接收，并不能视为供方对其产品在质保期内损坏所应负责任解除的凭据。  </w:t>
      </w:r>
    </w:p>
    <w:p w14:paraId="173FD379">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若发现质量不合格者，采购方有权拒收，并视为材料并未到场。供方应无条件将不合格货品运出现场，由此产生的相关费用及给采购方造成的一切损失由供货方承担。</w:t>
      </w:r>
      <w:r>
        <w:rPr>
          <w:rFonts w:hint="eastAsia"/>
        </w:rPr>
        <w:t xml:space="preserve">                                                                                                                                </w:t>
      </w:r>
    </w:p>
    <w:p w14:paraId="4F304792">
      <w:pPr>
        <w:pStyle w:val="34"/>
        <w:keepNext w:val="0"/>
        <w:keepLines w:val="0"/>
        <w:pageBreakBefore w:val="0"/>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rPr>
      </w:pPr>
      <w:r>
        <w:rPr>
          <w:rFonts w:hint="eastAsia" w:ascii="黑体" w:hAnsi="黑体" w:eastAsia="黑体" w:cs="黑体"/>
          <w:kern w:val="2"/>
          <w:sz w:val="28"/>
          <w:szCs w:val="28"/>
          <w:lang w:val="en-US" w:eastAsia="zh-CN" w:bidi="ar-SA"/>
        </w:rPr>
        <w:t>第七条 包装标准、包装物的供应与回收</w:t>
      </w:r>
    </w:p>
    <w:p w14:paraId="220506C4">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供方所交付的货品必须包装完整，并采取防潮、防湿、防震、防锈、防腐蚀等措施，以保证在长途运输中经受多次搬运和装卸后，货物完好无损，安全到达目的地。由于采用不充分或不妥善的防护措施造成货物的任何损坏、腐蚀或变形，供方应承担由此造成的一切损失。</w:t>
      </w:r>
    </w:p>
    <w:p w14:paraId="6D43C1D8">
      <w:pPr>
        <w:pStyle w:val="34"/>
        <w:keepNext w:val="0"/>
        <w:keepLines w:val="0"/>
        <w:pageBreakBefore w:val="0"/>
        <w:widowControl/>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第八条 质量保证</w:t>
      </w:r>
    </w:p>
    <w:p w14:paraId="6BA67361">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供方保证其供应的本合同标的是全新的，技术水平先进、成熟、质量优良、安全可靠、经济运行和易于维护。本合同下质量标准为国家标准及相关行业标准（不同标准之间如有冲突，比较严格者为准）。在正常使用过程中，如有产品质量问题，供货方需依据国家法律法规进行</w:t>
      </w:r>
      <w:r>
        <w:rPr>
          <w:rFonts w:hint="eastAsia" w:ascii="方正仿宋_GBK" w:hAnsi="方正仿宋_GBK" w:eastAsia="方正仿宋_GBK" w:cs="方正仿宋_GBK"/>
          <w:sz w:val="28"/>
          <w:szCs w:val="28"/>
          <w:lang w:eastAsia="zh-CN"/>
        </w:rPr>
        <w:t>更换</w:t>
      </w:r>
      <w:r>
        <w:rPr>
          <w:rFonts w:hint="eastAsia" w:ascii="方正仿宋_GBK" w:hAnsi="方正仿宋_GBK" w:eastAsia="方正仿宋_GBK" w:cs="方正仿宋_GBK"/>
          <w:sz w:val="28"/>
          <w:szCs w:val="28"/>
        </w:rPr>
        <w:t xml:space="preserve">。 </w:t>
      </w:r>
      <w:r>
        <w:rPr>
          <w:rFonts w:hint="eastAsia"/>
        </w:rPr>
        <w:t xml:space="preserve">                                                                                                                                                                                                                                                                                                                               </w:t>
      </w:r>
    </w:p>
    <w:p w14:paraId="27C7A2CE">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运输方式及费用负担</w:t>
      </w:r>
    </w:p>
    <w:p w14:paraId="65A979A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 xml:space="preserve">汽车运输到指定地点，运输费用由供货方承担。    </w:t>
      </w:r>
      <w:r>
        <w:rPr>
          <w:rFonts w:hint="eastAsia"/>
        </w:rPr>
        <w:t xml:space="preserve">                           </w:t>
      </w:r>
    </w:p>
    <w:p w14:paraId="50F570C4">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leftChars="0" w:firstLine="0" w:firstLineChars="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本合同解除的条件</w:t>
      </w:r>
    </w:p>
    <w:p w14:paraId="517AD2AA">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采供双方的任何一方由于不可抗力的原因不能履行合同时，应及时向对方通报不能履行或不能完全履行的理由。在取得有关证明后，允许延期履行、部分履行或解除合同。</w:t>
      </w:r>
    </w:p>
    <w:p w14:paraId="46A6141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本合同在双方责任、义务履行完毕后终止。</w:t>
      </w:r>
      <w:r>
        <w:rPr>
          <w:rFonts w:hint="eastAsia"/>
        </w:rPr>
        <w:t xml:space="preserve">                                                                                                                                            </w:t>
      </w:r>
    </w:p>
    <w:p w14:paraId="7F0296D3">
      <w:pPr>
        <w:pStyle w:val="34"/>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第十一条 违约责任</w:t>
      </w:r>
    </w:p>
    <w:p w14:paraId="798880A3">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14:paraId="035FEAFA">
      <w:pPr>
        <w:pStyle w:val="34"/>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合同争议的解决方式</w:t>
      </w:r>
    </w:p>
    <w:p w14:paraId="26F90E7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本合同在履行过程中发生的争议，由双方当事人协商解决；也可由当地工商行政管理部门调解；协商或调解不成的，依法向采购方所在地人民法院起诉。   </w:t>
      </w:r>
    </w:p>
    <w:p w14:paraId="1E6F3A12">
      <w:pPr>
        <w:pStyle w:val="34"/>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售后要求</w:t>
      </w:r>
    </w:p>
    <w:p w14:paraId="7C78ABD5">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必须满足采购人售后服务要求。如产品使用过程发生问题，</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通知后48小时内派人员到达现场进行免费指导解决问题。</w:t>
      </w:r>
    </w:p>
    <w:p w14:paraId="393C1340">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的派遣人员产生的一切费用由</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承担。</w:t>
      </w:r>
    </w:p>
    <w:p w14:paraId="56EB3E8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sz w:val="28"/>
          <w:szCs w:val="28"/>
          <w:highlight w:val="none"/>
          <w:lang w:val="en-US" w:eastAsia="zh-CN"/>
        </w:rPr>
      </w:pPr>
      <w:r>
        <w:rPr>
          <w:rFonts w:hint="eastAsia" w:ascii="方正仿宋_GBK" w:hAnsi="方正仿宋_GBK" w:eastAsia="方正仿宋_GBK" w:cs="方正仿宋_GBK"/>
          <w:sz w:val="28"/>
          <w:szCs w:val="28"/>
        </w:rPr>
        <w:br w:type="page"/>
      </w:r>
      <w:bookmarkStart w:id="14" w:name="_Toc25146"/>
      <w:r>
        <w:rPr>
          <w:rFonts w:hint="eastAsia" w:ascii="Times New Roman" w:hAnsi="Times New Roman" w:eastAsia="方正仿宋_GBK" w:cs="Times New Roman"/>
          <w:b/>
          <w:bCs/>
          <w:sz w:val="28"/>
          <w:szCs w:val="28"/>
          <w:highlight w:val="none"/>
          <w:lang w:val="en-US" w:eastAsia="zh-CN"/>
        </w:rPr>
        <w:t>附件：</w:t>
      </w:r>
      <w:bookmarkEnd w:id="14"/>
    </w:p>
    <w:p w14:paraId="4ED188FA">
      <w:pPr>
        <w:keepNext w:val="0"/>
        <w:keepLines w:val="0"/>
        <w:pageBreakBefore w:val="0"/>
        <w:widowControl/>
        <w:kinsoku/>
        <w:wordWrap/>
        <w:overflowPunct/>
        <w:topLinePunct w:val="0"/>
        <w:autoSpaceDE/>
        <w:autoSpaceDN/>
        <w:bidi w:val="0"/>
        <w:adjustRightInd w:val="0"/>
        <w:snapToGrid w:val="0"/>
        <w:spacing w:after="0" w:line="579" w:lineRule="atLeast"/>
        <w:jc w:val="center"/>
        <w:textAlignment w:val="auto"/>
        <w:outlineLvl w:val="1"/>
        <w:rPr>
          <w:rFonts w:hint="eastAsia" w:ascii="宋体" w:hAnsi="宋体" w:cs="宋体"/>
          <w:color w:val="auto"/>
          <w:kern w:val="0"/>
          <w:sz w:val="36"/>
          <w:szCs w:val="36"/>
          <w:highlight w:val="none"/>
        </w:rPr>
      </w:pPr>
      <w:r>
        <w:rPr>
          <w:rFonts w:hint="eastAsia" w:ascii="Times New Roman" w:hAnsi="Times New Roman" w:eastAsia="方正小标宋_GBK" w:cs="Times New Roman"/>
          <w:b/>
          <w:sz w:val="36"/>
          <w:szCs w:val="36"/>
          <w:highlight w:val="none"/>
        </w:rPr>
        <w:t>廉政责任书</w:t>
      </w:r>
    </w:p>
    <w:p w14:paraId="680823BA">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宋体" w:hAnsi="宋体" w:cs="宋体"/>
          <w:b/>
          <w:color w:val="auto"/>
          <w:kern w:val="0"/>
          <w:sz w:val="24"/>
          <w:highlight w:val="none"/>
        </w:rPr>
      </w:pPr>
    </w:p>
    <w:p w14:paraId="29AC2F41">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项目名称：绍兴市再生能源发展有限公司</w:t>
      </w:r>
      <w:r>
        <w:rPr>
          <w:rFonts w:hint="eastAsia" w:ascii="方正仿宋_GBK" w:hAnsi="方正仿宋_GBK" w:eastAsia="方正仿宋_GBK" w:cs="方正仿宋_GBK"/>
          <w:b/>
          <w:bCs/>
          <w:sz w:val="24"/>
          <w:szCs w:val="24"/>
          <w:highlight w:val="none"/>
          <w:lang w:val="en-US" w:eastAsia="zh-CN"/>
        </w:rPr>
        <w:t>年度纸巾采购项目</w:t>
      </w:r>
    </w:p>
    <w:p w14:paraId="5BF27F0E">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甲方(全称)：绍兴市再生能源发展有限公司            （以下简称甲方）</w:t>
      </w:r>
    </w:p>
    <w:p w14:paraId="3B0C6F86">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乙方(全称)：</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（以下简称乙方）</w:t>
      </w:r>
    </w:p>
    <w:p w14:paraId="23A184F8">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为加强项目实施过程中的廉政建设，规范项目承发包双方的各项活动，防止发生各种谋取不正当利益的违法违纪行为，保护国家、集体和当事人的合法权益，根据国家有关的法律法规和廉政建设责任制规定，特订立本廉政责任书。</w:t>
      </w:r>
    </w:p>
    <w:p w14:paraId="3396A70F">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第一条 甲、乙双方的责任</w:t>
      </w:r>
    </w:p>
    <w:p w14:paraId="41CA0BED">
      <w:pPr>
        <w:pStyle w:val="34"/>
        <w:keepNext w:val="0"/>
        <w:keepLines w:val="0"/>
        <w:pageBreakBefore w:val="0"/>
        <w:widowControl/>
        <w:kinsoku/>
        <w:wordWrap/>
        <w:overflowPunct/>
        <w:topLinePunct w:val="0"/>
        <w:autoSpaceDE/>
        <w:autoSpaceDN/>
        <w:bidi w:val="0"/>
        <w:adjustRightInd w:val="0"/>
        <w:snapToGrid w:val="0"/>
        <w:spacing w:line="579" w:lineRule="atLeast"/>
        <w:ind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应严格遵守国家关于市场准入、项目招标投和市场活动等有关法律、法规，相关政策，以及廉政建设的各项规定。</w:t>
      </w:r>
    </w:p>
    <w:p w14:paraId="5F35611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严格执行项目承发包合同文件，自觉按合同办事。</w:t>
      </w:r>
    </w:p>
    <w:p w14:paraId="2E7EA6D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业务活动必须坚持公开、公平、公正、诚信、透明的原则（除法律法规另有规定者外），不得为获取不正当的利益，损害国家、集体和对方利益，不得违反项目管理、施工安装的规章制度。</w:t>
      </w:r>
    </w:p>
    <w:p w14:paraId="445E1B64">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发现对方在业务活动中有违规、违纪、违法行为的，应及时提醒对方，情节严重的，应向其上级主管部门或纪检监察、司法等有关机关举报。</w:t>
      </w:r>
    </w:p>
    <w:p w14:paraId="214B227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第二条 甲方的责任</w:t>
      </w:r>
    </w:p>
    <w:p w14:paraId="528C214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甲方的领导和从事该项目管理的工作人员，在项目服务的事前、事中、事后应遵守以下规定：</w:t>
      </w:r>
    </w:p>
    <w:p w14:paraId="216B087B">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不准向乙方和相关单位索要或接受回扣、礼金、有价证券、贵重物品和好处费、感谢费等。</w:t>
      </w:r>
    </w:p>
    <w:p w14:paraId="05413C5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不准在乙方和相关单位报销任何应由甲方或个人支付的费用。</w:t>
      </w:r>
    </w:p>
    <w:p w14:paraId="608528D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不准要求、暗示和接受乙方和相关单位为个人装修住房、婚丧嫁娶、配偶子女的工作安排以及出国（境）、旅游等提供方便。</w:t>
      </w:r>
    </w:p>
    <w:p w14:paraId="41C126F2">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不准参加有可能影响公正执行公务的乙方和相关单位的宴请和健身、娱乐等活动。</w:t>
      </w:r>
    </w:p>
    <w:p w14:paraId="1F2E2E4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（五）</w:t>
      </w:r>
      <w:r>
        <w:rPr>
          <w:rFonts w:hint="default" w:ascii="Times New Roman" w:hAnsi="Times New Roman" w:eastAsia="方正仿宋_GBK" w:cs="Times New Roman"/>
          <w:sz w:val="28"/>
          <w:szCs w:val="28"/>
          <w:highlight w:val="none"/>
          <w:lang w:val="en-US" w:eastAsia="zh-CN"/>
        </w:rPr>
        <w:t>不准向乙方介绍或为配偶、子女、亲属参与同甲方项目合同有关的设备、材料、工程分包、劳务等经济活动。不得以任何理由向乙方和相关单位推荐分包单位和要求乙方购买项目合同规定以外的材料、设备等。</w:t>
      </w:r>
    </w:p>
    <w:p w14:paraId="7540230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第三条 乙方的责任</w:t>
      </w:r>
    </w:p>
    <w:p w14:paraId="650C73F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应与甲方保持正常的业务交往，按照有关法律法规和程序开展业务工作，严格执行项目的有关方针、政策，并遵守以下规定：</w:t>
      </w:r>
    </w:p>
    <w:p w14:paraId="7A8A03C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不准以任何理由向甲方、相关单位及其工作人员索要、接受或赠送礼金、有价证券、贵重物品和回扣、好处费、感谢费等。</w:t>
      </w:r>
    </w:p>
    <w:p w14:paraId="5748F48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不准以任何理由为甲方和相关单位报销应由对方或个人支付的费用。</w:t>
      </w:r>
    </w:p>
    <w:p w14:paraId="721334D7">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不准接受或暗示为甲方、相关单位或个人装修住房、婚丧嫁娶、配偶子女的工作安排以及出国（境）、旅游等提供方便。</w:t>
      </w:r>
    </w:p>
    <w:p w14:paraId="052A79F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不准以任何理由为甲方、相关单位或个人组织有可能影响公正执行公务的宴请、健身、娱乐等活动。</w:t>
      </w:r>
    </w:p>
    <w:p w14:paraId="7A950F7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第四条 违约责任</w:t>
      </w:r>
    </w:p>
    <w:p w14:paraId="6BC0231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甲方工作人员有违反本责任书第一、二条责任行为的，按照管理权限，依据有关法律法规和规定给予党纪、政纪处分或组织处理；涉嫌犯罪的，移交司法机关追究刑事责任；给乙方单位造成经济损失的，应予以赔偿。</w:t>
      </w:r>
    </w:p>
    <w:p w14:paraId="7F42B54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乙方工作人员有违反本责任书第一、三条责任行为的，按照管理权限，依据有关法律法规和规定给予党纪、政纪处分或组织处理；涉嫌犯罪的，移交司法机关追究刑事责任；给甲方单位造成经济损失的，应予以赔偿；廉政建设风险抵押金不予返还。</w:t>
      </w:r>
    </w:p>
    <w:p w14:paraId="7F81918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第五条</w:t>
      </w:r>
      <w:r>
        <w:rPr>
          <w:rFonts w:hint="default" w:ascii="Times New Roman" w:hAnsi="Times New Roman" w:eastAsia="方正仿宋_GBK" w:cs="Times New Roman"/>
          <w:sz w:val="28"/>
          <w:szCs w:val="28"/>
          <w:highlight w:val="none"/>
          <w:lang w:val="en-US" w:eastAsia="zh-CN"/>
        </w:rPr>
        <w:t xml:space="preserve">  本责任书作为服务合同的附件，与服务合同具有同等法律效力。经双方签署后立即生效。</w:t>
      </w:r>
    </w:p>
    <w:p w14:paraId="35911D4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第六条  </w:t>
      </w:r>
      <w:r>
        <w:rPr>
          <w:rFonts w:hint="default" w:ascii="Times New Roman" w:hAnsi="Times New Roman" w:eastAsia="方正仿宋_GBK" w:cs="Times New Roman"/>
          <w:sz w:val="28"/>
          <w:szCs w:val="28"/>
          <w:highlight w:val="none"/>
          <w:lang w:val="en-US" w:eastAsia="zh-CN"/>
        </w:rPr>
        <w:t>本责任书的有效期为双方签署之日起至该服务项目质保期结束时止。</w:t>
      </w:r>
    </w:p>
    <w:p w14:paraId="20F34458">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第七条  </w:t>
      </w:r>
      <w:r>
        <w:rPr>
          <w:rFonts w:hint="default" w:ascii="Times New Roman" w:hAnsi="Times New Roman" w:eastAsia="方正仿宋_GBK" w:cs="Times New Roman"/>
          <w:sz w:val="28"/>
          <w:szCs w:val="28"/>
          <w:highlight w:val="none"/>
          <w:lang w:val="en-US" w:eastAsia="zh-CN"/>
        </w:rPr>
        <w:t>本责任书一式</w:t>
      </w:r>
      <w:r>
        <w:rPr>
          <w:rFonts w:hint="eastAsia" w:ascii="Times New Roman" w:hAnsi="Times New Roman" w:eastAsia="方正仿宋_GBK" w:cs="Times New Roman"/>
          <w:sz w:val="28"/>
          <w:szCs w:val="28"/>
          <w:highlight w:val="none"/>
          <w:lang w:val="en-US" w:eastAsia="zh-CN"/>
        </w:rPr>
        <w:t>六</w:t>
      </w:r>
      <w:r>
        <w:rPr>
          <w:rFonts w:hint="default" w:ascii="Times New Roman" w:hAnsi="Times New Roman" w:eastAsia="方正仿宋_GBK" w:cs="Times New Roman"/>
          <w:sz w:val="28"/>
          <w:szCs w:val="28"/>
          <w:highlight w:val="none"/>
          <w:lang w:val="en-US" w:eastAsia="zh-CN"/>
        </w:rPr>
        <w:t>份，</w:t>
      </w:r>
      <w:r>
        <w:rPr>
          <w:rFonts w:hint="eastAsia" w:ascii="Times New Roman" w:hAnsi="Times New Roman" w:eastAsia="方正仿宋_GBK" w:cs="Times New Roman"/>
          <w:sz w:val="28"/>
          <w:szCs w:val="28"/>
          <w:highlight w:val="none"/>
          <w:lang w:val="en-US" w:eastAsia="zh-CN"/>
        </w:rPr>
        <w:t>甲方</w:t>
      </w:r>
      <w:r>
        <w:rPr>
          <w:rFonts w:hint="default" w:ascii="Times New Roman" w:hAnsi="Times New Roman" w:eastAsia="方正仿宋_GBK" w:cs="Times New Roman"/>
          <w:sz w:val="28"/>
          <w:szCs w:val="28"/>
          <w:highlight w:val="none"/>
          <w:lang w:eastAsia="zh-CN"/>
        </w:rPr>
        <w:t>五份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乙方</w:t>
      </w:r>
      <w:r>
        <w:rPr>
          <w:rFonts w:hint="default" w:ascii="Times New Roman" w:hAnsi="Times New Roman" w:eastAsia="方正仿宋_GBK" w:cs="Times New Roman"/>
          <w:sz w:val="28"/>
          <w:szCs w:val="28"/>
          <w:highlight w:val="none"/>
          <w:lang w:eastAsia="zh-CN"/>
        </w:rPr>
        <w:t>一份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作为合同附件后附</w:t>
      </w:r>
      <w:r>
        <w:rPr>
          <w:rFonts w:hint="default" w:ascii="Times New Roman" w:hAnsi="Times New Roman" w:eastAsia="方正仿宋_GBK" w:cs="Times New Roman"/>
          <w:sz w:val="28"/>
          <w:szCs w:val="28"/>
          <w:highlight w:val="none"/>
          <w:lang w:val="en-US" w:eastAsia="zh-CN"/>
        </w:rPr>
        <w:t>。</w:t>
      </w:r>
    </w:p>
    <w:p w14:paraId="4A29045E">
      <w:pPr>
        <w:pStyle w:val="36"/>
        <w:keepNext w:val="0"/>
        <w:keepLines w:val="0"/>
        <w:pageBreakBefore w:val="0"/>
        <w:kinsoku/>
        <w:wordWrap/>
        <w:overflowPunct/>
        <w:topLinePunct w:val="0"/>
        <w:bidi w:val="0"/>
        <w:adjustRightInd w:val="0"/>
        <w:spacing w:line="579" w:lineRule="atLeast"/>
        <w:textAlignment w:val="auto"/>
        <w:rPr>
          <w:rFonts w:hint="default" w:ascii="Times New Roman" w:hAnsi="Times New Roman" w:eastAsia="方正仿宋_GBK" w:cs="Times New Roman"/>
          <w:color w:val="auto"/>
          <w:highlight w:val="none"/>
        </w:rPr>
      </w:pPr>
    </w:p>
    <w:p w14:paraId="7D2C6DA2">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甲方（盖章）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乙方（盖章）</w:t>
      </w:r>
      <w:r>
        <w:rPr>
          <w:rFonts w:hint="eastAsia" w:ascii="Times New Roman" w:hAnsi="Times New Roman" w:eastAsia="方正仿宋_GBK" w:cs="Times New Roman"/>
          <w:b/>
          <w:bCs/>
          <w:color w:val="auto"/>
          <w:kern w:val="0"/>
          <w:sz w:val="24"/>
          <w:highlight w:val="none"/>
          <w:lang w:val="en-US" w:eastAsia="zh-CN"/>
        </w:rPr>
        <w:t xml:space="preserve"> </w:t>
      </w:r>
    </w:p>
    <w:p w14:paraId="53B6CF9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法定代表人（签名或盖章）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法定代表人（签名或盖章）</w:t>
      </w:r>
    </w:p>
    <w:p w14:paraId="292D77D1">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或委托代理人（签名）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 xml:space="preserve">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或委托代理人（签名）</w:t>
      </w:r>
    </w:p>
    <w:p w14:paraId="5F472F65">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eastAsia" w:ascii="Times New Roman" w:hAnsi="Times New Roman" w:eastAsia="方正仿宋_GBK" w:cs="Times New Roman"/>
          <w:b/>
          <w:bCs/>
          <w:color w:val="auto"/>
          <w:kern w:val="0"/>
          <w:sz w:val="24"/>
          <w:highlight w:val="none"/>
          <w:lang w:val="en-US" w:eastAsia="zh-CN"/>
        </w:rPr>
      </w:pPr>
    </w:p>
    <w:p w14:paraId="66FD5BB8">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default" w:ascii="Times New Roman" w:hAnsi="Times New Roman" w:eastAsia="方正仿宋_GBK" w:cs="Times New Roman"/>
          <w:b/>
          <w:bCs/>
          <w:color w:val="auto"/>
          <w:kern w:val="0"/>
          <w:sz w:val="24"/>
          <w:highlight w:val="none"/>
          <w:lang w:val="en-US" w:eastAsia="zh-CN"/>
        </w:rPr>
      </w:pPr>
      <w:r>
        <w:rPr>
          <w:rFonts w:hint="eastAsia" w:ascii="Times New Roman" w:hAnsi="Times New Roman" w:eastAsia="方正仿宋_GBK" w:cs="Times New Roman"/>
          <w:b/>
          <w:bCs/>
          <w:color w:val="auto"/>
          <w:kern w:val="0"/>
          <w:sz w:val="24"/>
          <w:highlight w:val="none"/>
          <w:lang w:val="en-US" w:eastAsia="zh-CN"/>
        </w:rPr>
        <w:t xml:space="preserve">     </w:t>
      </w:r>
    </w:p>
    <w:p w14:paraId="60DC584E">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default" w:ascii="Times New Roman" w:hAnsi="Times New Roman" w:eastAsia="方正仿宋_GBK" w:cs="Times New Roman"/>
          <w:b/>
          <w:bCs/>
          <w:color w:val="auto"/>
          <w:kern w:val="0"/>
          <w:sz w:val="24"/>
          <w:highlight w:val="none"/>
        </w:rPr>
      </w:pPr>
      <w:r>
        <w:rPr>
          <w:rFonts w:hint="eastAsia" w:ascii="Times New Roman" w:hAnsi="Times New Roman" w:eastAsia="方正仿宋_GBK" w:cs="Times New Roman"/>
          <w:b/>
          <w:bCs/>
          <w:color w:val="auto"/>
          <w:kern w:val="0"/>
          <w:sz w:val="24"/>
          <w:highlight w:val="none"/>
          <w:lang w:val="en-US" w:eastAsia="zh-CN"/>
        </w:rPr>
        <w:t xml:space="preserve">                                                                                 </w:t>
      </w:r>
      <w:r>
        <w:rPr>
          <w:rFonts w:hint="eastAsia"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年</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月</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日</w:t>
      </w:r>
    </w:p>
    <w:p w14:paraId="669456BD">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eastAsia" w:ascii="Times New Roman" w:hAnsi="Times New Roman" w:eastAsia="方正仿宋_GBK" w:cs="Times New Roman"/>
          <w:b/>
          <w:bCs/>
          <w:color w:val="auto"/>
          <w:kern w:val="0"/>
          <w:sz w:val="24"/>
          <w:highlight w:val="none"/>
        </w:rPr>
      </w:pPr>
    </w:p>
    <w:p w14:paraId="7DE9D414">
      <w:pPr>
        <w:pStyle w:val="2"/>
        <w:numPr>
          <w:ilvl w:val="0"/>
          <w:numId w:val="0"/>
        </w:numPr>
        <w:jc w:val="center"/>
        <w:rPr>
          <w:rFonts w:hint="eastAsia" w:ascii="仿宋" w:hAnsi="仿宋" w:eastAsia="仿宋" w:cs="仿宋"/>
          <w:snapToGrid w:val="0"/>
          <w:sz w:val="44"/>
          <w:szCs w:val="44"/>
        </w:rPr>
      </w:pPr>
      <w:bookmarkStart w:id="15" w:name="_Toc895"/>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2"/>
      <w:bookmarkEnd w:id="15"/>
    </w:p>
    <w:p w14:paraId="43C9EF44">
      <w:pPr>
        <w:spacing w:line="480" w:lineRule="auto"/>
        <w:jc w:val="right"/>
        <w:rPr>
          <w:rFonts w:hint="eastAsia" w:ascii="仿宋" w:hAnsi="仿宋" w:eastAsia="仿宋" w:cs="仿宋"/>
          <w:sz w:val="32"/>
        </w:rPr>
      </w:pPr>
    </w:p>
    <w:p w14:paraId="6D16F87F">
      <w:pPr>
        <w:rPr>
          <w:rFonts w:hint="eastAsia" w:ascii="仿宋" w:hAnsi="仿宋" w:eastAsia="仿宋" w:cs="仿宋"/>
          <w:sz w:val="44"/>
        </w:rPr>
      </w:pPr>
    </w:p>
    <w:p w14:paraId="3EFA8C98">
      <w:pPr>
        <w:spacing w:line="360" w:lineRule="auto"/>
        <w:jc w:val="center"/>
        <w:rPr>
          <w:rFonts w:hint="eastAsia" w:ascii="仿宋" w:hAnsi="仿宋" w:eastAsia="仿宋" w:cs="仿宋"/>
          <w:sz w:val="52"/>
          <w:highlight w:val="none"/>
          <w:lang w:val="en-US" w:eastAsia="zh-CN"/>
        </w:rPr>
      </w:pPr>
      <w:r>
        <w:rPr>
          <w:rFonts w:hint="eastAsia" w:ascii="仿宋" w:hAnsi="仿宋" w:eastAsia="仿宋" w:cs="仿宋"/>
          <w:sz w:val="52"/>
          <w:highlight w:val="none"/>
          <w:lang w:val="en-US" w:eastAsia="zh-CN"/>
        </w:rPr>
        <w:t>绍兴市再生能源发展有限公司</w:t>
      </w:r>
    </w:p>
    <w:p w14:paraId="1BF065C3">
      <w:pPr>
        <w:spacing w:line="360" w:lineRule="auto"/>
        <w:jc w:val="center"/>
        <w:rPr>
          <w:rFonts w:hint="eastAsia" w:ascii="仿宋" w:hAnsi="仿宋" w:eastAsia="仿宋" w:cs="仿宋"/>
          <w:sz w:val="52"/>
          <w:highlight w:val="none"/>
        </w:rPr>
      </w:pPr>
      <w:r>
        <w:rPr>
          <w:rFonts w:hint="eastAsia" w:ascii="仿宋" w:hAnsi="仿宋" w:eastAsia="仿宋" w:cs="仿宋"/>
          <w:sz w:val="52"/>
          <w:highlight w:val="none"/>
          <w:lang w:val="en-US" w:eastAsia="zh-CN"/>
        </w:rPr>
        <w:t>年度纸巾采购项目</w:t>
      </w:r>
    </w:p>
    <w:p w14:paraId="43E2F06B">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SX-CG-ZJ-2604010</w:t>
      </w:r>
    </w:p>
    <w:p w14:paraId="6F7EC41B">
      <w:pPr>
        <w:rPr>
          <w:rFonts w:hint="eastAsia" w:ascii="仿宋" w:hAnsi="仿宋" w:eastAsia="仿宋" w:cs="仿宋"/>
          <w:sz w:val="44"/>
        </w:rPr>
      </w:pPr>
    </w:p>
    <w:p w14:paraId="1B8AF216">
      <w:pPr>
        <w:rPr>
          <w:rFonts w:hint="eastAsia" w:ascii="仿宋" w:hAnsi="仿宋" w:eastAsia="仿宋" w:cs="仿宋"/>
          <w:sz w:val="44"/>
        </w:rPr>
      </w:pPr>
    </w:p>
    <w:p w14:paraId="258D6BE4">
      <w:pPr>
        <w:rPr>
          <w:rFonts w:hint="eastAsia" w:ascii="仿宋" w:hAnsi="仿宋" w:eastAsia="仿宋" w:cs="仿宋"/>
          <w:sz w:val="84"/>
        </w:rPr>
      </w:pPr>
    </w:p>
    <w:p w14:paraId="14083582">
      <w:pPr>
        <w:jc w:val="center"/>
        <w:rPr>
          <w:rFonts w:hint="eastAsia" w:ascii="仿宋" w:hAnsi="仿宋" w:eastAsia="仿宋" w:cs="仿宋"/>
          <w:sz w:val="84"/>
        </w:rPr>
      </w:pPr>
      <w:r>
        <w:rPr>
          <w:rFonts w:hint="eastAsia" w:ascii="仿宋" w:hAnsi="仿宋" w:eastAsia="仿宋" w:cs="仿宋"/>
          <w:sz w:val="84"/>
        </w:rPr>
        <w:t>报价文件</w:t>
      </w:r>
    </w:p>
    <w:p w14:paraId="763E3073">
      <w:pPr>
        <w:jc w:val="center"/>
        <w:rPr>
          <w:rFonts w:hint="eastAsia" w:ascii="仿宋" w:hAnsi="仿宋" w:eastAsia="仿宋" w:cs="仿宋"/>
          <w:sz w:val="24"/>
        </w:rPr>
      </w:pPr>
    </w:p>
    <w:p w14:paraId="1DF28980">
      <w:pPr>
        <w:jc w:val="center"/>
        <w:rPr>
          <w:rFonts w:hint="eastAsia" w:ascii="仿宋" w:hAnsi="仿宋" w:eastAsia="仿宋" w:cs="仿宋"/>
          <w:sz w:val="24"/>
        </w:rPr>
      </w:pPr>
    </w:p>
    <w:p w14:paraId="77C3BD23">
      <w:pPr>
        <w:spacing w:line="480" w:lineRule="auto"/>
        <w:jc w:val="center"/>
        <w:rPr>
          <w:rFonts w:hint="eastAsia" w:ascii="仿宋" w:hAnsi="仿宋" w:eastAsia="仿宋" w:cs="仿宋"/>
          <w:sz w:val="24"/>
        </w:rPr>
      </w:pPr>
    </w:p>
    <w:p w14:paraId="53DBF7AE">
      <w:pPr>
        <w:spacing w:line="480" w:lineRule="auto"/>
        <w:jc w:val="center"/>
        <w:rPr>
          <w:rFonts w:hint="eastAsia" w:ascii="仿宋" w:hAnsi="仿宋" w:eastAsia="仿宋" w:cs="仿宋"/>
          <w:sz w:val="24"/>
        </w:rPr>
      </w:pPr>
    </w:p>
    <w:p w14:paraId="5B6FC157">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29704C65">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6</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37C86E5B">
      <w:pPr>
        <w:adjustRightInd w:val="0"/>
        <w:snapToGrid w:val="0"/>
        <w:spacing w:line="360" w:lineRule="auto"/>
        <w:ind w:right="480"/>
        <w:jc w:val="left"/>
        <w:rPr>
          <w:rStyle w:val="20"/>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r>
        <w:rPr>
          <w:rStyle w:val="20"/>
          <w:rFonts w:hint="eastAsia" w:ascii="仿宋" w:hAnsi="仿宋" w:eastAsia="仿宋" w:cs="仿宋"/>
          <w:sz w:val="30"/>
        </w:rPr>
        <w:br w:type="page"/>
      </w:r>
    </w:p>
    <w:p w14:paraId="743E8D4B">
      <w:pPr>
        <w:jc w:val="left"/>
        <w:outlineLvl w:val="0"/>
        <w:rPr>
          <w:rStyle w:val="20"/>
          <w:rFonts w:hint="eastAsia" w:ascii="仿宋" w:hAnsi="仿宋" w:eastAsia="仿宋" w:cs="仿宋"/>
          <w:sz w:val="30"/>
        </w:rPr>
      </w:pPr>
      <w:bookmarkStart w:id="16" w:name="_Toc8510"/>
      <w:r>
        <w:rPr>
          <w:rStyle w:val="20"/>
          <w:rFonts w:hint="eastAsia" w:ascii="仿宋" w:hAnsi="仿宋" w:eastAsia="仿宋" w:cs="仿宋"/>
          <w:sz w:val="30"/>
        </w:rPr>
        <w:t>附件</w:t>
      </w:r>
      <w:r>
        <w:rPr>
          <w:rStyle w:val="20"/>
          <w:rFonts w:hint="eastAsia" w:ascii="仿宋" w:hAnsi="仿宋" w:eastAsia="仿宋" w:cs="仿宋"/>
          <w:sz w:val="30"/>
          <w:lang w:val="en-US"/>
        </w:rPr>
        <w:t>一：</w:t>
      </w:r>
      <w:bookmarkEnd w:id="16"/>
      <w:r>
        <w:rPr>
          <w:rStyle w:val="20"/>
          <w:rFonts w:hint="eastAsia" w:ascii="仿宋" w:hAnsi="仿宋" w:eastAsia="仿宋" w:cs="仿宋"/>
          <w:sz w:val="30"/>
        </w:rPr>
        <w:t xml:space="preserve">  </w:t>
      </w:r>
    </w:p>
    <w:p w14:paraId="0B349F5C">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7CC3635A">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1D2E1BA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年度纸巾采购 </w:t>
      </w:r>
      <w:r>
        <w:rPr>
          <w:rFonts w:hint="eastAsia" w:ascii="仿宋" w:hAnsi="仿宋" w:eastAsia="仿宋" w:cs="仿宋"/>
          <w:sz w:val="30"/>
          <w:szCs w:val="30"/>
          <w:u w:val="none"/>
          <w:lang w:val="en-US" w:eastAsia="zh-CN"/>
        </w:rPr>
        <w:t>项目。</w:t>
      </w:r>
    </w:p>
    <w:tbl>
      <w:tblPr>
        <w:tblStyle w:val="13"/>
        <w:tblW w:w="5864" w:type="pct"/>
        <w:jc w:val="center"/>
        <w:tblLayout w:type="fixed"/>
        <w:tblCellMar>
          <w:top w:w="0" w:type="dxa"/>
          <w:left w:w="108" w:type="dxa"/>
          <w:bottom w:w="0" w:type="dxa"/>
          <w:right w:w="108" w:type="dxa"/>
        </w:tblCellMar>
      </w:tblPr>
      <w:tblGrid>
        <w:gridCol w:w="672"/>
        <w:gridCol w:w="2146"/>
        <w:gridCol w:w="2599"/>
        <w:gridCol w:w="915"/>
        <w:gridCol w:w="755"/>
        <w:gridCol w:w="1241"/>
        <w:gridCol w:w="1171"/>
        <w:gridCol w:w="1395"/>
      </w:tblGrid>
      <w:tr w14:paraId="0781234B">
        <w:tblPrEx>
          <w:tblCellMar>
            <w:top w:w="0" w:type="dxa"/>
            <w:left w:w="108" w:type="dxa"/>
            <w:bottom w:w="0" w:type="dxa"/>
            <w:right w:w="108" w:type="dxa"/>
          </w:tblCellMar>
        </w:tblPrEx>
        <w:trPr>
          <w:trHeight w:val="467"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051CA16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2146" w:type="dxa"/>
            <w:tcBorders>
              <w:top w:val="single" w:color="000000" w:sz="4" w:space="0"/>
              <w:left w:val="single" w:color="000000" w:sz="4" w:space="0"/>
              <w:bottom w:val="single" w:color="000000" w:sz="4" w:space="0"/>
              <w:right w:val="single" w:color="000000" w:sz="4" w:space="0"/>
            </w:tcBorders>
            <w:noWrap/>
            <w:vAlign w:val="center"/>
          </w:tcPr>
          <w:p w14:paraId="6DDB889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2599" w:type="dxa"/>
            <w:tcBorders>
              <w:top w:val="single" w:color="000000" w:sz="4" w:space="0"/>
              <w:left w:val="single" w:color="000000" w:sz="4" w:space="0"/>
              <w:bottom w:val="single" w:color="000000" w:sz="4" w:space="0"/>
              <w:right w:val="single" w:color="000000" w:sz="4" w:space="0"/>
            </w:tcBorders>
            <w:noWrap/>
            <w:vAlign w:val="center"/>
          </w:tcPr>
          <w:p w14:paraId="0B69EAFF">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规格型号</w:t>
            </w: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1DC9C4F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预估数量</w:t>
            </w:r>
          </w:p>
        </w:tc>
        <w:tc>
          <w:tcPr>
            <w:tcW w:w="755" w:type="dxa"/>
            <w:tcBorders>
              <w:top w:val="single" w:color="000000" w:sz="4" w:space="0"/>
              <w:left w:val="single" w:color="000000" w:sz="4" w:space="0"/>
              <w:bottom w:val="single" w:color="000000" w:sz="4" w:space="0"/>
              <w:right w:val="single" w:color="000000" w:sz="4" w:space="0"/>
            </w:tcBorders>
            <w:noWrap/>
            <w:vAlign w:val="center"/>
          </w:tcPr>
          <w:p w14:paraId="104FAF7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1241" w:type="dxa"/>
            <w:tcBorders>
              <w:top w:val="single" w:color="000000" w:sz="4" w:space="0"/>
              <w:left w:val="single" w:color="000000" w:sz="4" w:space="0"/>
              <w:bottom w:val="single" w:color="000000" w:sz="4" w:space="0"/>
              <w:right w:val="single" w:color="000000" w:sz="4" w:space="0"/>
            </w:tcBorders>
            <w:noWrap/>
            <w:vAlign w:val="center"/>
          </w:tcPr>
          <w:p w14:paraId="49F6303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单价</w:t>
            </w:r>
          </w:p>
          <w:p w14:paraId="7CC8F6A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（元）</w:t>
            </w:r>
          </w:p>
        </w:tc>
        <w:tc>
          <w:tcPr>
            <w:tcW w:w="1171" w:type="dxa"/>
            <w:tcBorders>
              <w:top w:val="single" w:color="000000" w:sz="4" w:space="0"/>
              <w:left w:val="single" w:color="000000" w:sz="4" w:space="0"/>
              <w:bottom w:val="single" w:color="000000" w:sz="4" w:space="0"/>
              <w:right w:val="single" w:color="000000" w:sz="4" w:space="0"/>
            </w:tcBorders>
            <w:noWrap/>
            <w:vAlign w:val="center"/>
          </w:tcPr>
          <w:p w14:paraId="5DD5E38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金额（元）</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20132">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备注</w:t>
            </w:r>
          </w:p>
        </w:tc>
      </w:tr>
      <w:tr w14:paraId="45EB7B9F">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04EBFFA9">
            <w:pPr>
              <w:keepNext w:val="0"/>
              <w:keepLines w:val="0"/>
              <w:pageBreakBefore w:val="0"/>
              <w:widowControl/>
              <w:numPr>
                <w:ilvl w:val="0"/>
                <w:numId w:val="8"/>
              </w:numPr>
              <w:suppressLineNumbers w:val="0"/>
              <w:kinsoku/>
              <w:wordWrap/>
              <w:overflowPunct/>
              <w:topLinePunct w:val="0"/>
              <w:autoSpaceDE/>
              <w:autoSpaceDN/>
              <w:bidi w:val="0"/>
              <w:adjustRightInd/>
              <w:snapToGrid/>
              <w:ind w:left="0" w:leftChars="0" w:firstLine="0"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780A5078">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擦手纸</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3B5A7D73">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纸音200张擦</w:t>
            </w:r>
          </w:p>
          <w:p w14:paraId="03760AEB">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手纸</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1CE2BAB">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70</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14:paraId="30985475">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箱</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239F67BA">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67472A0">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6B81C7D0">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20包/箱</w:t>
            </w:r>
          </w:p>
        </w:tc>
      </w:tr>
      <w:tr w14:paraId="72F233DC">
        <w:tblPrEx>
          <w:tblCellMar>
            <w:top w:w="0" w:type="dxa"/>
            <w:left w:w="108" w:type="dxa"/>
            <w:bottom w:w="0" w:type="dxa"/>
            <w:right w:w="108" w:type="dxa"/>
          </w:tblCellMar>
        </w:tblPrEx>
        <w:trPr>
          <w:trHeight w:val="90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2D3FE460">
            <w:pPr>
              <w:keepNext w:val="0"/>
              <w:keepLines w:val="0"/>
              <w:pageBreakBefore w:val="0"/>
              <w:widowControl/>
              <w:numPr>
                <w:ilvl w:val="0"/>
                <w:numId w:val="8"/>
              </w:numPr>
              <w:suppressLineNumbers w:val="0"/>
              <w:kinsoku/>
              <w:wordWrap/>
              <w:overflowPunct/>
              <w:topLinePunct w:val="0"/>
              <w:autoSpaceDE/>
              <w:autoSpaceDN/>
              <w:bidi w:val="0"/>
              <w:adjustRightInd/>
              <w:snapToGrid/>
              <w:ind w:left="0" w:leftChars="0" w:firstLine="0"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7A1DF1AA">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抽纸</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5FE22881">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纸音抽取式面巾纸可湿水四边压花504抽</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FF4F0B0">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仿宋" w:hAnsi="仿宋" w:eastAsia="仿宋" w:cs="仿宋"/>
                <w:i w:val="0"/>
                <w:iCs w:val="0"/>
                <w:color w:val="000000"/>
                <w:kern w:val="0"/>
                <w:sz w:val="24"/>
                <w:szCs w:val="24"/>
                <w:u w:val="none"/>
                <w:lang w:val="en-US" w:eastAsia="zh-CN" w:bidi="ar"/>
              </w:rPr>
            </w:pPr>
          </w:p>
          <w:p w14:paraId="4380B5FF">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14:paraId="3DA596BC">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仿宋" w:hAnsi="仿宋" w:eastAsia="仿宋" w:cs="仿宋"/>
                <w:i w:val="0"/>
                <w:iCs w:val="0"/>
                <w:color w:val="000000"/>
                <w:kern w:val="0"/>
                <w:sz w:val="24"/>
                <w:szCs w:val="24"/>
                <w:u w:val="none"/>
                <w:lang w:val="en-US" w:eastAsia="zh-CN" w:bidi="ar"/>
              </w:rPr>
            </w:pPr>
          </w:p>
          <w:p w14:paraId="65D531B3">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箱</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10BFB160">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80743AF">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322AB8EC">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仿宋" w:hAnsi="仿宋" w:eastAsia="仿宋" w:cs="仿宋"/>
                <w:i w:val="0"/>
                <w:iCs w:val="0"/>
                <w:color w:val="000000"/>
                <w:kern w:val="0"/>
                <w:sz w:val="24"/>
                <w:szCs w:val="24"/>
                <w:u w:val="none"/>
                <w:lang w:val="en-US" w:eastAsia="zh-CN" w:bidi="ar"/>
              </w:rPr>
            </w:pPr>
          </w:p>
          <w:p w14:paraId="4D691C92">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80包/箱</w:t>
            </w:r>
          </w:p>
        </w:tc>
      </w:tr>
      <w:tr w14:paraId="18185067">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73B9F18F">
            <w:pPr>
              <w:keepNext w:val="0"/>
              <w:keepLines w:val="0"/>
              <w:pageBreakBefore w:val="0"/>
              <w:widowControl/>
              <w:numPr>
                <w:ilvl w:val="0"/>
                <w:numId w:val="8"/>
              </w:numPr>
              <w:suppressLineNumbers w:val="0"/>
              <w:kinsoku/>
              <w:wordWrap/>
              <w:overflowPunct/>
              <w:topLinePunct w:val="0"/>
              <w:autoSpaceDE/>
              <w:autoSpaceDN/>
              <w:bidi w:val="0"/>
              <w:adjustRightInd/>
              <w:snapToGrid/>
              <w:ind w:left="0" w:leftChars="0" w:firstLine="0"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3201B208">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卷筒纸</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019FD2E6">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纸音低碳200g卷筒纸</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DEA9020">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14:paraId="26E970A5">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箱</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5BD19F89">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AC0162A">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541CEB32">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100卷/箱</w:t>
            </w:r>
          </w:p>
        </w:tc>
      </w:tr>
    </w:tbl>
    <w:p w14:paraId="681DAE7D">
      <w:pPr>
        <w:pStyle w:val="9"/>
        <w:rPr>
          <w:rFonts w:hint="eastAsia" w:ascii="仿宋" w:hAnsi="仿宋" w:eastAsia="仿宋" w:cs="仿宋"/>
        </w:rPr>
      </w:pPr>
    </w:p>
    <w:p w14:paraId="1C3D513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val="en-US"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color w:val="auto"/>
          <w:sz w:val="30"/>
          <w:szCs w:val="30"/>
        </w:rPr>
        <w:t>元</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，税率为</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w:t>
      </w:r>
    </w:p>
    <w:p w14:paraId="41FE2C7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sz w:val="30"/>
          <w:szCs w:val="30"/>
          <w:lang w:eastAsia="zh-CN"/>
        </w:rPr>
        <w:t>付款方式：</w:t>
      </w:r>
      <w:r>
        <w:rPr>
          <w:rFonts w:hint="eastAsia" w:ascii="仿宋" w:hAnsi="仿宋" w:eastAsia="仿宋" w:cs="仿宋"/>
          <w:sz w:val="30"/>
          <w:szCs w:val="30"/>
          <w:lang w:val="en-US" w:eastAsia="zh-CN"/>
        </w:rPr>
        <w:t>每批次货物运送至采购人指定地点，且经由采购人验收合格后，供货方提供经双方确认的送货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方需提供履约保证金（合</w:t>
      </w:r>
      <w:r>
        <w:rPr>
          <w:rFonts w:hint="eastAsia" w:ascii="仿宋" w:hAnsi="仿宋" w:eastAsia="仿宋" w:cs="仿宋"/>
          <w:sz w:val="30"/>
          <w:szCs w:val="30"/>
          <w:highlight w:val="none"/>
          <w:lang w:val="en-US" w:eastAsia="zh-CN"/>
        </w:rPr>
        <w:t>同价的5%），履约保证金于合同期满且无未决质量争议后无息退还。</w:t>
      </w:r>
    </w:p>
    <w:p w14:paraId="43F89D4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w:t>
      </w:r>
      <w:r>
        <w:rPr>
          <w:rFonts w:hint="eastAsia" w:ascii="仿宋_GB2312" w:eastAsia="仿宋_GB2312"/>
          <w:color w:val="auto"/>
          <w:kern w:val="2"/>
          <w:sz w:val="30"/>
          <w:szCs w:val="30"/>
          <w:highlight w:val="none"/>
          <w:lang w:val="en-US" w:eastAsia="zh-CN"/>
        </w:rPr>
        <w:t>不得</w:t>
      </w:r>
      <w:r>
        <w:rPr>
          <w:rFonts w:hint="eastAsia" w:ascii="仿宋_GB2312" w:eastAsia="仿宋_GB2312"/>
          <w:color w:val="auto"/>
          <w:kern w:val="2"/>
          <w:sz w:val="30"/>
          <w:szCs w:val="30"/>
          <w:highlight w:val="none"/>
          <w:lang w:eastAsia="zh-CN"/>
        </w:rPr>
        <w:t>擅自修改付款</w:t>
      </w:r>
      <w:r>
        <w:rPr>
          <w:rFonts w:hint="eastAsia" w:ascii="仿宋_GB2312" w:eastAsia="仿宋_GB2312"/>
          <w:color w:val="auto"/>
          <w:kern w:val="2"/>
          <w:sz w:val="30"/>
          <w:szCs w:val="30"/>
          <w:highlight w:val="none"/>
          <w:lang w:val="en-US" w:eastAsia="zh-CN"/>
        </w:rPr>
        <w:t>方式</w:t>
      </w:r>
      <w:r>
        <w:rPr>
          <w:rFonts w:hint="eastAsia" w:ascii="仿宋_GB2312" w:eastAsia="仿宋_GB2312"/>
          <w:color w:val="auto"/>
          <w:kern w:val="2"/>
          <w:sz w:val="30"/>
          <w:szCs w:val="30"/>
          <w:highlight w:val="none"/>
          <w:lang w:eastAsia="zh-CN"/>
        </w:rPr>
        <w:t>，未满足该条件则视为无效投标】</w:t>
      </w:r>
    </w:p>
    <w:p w14:paraId="238AC16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0D6D0DE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本项目采购总金额限价为</w:t>
      </w:r>
      <w:r>
        <w:rPr>
          <w:rFonts w:hint="eastAsia" w:ascii="仿宋" w:hAnsi="仿宋" w:eastAsia="仿宋" w:cs="仿宋"/>
          <w:color w:val="auto"/>
          <w:sz w:val="30"/>
          <w:szCs w:val="30"/>
          <w:lang w:eastAsia="zh-CN"/>
        </w:rPr>
        <w:t>人民</w:t>
      </w:r>
      <w:r>
        <w:rPr>
          <w:rFonts w:hint="eastAsia" w:ascii="仿宋" w:hAnsi="仿宋" w:eastAsia="仿宋" w:cs="仿宋"/>
          <w:color w:val="auto"/>
          <w:sz w:val="30"/>
          <w:szCs w:val="30"/>
          <w:highlight w:val="none"/>
          <w:lang w:eastAsia="zh-CN"/>
        </w:rPr>
        <w:t>币2.9</w:t>
      </w:r>
      <w:r>
        <w:rPr>
          <w:rFonts w:hint="eastAsia" w:ascii="仿宋" w:hAnsi="仿宋" w:eastAsia="仿宋" w:cs="仿宋"/>
          <w:color w:val="auto"/>
          <w:sz w:val="30"/>
          <w:szCs w:val="30"/>
          <w:highlight w:val="none"/>
          <w:lang w:val="en-US" w:eastAsia="zh-CN"/>
        </w:rPr>
        <w:t>万</w:t>
      </w:r>
      <w:r>
        <w:rPr>
          <w:rFonts w:hint="eastAsia" w:ascii="仿宋" w:hAnsi="仿宋" w:eastAsia="仿宋" w:cs="仿宋"/>
          <w:color w:val="auto"/>
          <w:sz w:val="30"/>
          <w:szCs w:val="30"/>
          <w:highlight w:val="none"/>
        </w:rPr>
        <w:t>元</w:t>
      </w:r>
      <w:r>
        <w:rPr>
          <w:rFonts w:hint="eastAsia" w:ascii="仿宋" w:hAnsi="仿宋" w:eastAsia="仿宋" w:cs="仿宋"/>
          <w:color w:val="auto"/>
          <w:sz w:val="30"/>
          <w:szCs w:val="30"/>
          <w:highlight w:val="none"/>
          <w:lang w:eastAsia="zh-CN"/>
        </w:rPr>
        <w:t>。</w:t>
      </w:r>
    </w:p>
    <w:p w14:paraId="7950E21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2、该采购项目履约保证金为合同价的5%。中标人于合同签订前将履约保证金打入招标人指定账户。合同履行完成后，招标人退还质保金（无息）。</w:t>
      </w:r>
    </w:p>
    <w:p w14:paraId="6ED1667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3、中标人在合同履行期间出现违约行为，招标人可扣除相应履约保证金/质保金，并向中标人追究相应经济损失。</w:t>
      </w:r>
    </w:p>
    <w:p w14:paraId="7256419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14:paraId="7FFA82F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5、以上总价应为含税全包价，包括运费、税费等一切费用，发票必须为增值税专用发票。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0FE1FA15">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744F294C">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0E06A07D">
      <w:pPr>
        <w:spacing w:line="360" w:lineRule="auto"/>
        <w:jc w:val="center"/>
        <w:rPr>
          <w:rFonts w:hint="eastAsia" w:ascii="仿宋" w:hAnsi="仿宋" w:eastAsia="仿宋" w:cs="仿宋"/>
          <w:b/>
          <w:color w:val="auto"/>
          <w:sz w:val="44"/>
          <w:lang w:val="en-US" w:eastAsia="zh-CN"/>
        </w:rPr>
      </w:pPr>
    </w:p>
    <w:p w14:paraId="73EF7B39">
      <w:pPr>
        <w:spacing w:line="360" w:lineRule="auto"/>
        <w:jc w:val="center"/>
        <w:rPr>
          <w:rFonts w:hint="eastAsia" w:ascii="仿宋" w:hAnsi="仿宋" w:eastAsia="仿宋" w:cs="仿宋"/>
          <w:b/>
          <w:color w:val="auto"/>
          <w:sz w:val="44"/>
          <w:lang w:val="en-US" w:eastAsia="zh-CN"/>
        </w:rPr>
      </w:pPr>
    </w:p>
    <w:p w14:paraId="673A4905">
      <w:pPr>
        <w:spacing w:line="360" w:lineRule="auto"/>
        <w:jc w:val="center"/>
        <w:rPr>
          <w:rFonts w:hint="eastAsia" w:ascii="仿宋" w:hAnsi="仿宋" w:eastAsia="仿宋" w:cs="仿宋"/>
          <w:b/>
          <w:color w:val="auto"/>
          <w:sz w:val="44"/>
          <w:lang w:val="en-US" w:eastAsia="zh-CN"/>
        </w:rPr>
      </w:pPr>
    </w:p>
    <w:p w14:paraId="5C0514F7">
      <w:pPr>
        <w:spacing w:line="360" w:lineRule="auto"/>
        <w:jc w:val="center"/>
        <w:rPr>
          <w:rFonts w:hint="eastAsia" w:ascii="仿宋" w:hAnsi="仿宋" w:eastAsia="仿宋" w:cs="仿宋"/>
          <w:b/>
          <w:color w:val="auto"/>
          <w:sz w:val="44"/>
          <w:lang w:val="en-US" w:eastAsia="zh-CN"/>
        </w:rPr>
      </w:pPr>
    </w:p>
    <w:p w14:paraId="0DD8ABE5">
      <w:pPr>
        <w:spacing w:line="360" w:lineRule="auto"/>
        <w:jc w:val="center"/>
        <w:rPr>
          <w:rFonts w:hint="eastAsia" w:ascii="仿宋" w:hAnsi="仿宋" w:eastAsia="仿宋" w:cs="仿宋"/>
          <w:b/>
          <w:color w:val="auto"/>
          <w:sz w:val="44"/>
          <w:lang w:val="en-US" w:eastAsia="zh-CN"/>
        </w:rPr>
      </w:pPr>
    </w:p>
    <w:p w14:paraId="3C20548E">
      <w:pPr>
        <w:spacing w:line="360" w:lineRule="auto"/>
        <w:jc w:val="center"/>
        <w:rPr>
          <w:rFonts w:hint="eastAsia" w:ascii="仿宋" w:hAnsi="仿宋" w:eastAsia="仿宋" w:cs="仿宋"/>
          <w:b/>
          <w:color w:val="auto"/>
          <w:sz w:val="44"/>
          <w:lang w:val="en-US" w:eastAsia="zh-CN"/>
        </w:rPr>
      </w:pPr>
    </w:p>
    <w:p w14:paraId="039241B6">
      <w:pPr>
        <w:spacing w:line="360" w:lineRule="auto"/>
        <w:jc w:val="center"/>
        <w:rPr>
          <w:rFonts w:hint="eastAsia" w:ascii="仿宋" w:hAnsi="仿宋" w:eastAsia="仿宋" w:cs="仿宋"/>
          <w:b/>
          <w:color w:val="auto"/>
          <w:sz w:val="44"/>
          <w:lang w:val="en-US" w:eastAsia="zh-CN"/>
        </w:rPr>
      </w:pPr>
    </w:p>
    <w:p w14:paraId="0AB09EB9">
      <w:pPr>
        <w:spacing w:line="360" w:lineRule="auto"/>
        <w:jc w:val="center"/>
        <w:rPr>
          <w:rFonts w:hint="eastAsia" w:ascii="仿宋" w:hAnsi="仿宋" w:eastAsia="仿宋" w:cs="仿宋"/>
          <w:b/>
          <w:color w:val="auto"/>
          <w:sz w:val="44"/>
          <w:lang w:val="en-US" w:eastAsia="zh-CN"/>
        </w:rPr>
      </w:pPr>
    </w:p>
    <w:p w14:paraId="4BA40F3E">
      <w:pPr>
        <w:spacing w:line="480" w:lineRule="auto"/>
        <w:jc w:val="left"/>
        <w:outlineLvl w:val="0"/>
        <w:rPr>
          <w:rFonts w:hint="eastAsia" w:ascii="仿宋" w:hAnsi="仿宋" w:eastAsia="仿宋" w:cs="仿宋"/>
          <w:b/>
          <w:spacing w:val="-2"/>
          <w:sz w:val="30"/>
        </w:rPr>
      </w:pPr>
      <w:bookmarkStart w:id="17" w:name="_Toc138"/>
      <w:r>
        <w:rPr>
          <w:rStyle w:val="20"/>
          <w:rFonts w:hint="eastAsia" w:ascii="仿宋" w:hAnsi="仿宋" w:eastAsia="仿宋" w:cs="仿宋"/>
          <w:sz w:val="30"/>
        </w:rPr>
        <w:t>附件</w:t>
      </w:r>
      <w:r>
        <w:rPr>
          <w:rStyle w:val="20"/>
          <w:rFonts w:hint="eastAsia" w:ascii="仿宋" w:hAnsi="仿宋" w:eastAsia="仿宋" w:cs="仿宋"/>
          <w:sz w:val="30"/>
          <w:lang w:val="en-US"/>
        </w:rPr>
        <w:t>二</w:t>
      </w:r>
      <w:r>
        <w:rPr>
          <w:rStyle w:val="20"/>
          <w:rFonts w:hint="eastAsia" w:ascii="仿宋" w:hAnsi="仿宋" w:eastAsia="仿宋" w:cs="仿宋"/>
          <w:sz w:val="30"/>
        </w:rPr>
        <w:t>：</w:t>
      </w:r>
      <w:bookmarkEnd w:id="17"/>
    </w:p>
    <w:p w14:paraId="6B8A0D71">
      <w:pPr>
        <w:spacing w:line="360" w:lineRule="auto"/>
        <w:jc w:val="center"/>
        <w:rPr>
          <w:rFonts w:hint="eastAsia" w:ascii="仿宋" w:hAnsi="仿宋" w:eastAsia="仿宋" w:cs="仿宋"/>
          <w:b/>
          <w:color w:val="auto"/>
          <w:sz w:val="44"/>
        </w:rPr>
      </w:pPr>
      <w:r>
        <w:rPr>
          <w:rFonts w:hint="eastAsia" w:ascii="仿宋" w:hAnsi="仿宋" w:eastAsia="仿宋" w:cs="仿宋"/>
          <w:b/>
          <w:color w:val="auto"/>
          <w:sz w:val="44"/>
          <w:lang w:val="en-US" w:eastAsia="zh-CN"/>
        </w:rPr>
        <w:t>二 次 报 价</w:t>
      </w:r>
      <w:r>
        <w:rPr>
          <w:rFonts w:hint="eastAsia" w:ascii="仿宋" w:hAnsi="仿宋" w:eastAsia="仿宋" w:cs="仿宋"/>
          <w:b/>
          <w:color w:val="auto"/>
          <w:sz w:val="44"/>
        </w:rPr>
        <w:t xml:space="preserve"> 一 览 表</w:t>
      </w:r>
    </w:p>
    <w:p w14:paraId="657AF1E4">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color w:val="auto"/>
          <w:sz w:val="30"/>
          <w:szCs w:val="30"/>
        </w:rPr>
      </w:pPr>
      <w:r>
        <w:rPr>
          <w:rFonts w:hint="eastAsia" w:ascii="仿宋" w:hAnsi="仿宋" w:eastAsia="仿宋" w:cs="仿宋"/>
          <w:b w:val="0"/>
          <w:color w:val="auto"/>
          <w:sz w:val="30"/>
          <w:szCs w:val="30"/>
          <w:lang w:eastAsia="zh-CN"/>
        </w:rPr>
        <w:t>绍兴市再生能源发展有限公司</w:t>
      </w:r>
      <w:r>
        <w:rPr>
          <w:rFonts w:hint="eastAsia" w:ascii="仿宋" w:hAnsi="仿宋" w:eastAsia="仿宋" w:cs="仿宋"/>
          <w:b w:val="0"/>
          <w:color w:val="auto"/>
          <w:sz w:val="30"/>
          <w:szCs w:val="30"/>
        </w:rPr>
        <w:t>：</w:t>
      </w:r>
    </w:p>
    <w:p w14:paraId="1DE889E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30"/>
          <w:szCs w:val="30"/>
        </w:rPr>
      </w:pPr>
      <w:r>
        <w:rPr>
          <w:rFonts w:hint="eastAsia" w:ascii="仿宋_GB2312" w:eastAsia="仿宋_GB2312"/>
          <w:color w:val="auto"/>
          <w:sz w:val="28"/>
          <w:szCs w:val="28"/>
        </w:rPr>
        <w:t>我公司</w:t>
      </w:r>
      <w:r>
        <w:rPr>
          <w:rFonts w:hint="eastAsia" w:ascii="仿宋_GB2312" w:eastAsia="仿宋_GB2312"/>
          <w:color w:val="auto"/>
          <w:sz w:val="28"/>
          <w:szCs w:val="28"/>
          <w:u w:val="single"/>
        </w:rPr>
        <w:t xml:space="preserve">        （报价单位名称）         </w:t>
      </w:r>
      <w:r>
        <w:rPr>
          <w:rFonts w:hint="eastAsia" w:ascii="仿宋_GB2312" w:eastAsia="仿宋_GB2312"/>
          <w:color w:val="auto"/>
          <w:sz w:val="28"/>
          <w:szCs w:val="28"/>
        </w:rPr>
        <w:t>根据贵单位询价文件要求，</w:t>
      </w:r>
      <w:r>
        <w:rPr>
          <w:rFonts w:hint="eastAsia" w:ascii="仿宋_GB2312" w:eastAsia="仿宋_GB2312"/>
          <w:color w:val="auto"/>
          <w:sz w:val="28"/>
          <w:szCs w:val="28"/>
          <w:lang w:eastAsia="zh-CN"/>
        </w:rPr>
        <w:t>委派</w:t>
      </w:r>
      <w:r>
        <w:rPr>
          <w:rFonts w:hint="eastAsia" w:ascii="仿宋_GB2312" w:eastAsia="仿宋_GB2312"/>
          <w:color w:val="auto"/>
          <w:sz w:val="28"/>
          <w:szCs w:val="28"/>
          <w:u w:val="single"/>
          <w:lang w:val="en-US" w:eastAsia="zh-CN"/>
        </w:rPr>
        <w:t xml:space="preserve"> （联系人）   </w:t>
      </w:r>
      <w:r>
        <w:rPr>
          <w:rFonts w:hint="eastAsia" w:ascii="仿宋_GB2312" w:eastAsia="仿宋_GB2312"/>
          <w:color w:val="auto"/>
          <w:sz w:val="28"/>
          <w:szCs w:val="28"/>
          <w:u w:val="none"/>
          <w:lang w:val="en-US" w:eastAsia="zh-CN"/>
        </w:rPr>
        <w:t>，联系方式</w:t>
      </w:r>
      <w:r>
        <w:rPr>
          <w:rFonts w:hint="eastAsia" w:ascii="仿宋_GB2312" w:eastAsia="仿宋_GB2312"/>
          <w:color w:val="auto"/>
          <w:sz w:val="28"/>
          <w:szCs w:val="28"/>
          <w:u w:val="single"/>
          <w:lang w:val="en-US" w:eastAsia="zh-CN"/>
        </w:rPr>
        <w:t xml:space="preserve">                 </w:t>
      </w:r>
      <w:r>
        <w:rPr>
          <w:rFonts w:hint="eastAsia" w:ascii="仿宋" w:hAnsi="仿宋" w:eastAsia="仿宋" w:cs="仿宋"/>
          <w:color w:val="auto"/>
          <w:sz w:val="30"/>
          <w:szCs w:val="30"/>
        </w:rPr>
        <w:t>，参加</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绍兴市再生能源发展有限公司 年度纸巾采购 </w:t>
      </w:r>
      <w:r>
        <w:rPr>
          <w:rFonts w:hint="eastAsia" w:ascii="仿宋" w:hAnsi="仿宋" w:eastAsia="仿宋" w:cs="仿宋"/>
          <w:color w:val="auto"/>
          <w:sz w:val="30"/>
          <w:szCs w:val="30"/>
          <w:u w:val="none"/>
          <w:lang w:val="en-US" w:eastAsia="zh-CN"/>
        </w:rPr>
        <w:t>项目。</w:t>
      </w:r>
    </w:p>
    <w:tbl>
      <w:tblPr>
        <w:tblStyle w:val="13"/>
        <w:tblW w:w="5847" w:type="pct"/>
        <w:jc w:val="center"/>
        <w:tblLayout w:type="fixed"/>
        <w:tblCellMar>
          <w:top w:w="0" w:type="dxa"/>
          <w:left w:w="108" w:type="dxa"/>
          <w:bottom w:w="0" w:type="dxa"/>
          <w:right w:w="108" w:type="dxa"/>
        </w:tblCellMar>
      </w:tblPr>
      <w:tblGrid>
        <w:gridCol w:w="758"/>
        <w:gridCol w:w="1460"/>
        <w:gridCol w:w="2732"/>
        <w:gridCol w:w="1267"/>
        <w:gridCol w:w="1167"/>
        <w:gridCol w:w="1180"/>
        <w:gridCol w:w="1149"/>
        <w:gridCol w:w="1149"/>
      </w:tblGrid>
      <w:tr w14:paraId="1215AAD0">
        <w:tblPrEx>
          <w:tblCellMar>
            <w:top w:w="0" w:type="dxa"/>
            <w:left w:w="108" w:type="dxa"/>
            <w:bottom w:w="0" w:type="dxa"/>
            <w:right w:w="108" w:type="dxa"/>
          </w:tblCellMar>
        </w:tblPrEx>
        <w:trPr>
          <w:trHeight w:val="467"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419A80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1460" w:type="dxa"/>
            <w:tcBorders>
              <w:top w:val="single" w:color="000000" w:sz="4" w:space="0"/>
              <w:left w:val="single" w:color="000000" w:sz="4" w:space="0"/>
              <w:bottom w:val="single" w:color="000000" w:sz="4" w:space="0"/>
              <w:right w:val="single" w:color="000000" w:sz="4" w:space="0"/>
            </w:tcBorders>
            <w:noWrap/>
            <w:vAlign w:val="center"/>
          </w:tcPr>
          <w:p w14:paraId="07CB3E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2732" w:type="dxa"/>
            <w:tcBorders>
              <w:top w:val="single" w:color="000000" w:sz="4" w:space="0"/>
              <w:left w:val="single" w:color="000000" w:sz="4" w:space="0"/>
              <w:bottom w:val="single" w:color="000000" w:sz="4" w:space="0"/>
              <w:right w:val="single" w:color="000000" w:sz="4" w:space="0"/>
            </w:tcBorders>
            <w:noWrap/>
            <w:vAlign w:val="center"/>
          </w:tcPr>
          <w:p w14:paraId="687E393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规格型号</w:t>
            </w:r>
          </w:p>
        </w:tc>
        <w:tc>
          <w:tcPr>
            <w:tcW w:w="1267" w:type="dxa"/>
            <w:tcBorders>
              <w:top w:val="single" w:color="000000" w:sz="4" w:space="0"/>
              <w:left w:val="single" w:color="000000" w:sz="4" w:space="0"/>
              <w:bottom w:val="single" w:color="000000" w:sz="4" w:space="0"/>
              <w:right w:val="single" w:color="000000" w:sz="4" w:space="0"/>
            </w:tcBorders>
            <w:noWrap/>
            <w:vAlign w:val="center"/>
          </w:tcPr>
          <w:p w14:paraId="39BA6D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预估数量</w:t>
            </w:r>
          </w:p>
        </w:tc>
        <w:tc>
          <w:tcPr>
            <w:tcW w:w="1167" w:type="dxa"/>
            <w:tcBorders>
              <w:top w:val="single" w:color="000000" w:sz="4" w:space="0"/>
              <w:left w:val="single" w:color="000000" w:sz="4" w:space="0"/>
              <w:bottom w:val="single" w:color="000000" w:sz="4" w:space="0"/>
              <w:right w:val="single" w:color="000000" w:sz="4" w:space="0"/>
            </w:tcBorders>
            <w:noWrap/>
            <w:vAlign w:val="center"/>
          </w:tcPr>
          <w:p w14:paraId="4DE9C1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1180" w:type="dxa"/>
            <w:tcBorders>
              <w:top w:val="single" w:color="000000" w:sz="4" w:space="0"/>
              <w:left w:val="single" w:color="000000" w:sz="4" w:space="0"/>
              <w:bottom w:val="single" w:color="000000" w:sz="4" w:space="0"/>
              <w:right w:val="single" w:color="000000" w:sz="4" w:space="0"/>
            </w:tcBorders>
            <w:noWrap/>
            <w:vAlign w:val="center"/>
          </w:tcPr>
          <w:p w14:paraId="341C5C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单价</w:t>
            </w:r>
          </w:p>
          <w:p w14:paraId="7053DA7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（元）</w:t>
            </w: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795A71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金额（元）</w:t>
            </w: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40CBF4DE">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备注</w:t>
            </w:r>
          </w:p>
        </w:tc>
      </w:tr>
      <w:tr w14:paraId="31DB5DC6">
        <w:tblPrEx>
          <w:tblCellMar>
            <w:top w:w="0" w:type="dxa"/>
            <w:left w:w="108" w:type="dxa"/>
            <w:bottom w:w="0" w:type="dxa"/>
            <w:right w:w="108" w:type="dxa"/>
          </w:tblCellMar>
        </w:tblPrEx>
        <w:trPr>
          <w:trHeight w:val="1190"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74A4AF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1460" w:type="dxa"/>
            <w:tcBorders>
              <w:top w:val="single" w:color="000000" w:sz="4" w:space="0"/>
              <w:left w:val="single" w:color="000000" w:sz="4" w:space="0"/>
              <w:bottom w:val="single" w:color="000000" w:sz="4" w:space="0"/>
              <w:right w:val="single" w:color="000000" w:sz="4" w:space="0"/>
            </w:tcBorders>
            <w:noWrap w:val="0"/>
            <w:vAlign w:val="center"/>
          </w:tcPr>
          <w:p w14:paraId="2AC45B9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p>
        </w:tc>
        <w:tc>
          <w:tcPr>
            <w:tcW w:w="2732" w:type="dxa"/>
            <w:tcBorders>
              <w:top w:val="single" w:color="000000" w:sz="4" w:space="0"/>
              <w:left w:val="single" w:color="000000" w:sz="4" w:space="0"/>
              <w:bottom w:val="single" w:color="000000" w:sz="4" w:space="0"/>
              <w:right w:val="single" w:color="000000" w:sz="4" w:space="0"/>
            </w:tcBorders>
            <w:noWrap w:val="0"/>
            <w:vAlign w:val="center"/>
          </w:tcPr>
          <w:p w14:paraId="1D79037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2F33634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43CBF32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1FA0C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666FA97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40EEC776">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14:paraId="00838FF9">
      <w:pPr>
        <w:pStyle w:val="9"/>
        <w:rPr>
          <w:rFonts w:hint="eastAsia" w:ascii="仿宋" w:hAnsi="仿宋" w:eastAsia="仿宋" w:cs="仿宋"/>
          <w:color w:val="auto"/>
        </w:rPr>
      </w:pPr>
    </w:p>
    <w:p w14:paraId="5EE6A5F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报价如下：（</w:t>
      </w:r>
      <w:r>
        <w:rPr>
          <w:rFonts w:hint="eastAsia" w:ascii="仿宋" w:hAnsi="仿宋" w:eastAsia="仿宋" w:cs="仿宋"/>
          <w:color w:val="auto"/>
          <w:sz w:val="30"/>
          <w:szCs w:val="30"/>
          <w:lang w:eastAsia="zh-CN"/>
        </w:rPr>
        <w:t>总金额</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元，税率为    </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 %）</w:t>
      </w:r>
    </w:p>
    <w:p w14:paraId="27F5755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14C4C66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kern w:val="2"/>
          <w:sz w:val="30"/>
          <w:szCs w:val="30"/>
          <w:highlight w:val="yellow"/>
        </w:rPr>
      </w:pPr>
      <w:r>
        <w:rPr>
          <w:rFonts w:hint="eastAsia" w:ascii="仿宋" w:hAnsi="仿宋" w:eastAsia="仿宋" w:cs="仿宋"/>
          <w:color w:val="auto"/>
          <w:kern w:val="2"/>
          <w:sz w:val="30"/>
          <w:szCs w:val="30"/>
          <w:lang w:val="en-US" w:eastAsia="zh-CN" w:bidi="ar-SA"/>
        </w:rPr>
        <w:t>1、</w:t>
      </w:r>
      <w:r>
        <w:rPr>
          <w:rFonts w:hint="eastAsia" w:ascii="仿宋" w:hAnsi="仿宋" w:eastAsia="仿宋" w:cs="仿宋"/>
          <w:color w:val="auto"/>
          <w:sz w:val="30"/>
          <w:szCs w:val="30"/>
          <w:lang w:eastAsia="zh-CN"/>
        </w:rPr>
        <w:t>付款方式：</w:t>
      </w:r>
      <w:r>
        <w:rPr>
          <w:rFonts w:hint="eastAsia" w:ascii="仿宋" w:hAnsi="仿宋" w:eastAsia="仿宋" w:cs="仿宋"/>
          <w:color w:val="auto"/>
          <w:sz w:val="30"/>
          <w:szCs w:val="30"/>
          <w:lang w:val="en-US" w:eastAsia="zh-CN"/>
        </w:rPr>
        <w:t>每批次货物运送至采购人指定地点，且经由采购人验收合格后，供货方提供经双方确认的送货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方需提供履约保证金（合同价的5%），履约保证金于合同期满且无未决质量争议后无息退还。</w:t>
      </w:r>
    </w:p>
    <w:p w14:paraId="687EAA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30"/>
          <w:szCs w:val="30"/>
          <w:lang w:val="en-US" w:eastAsia="zh-CN" w:bidi="ar-SA"/>
        </w:rPr>
        <w:t>2、</w:t>
      </w:r>
      <w:r>
        <w:rPr>
          <w:rFonts w:hint="eastAsia" w:ascii="仿宋" w:hAnsi="仿宋" w:eastAsia="仿宋" w:cs="仿宋"/>
          <w:color w:val="auto"/>
          <w:sz w:val="30"/>
          <w:szCs w:val="30"/>
          <w:lang w:val="en-US" w:eastAsia="zh-CN"/>
        </w:rPr>
        <w:t>以上总价应为含税全包价，包括运费、税费等一切费用，发票必须为增值税专用发票。</w:t>
      </w:r>
    </w:p>
    <w:p w14:paraId="6223483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30"/>
          <w:szCs w:val="30"/>
          <w:lang w:val="en-US" w:eastAsia="zh-CN" w:bidi="ar-SA"/>
        </w:rPr>
        <w:t>3、</w:t>
      </w:r>
      <w:r>
        <w:rPr>
          <w:rFonts w:hint="eastAsia" w:ascii="仿宋" w:hAnsi="仿宋" w:eastAsia="仿宋" w:cs="仿宋"/>
          <w:color w:val="auto"/>
          <w:sz w:val="30"/>
          <w:szCs w:val="30"/>
          <w:lang w:val="en-US" w:eastAsia="zh-CN"/>
        </w:rPr>
        <w:t>本次报价为最终投标报价依据。</w:t>
      </w:r>
    </w:p>
    <w:p w14:paraId="385701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30"/>
          <w:szCs w:val="30"/>
          <w:lang w:val="en-US" w:eastAsia="zh-CN" w:bidi="ar-SA"/>
        </w:rPr>
        <w:t>4、</w:t>
      </w:r>
      <w:r>
        <w:rPr>
          <w:rFonts w:hint="eastAsia" w:ascii="仿宋" w:hAnsi="仿宋" w:eastAsia="仿宋" w:cs="仿宋"/>
          <w:color w:val="auto"/>
          <w:sz w:val="30"/>
          <w:szCs w:val="30"/>
          <w:lang w:val="en-US" w:eastAsia="zh-CN"/>
        </w:rPr>
        <w:fldChar w:fldCharType="begin"/>
      </w:r>
      <w:r>
        <w:rPr>
          <w:rFonts w:hint="eastAsia" w:ascii="仿宋" w:hAnsi="仿宋" w:eastAsia="仿宋" w:cs="仿宋"/>
          <w:color w:val="auto"/>
          <w:sz w:val="30"/>
          <w:szCs w:val="30"/>
          <w:lang w:val="en-US" w:eastAsia="zh-CN"/>
        </w:rPr>
        <w:instrText xml:space="preserve"> HYPERLINK "mailto:请于2024年5月17日前将询价表盖章后的电子版发至dzw@sxszsny.com" </w:instrText>
      </w:r>
      <w:r>
        <w:rPr>
          <w:rFonts w:hint="eastAsia" w:ascii="仿宋" w:hAnsi="仿宋" w:eastAsia="仿宋" w:cs="仿宋"/>
          <w:color w:val="auto"/>
          <w:sz w:val="30"/>
          <w:szCs w:val="30"/>
          <w:lang w:val="en-US" w:eastAsia="zh-CN"/>
        </w:rPr>
        <w:fldChar w:fldCharType="separate"/>
      </w:r>
      <w:r>
        <w:rPr>
          <w:rFonts w:hint="eastAsia" w:ascii="仿宋" w:hAnsi="仿宋" w:eastAsia="仿宋" w:cs="仿宋"/>
          <w:color w:val="auto"/>
          <w:sz w:val="30"/>
          <w:szCs w:val="30"/>
          <w:lang w:val="en-US" w:eastAsia="zh-CN"/>
        </w:rPr>
        <w:t>请自接到采购人二次报价通知后30分钟内将二次报价一览表盖章后的电子版发至邮箱dzw@sxszsny.com</w:t>
      </w:r>
      <w:r>
        <w:rPr>
          <w:rFonts w:hint="eastAsia" w:ascii="仿宋" w:hAnsi="仿宋" w:eastAsia="仿宋" w:cs="仿宋"/>
          <w:color w:val="auto"/>
          <w:sz w:val="30"/>
          <w:szCs w:val="30"/>
          <w:lang w:val="en-US" w:eastAsia="zh-CN"/>
        </w:rPr>
        <w:fldChar w:fldCharType="end"/>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ab/>
      </w:r>
      <w:r>
        <w:rPr>
          <w:rFonts w:hint="eastAsia" w:ascii="仿宋" w:hAnsi="仿宋" w:eastAsia="仿宋" w:cs="仿宋"/>
          <w:color w:val="auto"/>
          <w:sz w:val="30"/>
          <w:szCs w:val="30"/>
        </w:rPr>
        <w:tab/>
      </w:r>
    </w:p>
    <w:p w14:paraId="7B905EC1">
      <w:pPr>
        <w:snapToGrid w:val="0"/>
        <w:ind w:firstLine="480" w:firstLineChars="200"/>
        <w:jc w:val="right"/>
        <w:rPr>
          <w:rFonts w:hint="eastAsia" w:ascii="仿宋" w:hAnsi="仿宋" w:eastAsia="仿宋" w:cs="仿宋"/>
          <w:color w:val="auto"/>
          <w:sz w:val="24"/>
          <w:szCs w:val="24"/>
        </w:rPr>
      </w:pPr>
    </w:p>
    <w:p w14:paraId="6A63DBA1">
      <w:pPr>
        <w:snapToGrid w:val="0"/>
        <w:ind w:firstLine="480" w:firstLineChars="200"/>
        <w:jc w:val="right"/>
        <w:rPr>
          <w:rFonts w:hint="eastAsia" w:ascii="仿宋" w:hAnsi="仿宋" w:eastAsia="仿宋" w:cs="仿宋"/>
          <w:color w:val="auto"/>
          <w:sz w:val="24"/>
          <w:szCs w:val="24"/>
        </w:rPr>
      </w:pPr>
    </w:p>
    <w:p w14:paraId="572BD22C">
      <w:pPr>
        <w:snapToGrid w:val="0"/>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报价单位名称（公章）：</w:t>
      </w:r>
    </w:p>
    <w:p w14:paraId="6D4A9B9B">
      <w:pPr>
        <w:wordWrap w:val="0"/>
        <w:snapToGrid w:val="0"/>
        <w:ind w:firstLine="480" w:firstLineChars="200"/>
        <w:jc w:val="right"/>
        <w:rPr>
          <w:rFonts w:hint="eastAsia" w:ascii="仿宋" w:hAnsi="仿宋" w:eastAsia="仿宋" w:cs="仿宋"/>
          <w:sz w:val="24"/>
          <w:szCs w:val="24"/>
        </w:rPr>
        <w:sectPr>
          <w:pgSz w:w="11906" w:h="16838"/>
          <w:pgMar w:top="1701" w:right="1417" w:bottom="1134" w:left="1417" w:header="851" w:footer="992" w:gutter="0"/>
          <w:cols w:space="0" w:num="1"/>
          <w:rtlGutter w:val="0"/>
          <w:docGrid w:linePitch="312" w:charSpace="0"/>
        </w:sectPr>
      </w:pP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r>
        <w:rPr>
          <w:rFonts w:hint="default" w:ascii="仿宋" w:hAnsi="仿宋" w:eastAsia="仿宋" w:cs="仿宋"/>
          <w:color w:val="auto"/>
          <w:sz w:val="24"/>
          <w:szCs w:val="24"/>
          <w:lang w:val="en-US"/>
        </w:rPr>
        <w:t>202</w:t>
      </w:r>
      <w:r>
        <w:rPr>
          <w:rFonts w:hint="eastAsia" w:ascii="仿宋" w:hAnsi="仿宋" w:eastAsia="仿宋" w:cs="仿宋"/>
          <w:color w:val="auto"/>
          <w:sz w:val="24"/>
          <w:szCs w:val="24"/>
          <w:lang w:val="en-US" w:eastAsia="zh-CN"/>
        </w:rPr>
        <w:t>6</w:t>
      </w:r>
      <w:r>
        <w:rPr>
          <w:rFonts w:hint="default" w:ascii="仿宋" w:hAnsi="仿宋" w:eastAsia="仿宋" w:cs="仿宋"/>
          <w:color w:val="auto"/>
          <w:sz w:val="24"/>
          <w:szCs w:val="24"/>
          <w:lang w:val="en-US"/>
        </w:rPr>
        <w:t>年</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日</w:t>
      </w:r>
    </w:p>
    <w:p w14:paraId="67D1B629">
      <w:pPr>
        <w:spacing w:line="480" w:lineRule="auto"/>
        <w:jc w:val="left"/>
        <w:outlineLvl w:val="0"/>
        <w:rPr>
          <w:rFonts w:hint="eastAsia" w:ascii="仿宋" w:hAnsi="仿宋" w:eastAsia="仿宋" w:cs="仿宋"/>
          <w:b/>
          <w:spacing w:val="-2"/>
          <w:sz w:val="30"/>
        </w:rPr>
      </w:pPr>
      <w:bookmarkStart w:id="18" w:name="_Toc108839328"/>
      <w:bookmarkStart w:id="19" w:name="_Toc103165678"/>
      <w:bookmarkStart w:id="20" w:name="_Toc16767"/>
      <w:r>
        <w:rPr>
          <w:rStyle w:val="20"/>
          <w:rFonts w:hint="eastAsia" w:ascii="仿宋" w:hAnsi="仿宋" w:eastAsia="仿宋" w:cs="仿宋"/>
          <w:sz w:val="30"/>
        </w:rPr>
        <w:t>附件</w:t>
      </w:r>
      <w:bookmarkEnd w:id="18"/>
      <w:bookmarkEnd w:id="19"/>
      <w:r>
        <w:rPr>
          <w:rStyle w:val="20"/>
          <w:rFonts w:hint="eastAsia" w:ascii="仿宋" w:hAnsi="仿宋" w:eastAsia="仿宋" w:cs="仿宋"/>
          <w:sz w:val="30"/>
          <w:lang w:val="en-US"/>
        </w:rPr>
        <w:t>三：</w:t>
      </w:r>
      <w:bookmarkEnd w:id="20"/>
    </w:p>
    <w:p w14:paraId="03F47F1F">
      <w:pPr>
        <w:snapToGrid w:val="0"/>
        <w:ind w:firstLine="1926" w:firstLineChars="600"/>
        <w:jc w:val="left"/>
        <w:rPr>
          <w:rFonts w:hint="eastAsia" w:ascii="仿宋" w:hAnsi="仿宋" w:eastAsia="仿宋" w:cs="仿宋"/>
          <w:b/>
          <w:spacing w:val="40"/>
          <w:sz w:val="24"/>
          <w:szCs w:val="24"/>
        </w:rPr>
      </w:pPr>
    </w:p>
    <w:p w14:paraId="362D6DC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1BE16A7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102BD792">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年度纸巾采购项目</w:t>
      </w:r>
      <w:r>
        <w:rPr>
          <w:rFonts w:hint="eastAsia" w:ascii="仿宋" w:hAnsi="仿宋" w:eastAsia="仿宋" w:cs="仿宋"/>
          <w:sz w:val="28"/>
          <w:szCs w:val="28"/>
        </w:rPr>
        <w:t>询价采购，并作如下承诺：</w:t>
      </w:r>
    </w:p>
    <w:p w14:paraId="1E47345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795A59D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6C00477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0CCCDE6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402F9AC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22AD9E3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171E02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69206E5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46831797">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4701BAE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val="en-US" w:eastAsia="zh-CN"/>
        </w:rPr>
        <w:t>六</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56D22D2D">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3A121E3B">
      <w:pPr>
        <w:pStyle w:val="11"/>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0C772">
    <w:pPr>
      <w:pStyle w:val="7"/>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14:paraId="2E77B0A4">
    <w:pPr>
      <w:pStyle w:val="7"/>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2CF0"/>
    <w:multiLevelType w:val="singleLevel"/>
    <w:tmpl w:val="82842CF0"/>
    <w:lvl w:ilvl="0" w:tentative="0">
      <w:start w:val="9"/>
      <w:numFmt w:val="chineseCounting"/>
      <w:suff w:val="space"/>
      <w:lvlText w:val="第%1条"/>
      <w:lvlJc w:val="left"/>
      <w:rPr>
        <w:rFonts w:hint="eastAsia"/>
      </w:rPr>
    </w:lvl>
  </w:abstractNum>
  <w:abstractNum w:abstractNumId="1">
    <w:nsid w:val="8C79575F"/>
    <w:multiLevelType w:val="singleLevel"/>
    <w:tmpl w:val="8C79575F"/>
    <w:lvl w:ilvl="0" w:tentative="0">
      <w:start w:val="12"/>
      <w:numFmt w:val="chineseCounting"/>
      <w:suff w:val="space"/>
      <w:lvlText w:val="第%1条"/>
      <w:lvlJc w:val="left"/>
      <w:rPr>
        <w:rFonts w:hint="eastAsia"/>
      </w:rPr>
    </w:lvl>
  </w:abstractNum>
  <w:abstractNum w:abstractNumId="2">
    <w:nsid w:val="A3044422"/>
    <w:multiLevelType w:val="singleLevel"/>
    <w:tmpl w:val="A3044422"/>
    <w:lvl w:ilvl="0" w:tentative="0">
      <w:start w:val="1"/>
      <w:numFmt w:val="decimal"/>
      <w:suff w:val="nothing"/>
      <w:lvlText w:val="%1"/>
      <w:lvlJc w:val="left"/>
      <w:pPr>
        <w:ind w:left="635" w:leftChars="0" w:hanging="425" w:firstLineChars="0"/>
      </w:pPr>
      <w:rPr>
        <w:rFonts w:hint="default"/>
      </w:rPr>
    </w:lvl>
  </w:abstractNum>
  <w:abstractNum w:abstractNumId="3">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4">
    <w:nsid w:val="00000020"/>
    <w:multiLevelType w:val="multilevel"/>
    <w:tmpl w:val="00000020"/>
    <w:lvl w:ilvl="0" w:tentative="0">
      <w:start w:val="1"/>
      <w:numFmt w:val="decimal"/>
      <w:pStyle w:val="2"/>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5AF6242"/>
    <w:multiLevelType w:val="singleLevel"/>
    <w:tmpl w:val="05AF6242"/>
    <w:lvl w:ilvl="0" w:tentative="0">
      <w:start w:val="5"/>
      <w:numFmt w:val="chineseCounting"/>
      <w:suff w:val="space"/>
      <w:lvlText w:val="第%1条"/>
      <w:lvlJc w:val="left"/>
      <w:rPr>
        <w:rFonts w:hint="eastAsia"/>
      </w:rPr>
    </w:lvl>
  </w:abstractNum>
  <w:abstractNum w:abstractNumId="6">
    <w:nsid w:val="2D8F1456"/>
    <w:multiLevelType w:val="singleLevel"/>
    <w:tmpl w:val="2D8F1456"/>
    <w:lvl w:ilvl="0" w:tentative="0">
      <w:start w:val="1"/>
      <w:numFmt w:val="decimal"/>
      <w:suff w:val="nothing"/>
      <w:lvlText w:val="%1"/>
      <w:lvlJc w:val="left"/>
      <w:pPr>
        <w:ind w:left="635" w:leftChars="0" w:hanging="425" w:firstLineChars="0"/>
      </w:pPr>
      <w:rPr>
        <w:rFonts w:hint="default"/>
      </w:rPr>
    </w:lvl>
  </w:abstractNum>
  <w:abstractNum w:abstractNumId="7">
    <w:nsid w:val="4CC8527C"/>
    <w:multiLevelType w:val="singleLevel"/>
    <w:tmpl w:val="4CC8527C"/>
    <w:lvl w:ilvl="0" w:tentative="0">
      <w:start w:val="6"/>
      <w:numFmt w:val="chineseCounting"/>
      <w:suff w:val="nothing"/>
      <w:lvlText w:val="%1、"/>
      <w:lvlJc w:val="left"/>
      <w:rPr>
        <w:rFonts w:hint="eastAsia"/>
      </w:rPr>
    </w:lvl>
  </w:abstractNum>
  <w:num w:numId="1">
    <w:abstractNumId w:val="4"/>
  </w:num>
  <w:num w:numId="2">
    <w:abstractNumId w:val="6"/>
  </w:num>
  <w:num w:numId="3">
    <w:abstractNumId w:val="7"/>
  </w:num>
  <w:num w:numId="4">
    <w:abstractNumId w:val="3"/>
  </w:num>
  <w:num w:numId="5">
    <w:abstractNumId w:val="5"/>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NzExMmNlZTllZmYzYjIzZDNlN2M3MDhjZjk3N2IifQ=="/>
  </w:docVars>
  <w:rsids>
    <w:rsidRoot w:val="1297576D"/>
    <w:rsid w:val="000A2454"/>
    <w:rsid w:val="0029396E"/>
    <w:rsid w:val="003A657B"/>
    <w:rsid w:val="003D1171"/>
    <w:rsid w:val="004B4DC0"/>
    <w:rsid w:val="00517D5D"/>
    <w:rsid w:val="005926A3"/>
    <w:rsid w:val="008746A5"/>
    <w:rsid w:val="00B574EC"/>
    <w:rsid w:val="01D22213"/>
    <w:rsid w:val="01DA23AF"/>
    <w:rsid w:val="027B64C4"/>
    <w:rsid w:val="02834D04"/>
    <w:rsid w:val="038D5656"/>
    <w:rsid w:val="04464BDF"/>
    <w:rsid w:val="04605697"/>
    <w:rsid w:val="05D22118"/>
    <w:rsid w:val="05EC05B3"/>
    <w:rsid w:val="06057AB3"/>
    <w:rsid w:val="067A3460"/>
    <w:rsid w:val="076328DA"/>
    <w:rsid w:val="08186607"/>
    <w:rsid w:val="08323D9B"/>
    <w:rsid w:val="083A3947"/>
    <w:rsid w:val="08F93082"/>
    <w:rsid w:val="097479E0"/>
    <w:rsid w:val="0A0C6ADD"/>
    <w:rsid w:val="0A32752C"/>
    <w:rsid w:val="0A9D29B8"/>
    <w:rsid w:val="0B237EC8"/>
    <w:rsid w:val="0B2C6C02"/>
    <w:rsid w:val="0BC12699"/>
    <w:rsid w:val="0BCC31F9"/>
    <w:rsid w:val="0C5A16A4"/>
    <w:rsid w:val="0DC35837"/>
    <w:rsid w:val="0DE61498"/>
    <w:rsid w:val="0ED22627"/>
    <w:rsid w:val="0FF5036F"/>
    <w:rsid w:val="10867335"/>
    <w:rsid w:val="110C39D4"/>
    <w:rsid w:val="1297576D"/>
    <w:rsid w:val="12BF4C87"/>
    <w:rsid w:val="12E70A09"/>
    <w:rsid w:val="14236D0C"/>
    <w:rsid w:val="15341747"/>
    <w:rsid w:val="163F0F8C"/>
    <w:rsid w:val="164F6705"/>
    <w:rsid w:val="16646293"/>
    <w:rsid w:val="16FE5921"/>
    <w:rsid w:val="17507F90"/>
    <w:rsid w:val="17B042A1"/>
    <w:rsid w:val="1A2B7D96"/>
    <w:rsid w:val="1B25743C"/>
    <w:rsid w:val="1BD33B78"/>
    <w:rsid w:val="1BEC2FB3"/>
    <w:rsid w:val="1C540D8D"/>
    <w:rsid w:val="1C6B42CD"/>
    <w:rsid w:val="1CDA4664"/>
    <w:rsid w:val="1CE262BC"/>
    <w:rsid w:val="1D6D770B"/>
    <w:rsid w:val="1E1A21EF"/>
    <w:rsid w:val="1EC02DEE"/>
    <w:rsid w:val="203B090D"/>
    <w:rsid w:val="20917F17"/>
    <w:rsid w:val="21135480"/>
    <w:rsid w:val="212C3971"/>
    <w:rsid w:val="214D7086"/>
    <w:rsid w:val="21BA7E4E"/>
    <w:rsid w:val="2237459C"/>
    <w:rsid w:val="22DF5956"/>
    <w:rsid w:val="22ED7F5E"/>
    <w:rsid w:val="231F50B3"/>
    <w:rsid w:val="24130D0C"/>
    <w:rsid w:val="247A3733"/>
    <w:rsid w:val="24937D46"/>
    <w:rsid w:val="24CD5814"/>
    <w:rsid w:val="259E2C64"/>
    <w:rsid w:val="260706AD"/>
    <w:rsid w:val="26B76B93"/>
    <w:rsid w:val="26F76768"/>
    <w:rsid w:val="27AC61A6"/>
    <w:rsid w:val="27FE02E6"/>
    <w:rsid w:val="281F51A8"/>
    <w:rsid w:val="28C57566"/>
    <w:rsid w:val="28C820B6"/>
    <w:rsid w:val="29084622"/>
    <w:rsid w:val="29F704EF"/>
    <w:rsid w:val="2AC220DE"/>
    <w:rsid w:val="2ADB5E21"/>
    <w:rsid w:val="2ADF08BA"/>
    <w:rsid w:val="2B603075"/>
    <w:rsid w:val="2C305EB2"/>
    <w:rsid w:val="2C547C73"/>
    <w:rsid w:val="2CD9238D"/>
    <w:rsid w:val="2CF24E09"/>
    <w:rsid w:val="2E003054"/>
    <w:rsid w:val="2E012585"/>
    <w:rsid w:val="2E220078"/>
    <w:rsid w:val="2EB2531B"/>
    <w:rsid w:val="2F28513F"/>
    <w:rsid w:val="2F3D045F"/>
    <w:rsid w:val="2F6F3EAC"/>
    <w:rsid w:val="2F7D3F84"/>
    <w:rsid w:val="2F844FB7"/>
    <w:rsid w:val="30030652"/>
    <w:rsid w:val="30256074"/>
    <w:rsid w:val="302C4175"/>
    <w:rsid w:val="304A1F48"/>
    <w:rsid w:val="31713FF6"/>
    <w:rsid w:val="32B04D2F"/>
    <w:rsid w:val="33862CBD"/>
    <w:rsid w:val="338F6EF0"/>
    <w:rsid w:val="33A35EAC"/>
    <w:rsid w:val="345077FD"/>
    <w:rsid w:val="3464504B"/>
    <w:rsid w:val="34E00D83"/>
    <w:rsid w:val="34E40873"/>
    <w:rsid w:val="36216F0D"/>
    <w:rsid w:val="36316A75"/>
    <w:rsid w:val="36C14165"/>
    <w:rsid w:val="36ED02B2"/>
    <w:rsid w:val="37DB73A7"/>
    <w:rsid w:val="37E312B6"/>
    <w:rsid w:val="389D7311"/>
    <w:rsid w:val="39653A2A"/>
    <w:rsid w:val="398E418A"/>
    <w:rsid w:val="3996009B"/>
    <w:rsid w:val="3997709B"/>
    <w:rsid w:val="39A55AE7"/>
    <w:rsid w:val="39BB1265"/>
    <w:rsid w:val="3A351BE0"/>
    <w:rsid w:val="3AFB2B32"/>
    <w:rsid w:val="3B0953A4"/>
    <w:rsid w:val="3C0B0C04"/>
    <w:rsid w:val="3C302F1C"/>
    <w:rsid w:val="3C8719BD"/>
    <w:rsid w:val="3CE46170"/>
    <w:rsid w:val="3D431CCA"/>
    <w:rsid w:val="3D7933CA"/>
    <w:rsid w:val="3DA70031"/>
    <w:rsid w:val="3DAC3CC7"/>
    <w:rsid w:val="3DE801D2"/>
    <w:rsid w:val="3E16524F"/>
    <w:rsid w:val="3EA30F9B"/>
    <w:rsid w:val="3F2D02B4"/>
    <w:rsid w:val="3F7C50B1"/>
    <w:rsid w:val="40543C97"/>
    <w:rsid w:val="406B2371"/>
    <w:rsid w:val="407E15A7"/>
    <w:rsid w:val="408548B8"/>
    <w:rsid w:val="40AA3B81"/>
    <w:rsid w:val="411C5733"/>
    <w:rsid w:val="417112FA"/>
    <w:rsid w:val="41D30314"/>
    <w:rsid w:val="42446B53"/>
    <w:rsid w:val="42D57A4D"/>
    <w:rsid w:val="436A096E"/>
    <w:rsid w:val="440E68FF"/>
    <w:rsid w:val="44544A76"/>
    <w:rsid w:val="449544C5"/>
    <w:rsid w:val="44A55070"/>
    <w:rsid w:val="45225AF9"/>
    <w:rsid w:val="45530393"/>
    <w:rsid w:val="45750E93"/>
    <w:rsid w:val="45B93083"/>
    <w:rsid w:val="469F7AF8"/>
    <w:rsid w:val="475812CD"/>
    <w:rsid w:val="475D1115"/>
    <w:rsid w:val="478F3581"/>
    <w:rsid w:val="47B14FA6"/>
    <w:rsid w:val="47B96D86"/>
    <w:rsid w:val="47D615F1"/>
    <w:rsid w:val="47D93555"/>
    <w:rsid w:val="48034DA7"/>
    <w:rsid w:val="486F4BB5"/>
    <w:rsid w:val="48A60514"/>
    <w:rsid w:val="48DA768F"/>
    <w:rsid w:val="48E14418"/>
    <w:rsid w:val="48FB790A"/>
    <w:rsid w:val="491635D4"/>
    <w:rsid w:val="492A0748"/>
    <w:rsid w:val="49E7480F"/>
    <w:rsid w:val="4A3A7820"/>
    <w:rsid w:val="4AD818E7"/>
    <w:rsid w:val="4AF173EE"/>
    <w:rsid w:val="4BEA681C"/>
    <w:rsid w:val="4C2F1B9C"/>
    <w:rsid w:val="4C870D35"/>
    <w:rsid w:val="4D2832EB"/>
    <w:rsid w:val="4DB81983"/>
    <w:rsid w:val="4DF66F25"/>
    <w:rsid w:val="4E376DB9"/>
    <w:rsid w:val="4E716394"/>
    <w:rsid w:val="4ECC39F8"/>
    <w:rsid w:val="4F0A3ECF"/>
    <w:rsid w:val="4F595384"/>
    <w:rsid w:val="4F7F3CCA"/>
    <w:rsid w:val="502844C8"/>
    <w:rsid w:val="51D845E4"/>
    <w:rsid w:val="52341DDD"/>
    <w:rsid w:val="523A017B"/>
    <w:rsid w:val="531111FC"/>
    <w:rsid w:val="532D4FC8"/>
    <w:rsid w:val="533444FB"/>
    <w:rsid w:val="536F3BBC"/>
    <w:rsid w:val="55C54FE9"/>
    <w:rsid w:val="55E07717"/>
    <w:rsid w:val="56397366"/>
    <w:rsid w:val="58080247"/>
    <w:rsid w:val="594A0658"/>
    <w:rsid w:val="5950112B"/>
    <w:rsid w:val="597E7D7A"/>
    <w:rsid w:val="59C3293C"/>
    <w:rsid w:val="5A1C766A"/>
    <w:rsid w:val="5CF528AB"/>
    <w:rsid w:val="5D132301"/>
    <w:rsid w:val="5EF258CA"/>
    <w:rsid w:val="5F1E1E73"/>
    <w:rsid w:val="606D4916"/>
    <w:rsid w:val="607E64E9"/>
    <w:rsid w:val="612A3DEE"/>
    <w:rsid w:val="61993E05"/>
    <w:rsid w:val="62772959"/>
    <w:rsid w:val="62B67083"/>
    <w:rsid w:val="63132229"/>
    <w:rsid w:val="63C07045"/>
    <w:rsid w:val="649C599A"/>
    <w:rsid w:val="651B0FEE"/>
    <w:rsid w:val="65305229"/>
    <w:rsid w:val="662D7F1B"/>
    <w:rsid w:val="666E2F33"/>
    <w:rsid w:val="66B027B6"/>
    <w:rsid w:val="671A2875"/>
    <w:rsid w:val="67966EFB"/>
    <w:rsid w:val="67B628F5"/>
    <w:rsid w:val="682119CD"/>
    <w:rsid w:val="69A94E0C"/>
    <w:rsid w:val="6A1A0E79"/>
    <w:rsid w:val="6A2F770C"/>
    <w:rsid w:val="6A5C5429"/>
    <w:rsid w:val="6B10403F"/>
    <w:rsid w:val="6B656B47"/>
    <w:rsid w:val="6B7E1643"/>
    <w:rsid w:val="6C714475"/>
    <w:rsid w:val="6CDB032D"/>
    <w:rsid w:val="6DBD736C"/>
    <w:rsid w:val="6DF45A5A"/>
    <w:rsid w:val="6E160DB8"/>
    <w:rsid w:val="6E5526FF"/>
    <w:rsid w:val="6E6733A0"/>
    <w:rsid w:val="6F2B1820"/>
    <w:rsid w:val="6F2E0DB9"/>
    <w:rsid w:val="6F412F7A"/>
    <w:rsid w:val="6FD1108A"/>
    <w:rsid w:val="707E74C2"/>
    <w:rsid w:val="710D0440"/>
    <w:rsid w:val="716B6D0A"/>
    <w:rsid w:val="71C5585F"/>
    <w:rsid w:val="7207789C"/>
    <w:rsid w:val="720E79AF"/>
    <w:rsid w:val="73A1381E"/>
    <w:rsid w:val="7459468D"/>
    <w:rsid w:val="749131D7"/>
    <w:rsid w:val="756F240E"/>
    <w:rsid w:val="767955ED"/>
    <w:rsid w:val="768B4404"/>
    <w:rsid w:val="779817DA"/>
    <w:rsid w:val="77D476E8"/>
    <w:rsid w:val="77EA1879"/>
    <w:rsid w:val="782A7918"/>
    <w:rsid w:val="79715756"/>
    <w:rsid w:val="7A500C84"/>
    <w:rsid w:val="7A7B08FF"/>
    <w:rsid w:val="7AA165B7"/>
    <w:rsid w:val="7AE21E9E"/>
    <w:rsid w:val="7B09318D"/>
    <w:rsid w:val="7B6004E6"/>
    <w:rsid w:val="7BE14791"/>
    <w:rsid w:val="7C15025C"/>
    <w:rsid w:val="7C4C470C"/>
    <w:rsid w:val="7CD03426"/>
    <w:rsid w:val="7DFA5FDE"/>
    <w:rsid w:val="7E0B3994"/>
    <w:rsid w:val="7F1226AB"/>
    <w:rsid w:val="7F5B6E61"/>
    <w:rsid w:val="7FEF65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5"/>
    <w:autoRedefine/>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1"/>
    <w:pPr>
      <w:spacing w:after="120" w:afterLines="0"/>
    </w:pPr>
  </w:style>
  <w:style w:type="paragraph" w:styleId="5">
    <w:name w:val="Body Text Indent"/>
    <w:basedOn w:val="1"/>
    <w:autoRedefine/>
    <w:qFormat/>
    <w:uiPriority w:val="0"/>
    <w:pPr>
      <w:spacing w:line="480" w:lineRule="auto"/>
      <w:ind w:firstLine="600"/>
    </w:pPr>
    <w:rPr>
      <w:sz w:val="28"/>
    </w:rPr>
  </w:style>
  <w:style w:type="paragraph" w:styleId="6">
    <w:name w:val="Balloon Text"/>
    <w:basedOn w:val="1"/>
    <w:link w:val="24"/>
    <w:autoRedefine/>
    <w:qFormat/>
    <w:uiPriority w:val="0"/>
    <w:rPr>
      <w:sz w:val="18"/>
      <w:szCs w:val="18"/>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link w:val="23"/>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qFormat/>
    <w:uiPriority w:val="39"/>
    <w:pPr>
      <w:jc w:val="left"/>
    </w:pPr>
    <w:rPr>
      <w:b/>
      <w:caps/>
    </w:rPr>
  </w:style>
  <w:style w:type="paragraph" w:styleId="10">
    <w:name w:val="Title"/>
    <w:basedOn w:val="1"/>
    <w:autoRedefine/>
    <w:qFormat/>
    <w:uiPriority w:val="0"/>
    <w:pPr>
      <w:widowControl/>
      <w:overflowPunct w:val="0"/>
      <w:autoSpaceDE w:val="0"/>
      <w:autoSpaceDN w:val="0"/>
      <w:adjustRightInd w:val="0"/>
      <w:jc w:val="center"/>
      <w:textAlignment w:val="baseline"/>
    </w:pPr>
    <w:rPr>
      <w:b/>
      <w:kern w:val="0"/>
      <w:sz w:val="44"/>
      <w:lang w:val="en-GB"/>
    </w:rPr>
  </w:style>
  <w:style w:type="paragraph" w:styleId="11">
    <w:name w:val="Body Text First Indent"/>
    <w:basedOn w:val="4"/>
    <w:next w:val="1"/>
    <w:autoRedefine/>
    <w:qFormat/>
    <w:uiPriority w:val="99"/>
    <w:pPr>
      <w:widowControl/>
      <w:spacing w:after="120" w:afterLines="0" w:line="240" w:lineRule="auto"/>
      <w:ind w:firstLine="420" w:firstLineChars="100"/>
      <w:jc w:val="left"/>
    </w:pPr>
    <w:rPr>
      <w:rFonts w:ascii="Times New Roman" w:eastAsia="宋体"/>
      <w:kern w:val="0"/>
      <w:sz w:val="21"/>
    </w:rPr>
  </w:style>
  <w:style w:type="paragraph" w:styleId="12">
    <w:name w:val="Body Text First Indent 2"/>
    <w:basedOn w:val="5"/>
    <w:autoRedefine/>
    <w:qFormat/>
    <w:uiPriority w:val="0"/>
    <w:pPr>
      <w:ind w:firstLine="420" w:firstLineChars="200"/>
    </w:p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styleId="17">
    <w:name w:val="Hyperlink"/>
    <w:autoRedefine/>
    <w:qFormat/>
    <w:uiPriority w:val="99"/>
    <w:rPr>
      <w:color w:val="0000FF"/>
      <w:u w:val="single"/>
    </w:rPr>
  </w:style>
  <w:style w:type="character" w:styleId="18">
    <w:name w:val="annotation reference"/>
    <w:basedOn w:val="15"/>
    <w:autoRedefine/>
    <w:qFormat/>
    <w:uiPriority w:val="0"/>
    <w:rPr>
      <w:sz w:val="21"/>
      <w:szCs w:val="21"/>
    </w:rPr>
  </w:style>
  <w:style w:type="paragraph" w:customStyle="1" w:styleId="19">
    <w:name w:val="正文文字缩进"/>
    <w:basedOn w:val="1"/>
    <w:autoRedefine/>
    <w:qFormat/>
    <w:uiPriority w:val="0"/>
    <w:pPr>
      <w:widowControl/>
      <w:spacing w:line="351" w:lineRule="atLeast"/>
      <w:ind w:firstLine="436"/>
      <w:textAlignment w:val="baseline"/>
    </w:pPr>
    <w:rPr>
      <w:color w:val="000000"/>
      <w:kern w:val="0"/>
      <w:sz w:val="30"/>
      <w:u w:color="000000"/>
    </w:rPr>
  </w:style>
  <w:style w:type="character" w:customStyle="1" w:styleId="20">
    <w:name w:val="标题 1 Char Char"/>
    <w:autoRedefine/>
    <w:qFormat/>
    <w:uiPriority w:val="0"/>
    <w:rPr>
      <w:rFonts w:eastAsia="宋体"/>
      <w:b/>
      <w:spacing w:val="-2"/>
      <w:sz w:val="24"/>
      <w:lang w:val="en-US" w:eastAsia="zh-CN"/>
    </w:rPr>
  </w:style>
  <w:style w:type="paragraph" w:customStyle="1" w:styleId="21">
    <w:name w:val="一、标题"/>
    <w:basedOn w:val="1"/>
    <w:autoRedefine/>
    <w:qFormat/>
    <w:uiPriority w:val="0"/>
    <w:rPr>
      <w:b/>
      <w:sz w:val="28"/>
    </w:rPr>
  </w:style>
  <w:style w:type="paragraph" w:styleId="22">
    <w:name w:val="List Paragraph"/>
    <w:basedOn w:val="1"/>
    <w:autoRedefine/>
    <w:qFormat/>
    <w:uiPriority w:val="34"/>
    <w:pPr>
      <w:ind w:firstLine="420" w:firstLineChars="200"/>
    </w:pPr>
  </w:style>
  <w:style w:type="character" w:customStyle="1" w:styleId="23">
    <w:name w:val="页眉 Char"/>
    <w:basedOn w:val="15"/>
    <w:link w:val="8"/>
    <w:autoRedefine/>
    <w:qFormat/>
    <w:uiPriority w:val="0"/>
    <w:rPr>
      <w:kern w:val="2"/>
      <w:sz w:val="18"/>
      <w:szCs w:val="18"/>
    </w:rPr>
  </w:style>
  <w:style w:type="character" w:customStyle="1" w:styleId="24">
    <w:name w:val="批注框文本 Char"/>
    <w:basedOn w:val="15"/>
    <w:link w:val="6"/>
    <w:autoRedefine/>
    <w:qFormat/>
    <w:uiPriority w:val="0"/>
    <w:rPr>
      <w:kern w:val="2"/>
      <w:sz w:val="18"/>
      <w:szCs w:val="18"/>
    </w:rPr>
  </w:style>
  <w:style w:type="character" w:customStyle="1" w:styleId="25">
    <w:name w:val="font31"/>
    <w:basedOn w:val="15"/>
    <w:autoRedefine/>
    <w:qFormat/>
    <w:uiPriority w:val="0"/>
    <w:rPr>
      <w:rFonts w:hint="eastAsia" w:ascii="宋体" w:hAnsi="宋体" w:eastAsia="宋体" w:cs="宋体"/>
      <w:color w:val="000000"/>
      <w:sz w:val="22"/>
      <w:szCs w:val="22"/>
      <w:u w:val="none"/>
    </w:rPr>
  </w:style>
  <w:style w:type="character" w:customStyle="1" w:styleId="26">
    <w:name w:val="font51"/>
    <w:basedOn w:val="15"/>
    <w:autoRedefine/>
    <w:qFormat/>
    <w:uiPriority w:val="0"/>
    <w:rPr>
      <w:rFonts w:hint="default" w:ascii="Times New Roman" w:hAnsi="Times New Roman" w:cs="Times New Roman"/>
      <w:color w:val="000000"/>
      <w:sz w:val="22"/>
      <w:szCs w:val="22"/>
      <w:u w:val="none"/>
    </w:rPr>
  </w:style>
  <w:style w:type="character" w:customStyle="1" w:styleId="27">
    <w:name w:val="font41"/>
    <w:basedOn w:val="15"/>
    <w:autoRedefine/>
    <w:qFormat/>
    <w:uiPriority w:val="0"/>
    <w:rPr>
      <w:rFonts w:ascii="仿宋_GB2312" w:eastAsia="仿宋_GB2312" w:cs="仿宋_GB2312"/>
      <w:color w:val="000000"/>
      <w:sz w:val="22"/>
      <w:szCs w:val="22"/>
      <w:u w:val="none"/>
    </w:rPr>
  </w:style>
  <w:style w:type="character" w:customStyle="1" w:styleId="28">
    <w:name w:val="font21"/>
    <w:basedOn w:val="15"/>
    <w:autoRedefine/>
    <w:qFormat/>
    <w:uiPriority w:val="0"/>
    <w:rPr>
      <w:rFonts w:hint="eastAsia" w:ascii="宋体" w:hAnsi="宋体" w:eastAsia="宋体" w:cs="宋体"/>
      <w:color w:val="000000"/>
      <w:sz w:val="22"/>
      <w:szCs w:val="22"/>
      <w:u w:val="none"/>
      <w:vertAlign w:val="superscript"/>
    </w:rPr>
  </w:style>
  <w:style w:type="character" w:customStyle="1" w:styleId="29">
    <w:name w:val="font01"/>
    <w:basedOn w:val="15"/>
    <w:autoRedefine/>
    <w:qFormat/>
    <w:uiPriority w:val="0"/>
    <w:rPr>
      <w:rFonts w:hint="eastAsia" w:ascii="宋体" w:hAnsi="宋体" w:eastAsia="宋体" w:cs="宋体"/>
      <w:color w:val="000000"/>
      <w:sz w:val="22"/>
      <w:szCs w:val="22"/>
      <w:u w:val="none"/>
    </w:rPr>
  </w:style>
  <w:style w:type="character" w:customStyle="1" w:styleId="30">
    <w:name w:val="font11"/>
    <w:basedOn w:val="15"/>
    <w:autoRedefine/>
    <w:qFormat/>
    <w:uiPriority w:val="0"/>
    <w:rPr>
      <w:rFonts w:hint="eastAsia" w:ascii="宋体" w:hAnsi="宋体" w:eastAsia="宋体" w:cs="宋体"/>
      <w:color w:val="000000"/>
      <w:sz w:val="24"/>
      <w:szCs w:val="24"/>
      <w:u w:val="none"/>
    </w:rPr>
  </w:style>
  <w:style w:type="paragraph" w:customStyle="1" w:styleId="31">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2">
    <w:name w:val="font81"/>
    <w:basedOn w:val="15"/>
    <w:autoRedefine/>
    <w:qFormat/>
    <w:uiPriority w:val="0"/>
    <w:rPr>
      <w:rFonts w:ascii="宋体" w:hAnsi="宋体" w:eastAsia="宋体" w:cs="宋体"/>
      <w:color w:val="000000"/>
      <w:sz w:val="20"/>
      <w:szCs w:val="20"/>
      <w:u w:val="none"/>
    </w:rPr>
  </w:style>
  <w:style w:type="character" w:customStyle="1" w:styleId="33">
    <w:name w:val="font71"/>
    <w:basedOn w:val="15"/>
    <w:autoRedefine/>
    <w:qFormat/>
    <w:uiPriority w:val="0"/>
    <w:rPr>
      <w:rFonts w:hint="eastAsia" w:ascii="仿宋" w:hAnsi="仿宋" w:eastAsia="仿宋" w:cs="仿宋"/>
      <w:color w:val="000000"/>
      <w:sz w:val="22"/>
      <w:szCs w:val="22"/>
      <w:u w:val="none"/>
    </w:rPr>
  </w:style>
  <w:style w:type="paragraph" w:customStyle="1" w:styleId="34">
    <w:name w:val="样式1"/>
    <w:basedOn w:val="1"/>
    <w:autoRedefine/>
    <w:qFormat/>
    <w:uiPriority w:val="0"/>
    <w:pPr>
      <w:spacing w:line="240" w:lineRule="exact"/>
    </w:pPr>
    <w:rPr>
      <w:rFonts w:ascii="宋体" w:hAnsi="宋体" w:eastAsia="宋体"/>
      <w:sz w:val="24"/>
      <w:szCs w:val="24"/>
    </w:rPr>
  </w:style>
  <w:style w:type="character" w:customStyle="1" w:styleId="35">
    <w:name w:val="标题 1 Char"/>
    <w:link w:val="2"/>
    <w:autoRedefine/>
    <w:qFormat/>
    <w:uiPriority w:val="0"/>
    <w:rPr>
      <w:rFonts w:ascii="宋体" w:hAnsi="Arial" w:eastAsia="黑体"/>
      <w:b/>
      <w:color w:val="000000"/>
      <w:kern w:val="44"/>
      <w:sz w:val="36"/>
    </w:rPr>
  </w:style>
  <w:style w:type="paragraph" w:customStyle="1" w:styleId="36">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37">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25</Pages>
  <Words>9178</Words>
  <Characters>9463</Characters>
  <Lines>53</Lines>
  <Paragraphs>15</Paragraphs>
  <TotalTime>7</TotalTime>
  <ScaleCrop>false</ScaleCrop>
  <LinksUpToDate>false</LinksUpToDate>
  <CharactersWithSpaces>10707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Léon</cp:lastModifiedBy>
  <cp:lastPrinted>2026-05-29T02:03:00Z</cp:lastPrinted>
  <dcterms:modified xsi:type="dcterms:W3CDTF">2026-05-29T07:23:11Z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C9A666A2A15A40C0BA34BA495CE525D8_13</vt:lpwstr>
  </property>
  <property fmtid="{D5CDD505-2E9C-101B-9397-08002B2CF9AE}" pid="4" name="KSOTemplateDocerSaveRecord">
    <vt:lpwstr>eyJoZGlkIjoiNTVkNzExMmNlZTllZmYzYjIzZDNlN2M3MDhjZjk3N2IiLCJ1c2VySWQiOiI0MTkyNjk4ODkifQ==</vt:lpwstr>
  </property>
</Properties>
</file>