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FFB9E">
      <w:pPr>
        <w:jc w:val="center"/>
        <w:rPr>
          <w:rFonts w:hint="eastAsia" w:ascii="仿宋" w:hAnsi="仿宋" w:eastAsia="仿宋" w:cs="仿宋"/>
          <w:sz w:val="72"/>
        </w:rPr>
      </w:pPr>
    </w:p>
    <w:p w14:paraId="0D82242B">
      <w:pPr>
        <w:jc w:val="center"/>
        <w:rPr>
          <w:rFonts w:hint="eastAsia" w:ascii="仿宋" w:hAnsi="仿宋" w:eastAsia="仿宋" w:cs="仿宋"/>
          <w:sz w:val="72"/>
        </w:rPr>
      </w:pPr>
    </w:p>
    <w:p w14:paraId="3D57AF6B">
      <w:pPr>
        <w:jc w:val="center"/>
        <w:outlineLvl w:val="0"/>
        <w:rPr>
          <w:rFonts w:hint="eastAsia" w:ascii="仿宋_GB2312" w:hAnsi="宋体" w:eastAsia="仿宋_GB2312"/>
          <w:b/>
          <w:sz w:val="52"/>
          <w:szCs w:val="52"/>
          <w:highlight w:val="none"/>
        </w:rPr>
      </w:pPr>
      <w:bookmarkStart w:id="0" w:name="_Toc13330"/>
      <w:r>
        <w:rPr>
          <w:rFonts w:hint="eastAsia" w:ascii="仿宋_GB2312" w:hAnsi="宋体" w:eastAsia="仿宋_GB2312"/>
          <w:b/>
          <w:sz w:val="52"/>
          <w:szCs w:val="52"/>
          <w:highlight w:val="none"/>
          <w:lang w:eastAsia="zh-CN"/>
        </w:rPr>
        <w:t>绍兴市再生能源发展有限公司</w:t>
      </w:r>
      <w:bookmarkEnd w:id="0"/>
    </w:p>
    <w:p w14:paraId="2A157F01">
      <w:pPr>
        <w:pStyle w:val="11"/>
        <w:rPr>
          <w:highlight w:val="none"/>
        </w:rPr>
      </w:pPr>
    </w:p>
    <w:p w14:paraId="76AAFC3D">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厂区篮球场改造</w:t>
      </w:r>
      <w:r>
        <w:rPr>
          <w:rFonts w:hint="eastAsia" w:ascii="仿宋_GB2312" w:hAnsi="宋体" w:eastAsia="仿宋_GB2312"/>
          <w:b/>
          <w:sz w:val="52"/>
          <w:szCs w:val="52"/>
          <w:highlight w:val="none"/>
          <w:lang w:eastAsia="zh-CN"/>
        </w:rPr>
        <w:t>项目</w:t>
      </w:r>
    </w:p>
    <w:p w14:paraId="50280FFA">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32A479A4">
      <w:pPr>
        <w:jc w:val="center"/>
        <w:rPr>
          <w:rFonts w:hint="eastAsia" w:ascii="仿宋" w:hAnsi="仿宋" w:eastAsia="仿宋" w:cs="仿宋"/>
          <w:b/>
          <w:sz w:val="48"/>
          <w:szCs w:val="48"/>
        </w:rPr>
      </w:pPr>
    </w:p>
    <w:p w14:paraId="727D4EBE">
      <w:pPr>
        <w:spacing w:line="360" w:lineRule="auto"/>
        <w:rPr>
          <w:rFonts w:hint="eastAsia" w:ascii="仿宋" w:hAnsi="仿宋" w:eastAsia="仿宋" w:cs="仿宋"/>
          <w:sz w:val="40"/>
          <w:szCs w:val="48"/>
        </w:rPr>
      </w:pPr>
    </w:p>
    <w:p w14:paraId="2566F134">
      <w:pPr>
        <w:spacing w:line="360" w:lineRule="auto"/>
        <w:rPr>
          <w:rFonts w:hint="eastAsia" w:ascii="仿宋" w:hAnsi="仿宋" w:eastAsia="仿宋" w:cs="仿宋"/>
          <w:sz w:val="40"/>
          <w:szCs w:val="48"/>
        </w:rPr>
      </w:pPr>
    </w:p>
    <w:p w14:paraId="7A50DD05">
      <w:pPr>
        <w:spacing w:line="360" w:lineRule="auto"/>
        <w:rPr>
          <w:rFonts w:hint="eastAsia" w:ascii="仿宋" w:hAnsi="仿宋" w:eastAsia="仿宋" w:cs="仿宋"/>
          <w:sz w:val="40"/>
          <w:szCs w:val="48"/>
          <w:highlight w:val="none"/>
        </w:rPr>
      </w:pPr>
    </w:p>
    <w:p w14:paraId="66DA15D6">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SX-GC-LQ-</w:t>
      </w:r>
      <w:bookmarkEnd w:id="1"/>
      <w:r>
        <w:rPr>
          <w:rFonts w:hint="eastAsia" w:ascii="仿宋" w:hAnsi="仿宋" w:eastAsia="仿宋" w:cs="仿宋"/>
          <w:sz w:val="32"/>
          <w:szCs w:val="32"/>
          <w:highlight w:val="none"/>
          <w:u w:val="single"/>
          <w:lang w:val="en-US" w:eastAsia="zh-CN"/>
        </w:rPr>
        <w:t xml:space="preserve">2604001 </w:t>
      </w:r>
    </w:p>
    <w:p w14:paraId="6D44E726">
      <w:pPr>
        <w:spacing w:line="360" w:lineRule="auto"/>
        <w:ind w:firstLine="80" w:firstLineChars="25"/>
        <w:jc w:val="center"/>
        <w:rPr>
          <w:rFonts w:hint="default"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highlight w:val="none"/>
          <w:u w:val="single"/>
          <w:lang w:val="en-US" w:eastAsia="zh-CN"/>
        </w:rPr>
        <w:t>厂区篮球场改造项目</w:t>
      </w:r>
    </w:p>
    <w:p w14:paraId="66E005F2">
      <w:pPr>
        <w:rPr>
          <w:rFonts w:hint="eastAsia" w:ascii="仿宋" w:hAnsi="仿宋" w:eastAsia="仿宋" w:cs="仿宋"/>
          <w:sz w:val="84"/>
        </w:rPr>
      </w:pPr>
    </w:p>
    <w:p w14:paraId="685ED436">
      <w:pPr>
        <w:rPr>
          <w:rFonts w:hint="eastAsia" w:ascii="仿宋" w:hAnsi="仿宋" w:eastAsia="仿宋" w:cs="仿宋"/>
          <w:sz w:val="84"/>
        </w:rPr>
      </w:pPr>
    </w:p>
    <w:p w14:paraId="685A8F95">
      <w:pPr>
        <w:rPr>
          <w:rFonts w:hint="eastAsia" w:ascii="仿宋" w:hAnsi="仿宋" w:eastAsia="仿宋" w:cs="仿宋"/>
          <w:sz w:val="84"/>
        </w:rPr>
      </w:pPr>
      <w:bookmarkStart w:id="24" w:name="_GoBack"/>
      <w:bookmarkEnd w:id="24"/>
    </w:p>
    <w:p w14:paraId="2A86C37A">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7DA2248E">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rPr>
        <w:t>月</w:t>
      </w:r>
    </w:p>
    <w:p w14:paraId="3A402D53">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48722607">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_Toc13330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_Toc13330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DB5759D">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_Toc17392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_Toc17392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7A8EE92">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_Toc13041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第二部分   采购须知</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_Toc13041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8</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2A6DEF2">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_Toc13197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_Toc13197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8C670D3">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_Toc3218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lang w:val="en-US" w:eastAsia="zh-CN"/>
        </w:rPr>
        <w:t>第四部分   合同主要条款（供参考）</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_Toc3218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15</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67AC95AD">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_Toc26087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_Toc26087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20</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33A09F9E">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_Toc3557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w:t>
      </w:r>
      <w:r>
        <w:rPr>
          <w:rFonts w:hint="eastAsia" w:ascii="仿宋" w:hAnsi="仿宋" w:eastAsia="仿宋" w:cs="仿宋"/>
          <w:b w:val="0"/>
          <w:bCs w:val="0"/>
          <w:snapToGrid w:val="0"/>
          <w:sz w:val="32"/>
          <w:szCs w:val="32"/>
          <w:lang w:eastAsia="zh-CN"/>
        </w:rPr>
        <w:t>五</w:t>
      </w:r>
      <w:r>
        <w:rPr>
          <w:rFonts w:hint="eastAsia" w:ascii="仿宋" w:hAnsi="仿宋" w:eastAsia="仿宋" w:cs="仿宋"/>
          <w:b w:val="0"/>
          <w:bCs w:val="0"/>
          <w:snapToGrid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_Toc3557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9266EE6">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_Toc5734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_Toc5734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24</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CC5F1A5">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_Toc26148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附件二：</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_Toc26148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26</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32EBD5F6">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_Toc15132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附件三：</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_Toc15132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28</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2879D5D">
      <w:pPr>
        <w:pStyle w:val="9"/>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_Toc12236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四：</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_Toc12236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30</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6CB8FEBC">
      <w:pPr>
        <w:rPr>
          <w:rFonts w:hint="eastAsia" w:ascii="仿宋" w:hAnsi="仿宋" w:eastAsia="仿宋" w:cs="仿宋"/>
          <w:sz w:val="56"/>
          <w:szCs w:val="32"/>
        </w:rPr>
      </w:pPr>
      <w:r>
        <w:rPr>
          <w:rFonts w:hint="eastAsia" w:ascii="仿宋" w:hAnsi="仿宋" w:eastAsia="仿宋" w:cs="仿宋"/>
          <w:b w:val="0"/>
          <w:bCs w:val="0"/>
          <w:sz w:val="32"/>
          <w:szCs w:val="32"/>
        </w:rPr>
        <w:fldChar w:fldCharType="end"/>
      </w:r>
    </w:p>
    <w:p w14:paraId="3A7D2623">
      <w:pPr>
        <w:rPr>
          <w:rFonts w:hint="eastAsia" w:ascii="仿宋" w:hAnsi="仿宋" w:eastAsia="仿宋" w:cs="仿宋"/>
          <w:sz w:val="36"/>
        </w:rPr>
      </w:pPr>
    </w:p>
    <w:p w14:paraId="4A80940D">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17392"/>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2F5D6C0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厂区篮球场改造项目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58CF13A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4983EC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SX-GC-LQ-2604001  </w:t>
      </w:r>
    </w:p>
    <w:p w14:paraId="60090A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510" w:type="pct"/>
        <w:jc w:val="center"/>
        <w:tblLayout w:type="fixed"/>
        <w:tblCellMar>
          <w:top w:w="0" w:type="dxa"/>
          <w:left w:w="108" w:type="dxa"/>
          <w:bottom w:w="0" w:type="dxa"/>
          <w:right w:w="108" w:type="dxa"/>
        </w:tblCellMar>
      </w:tblPr>
      <w:tblGrid>
        <w:gridCol w:w="672"/>
        <w:gridCol w:w="2145"/>
        <w:gridCol w:w="5376"/>
        <w:gridCol w:w="2042"/>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5376"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sz w:val="24"/>
                <w:szCs w:val="24"/>
                <w:highlight w:val="none"/>
                <w:u w:val="none"/>
                <w:lang w:eastAsia="zh-CN"/>
              </w:rPr>
              <w:t>技术要求</w:t>
            </w:r>
          </w:p>
        </w:tc>
      </w:tr>
      <w:tr w14:paraId="0D170546">
        <w:tblPrEx>
          <w:tblCellMar>
            <w:top w:w="0" w:type="dxa"/>
            <w:left w:w="108" w:type="dxa"/>
            <w:bottom w:w="0" w:type="dxa"/>
            <w:right w:w="108" w:type="dxa"/>
          </w:tblCellMar>
        </w:tblPrEx>
        <w:trPr>
          <w:trHeight w:val="3021"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厂区篮球场改造</w:t>
            </w:r>
          </w:p>
        </w:tc>
        <w:tc>
          <w:tcPr>
            <w:tcW w:w="5376" w:type="dxa"/>
            <w:tcBorders>
              <w:top w:val="single" w:color="000000" w:sz="4" w:space="0"/>
              <w:left w:val="single" w:color="000000" w:sz="4" w:space="0"/>
              <w:bottom w:val="single" w:color="000000" w:sz="4" w:space="0"/>
              <w:right w:val="single" w:color="000000" w:sz="4" w:space="0"/>
            </w:tcBorders>
            <w:noWrap w:val="0"/>
            <w:vAlign w:val="center"/>
          </w:tcPr>
          <w:p w14:paraId="1077EC3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1、旧地面铲除与清运1000㎡含原地面破损塑胶层铲除、垃圾装车外运</w:t>
            </w:r>
          </w:p>
          <w:p w14:paraId="4FDAB4B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2、基础打磨与修补1000㎡含水泥基础打磨、裂缝填补、局部找平</w:t>
            </w:r>
          </w:p>
          <w:p w14:paraId="52455D4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3、6mm厚硅PU弹性层铺1000㎡包含弹性层、加强层，分层施工</w:t>
            </w:r>
          </w:p>
          <w:p w14:paraId="4A96EB6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4、硅PU面层施工1000㎡包含耐磨防滑面层</w:t>
            </w:r>
          </w:p>
          <w:p w14:paraId="156650C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5、球场标准划线按标准篮球场尺寸（含三秒区、中圈等）</w:t>
            </w:r>
          </w:p>
          <w:p w14:paraId="76646E7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6、场地养护与清理施工完成后成品保护与场地清洁</w:t>
            </w:r>
          </w:p>
          <w:p w14:paraId="2A589DD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7、户外休闲椅换新</w:t>
            </w:r>
          </w:p>
          <w:p w14:paraId="0ADB7F4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8、围网550㎡翻新加固，喷防锈喷漆</w:t>
            </w:r>
          </w:p>
          <w:p w14:paraId="4EFF60F8">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9、篮球架2个翻新喷漆</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详见询价文件</w:t>
            </w:r>
          </w:p>
        </w:tc>
      </w:tr>
    </w:tbl>
    <w:p w14:paraId="788AFCE4">
      <w:pPr>
        <w:rPr>
          <w:rFonts w:hint="eastAsia"/>
        </w:rPr>
      </w:pPr>
    </w:p>
    <w:p w14:paraId="69179C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3.技术要求及工作量：</w:t>
      </w:r>
    </w:p>
    <w:p w14:paraId="107B28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u w:val="single"/>
          <w:lang w:val="en-US" w:eastAsia="zh-CN"/>
        </w:rPr>
        <w:t>3.1技术要求</w:t>
      </w:r>
      <w:r>
        <w:rPr>
          <w:rFonts w:hint="eastAsia" w:ascii="仿宋" w:hAnsi="仿宋" w:eastAsia="仿宋" w:cs="仿宋"/>
          <w:b/>
          <w:bCs/>
          <w:sz w:val="30"/>
          <w:szCs w:val="30"/>
          <w:lang w:val="en-US" w:eastAsia="zh-CN"/>
        </w:rPr>
        <w:t>：</w:t>
      </w:r>
    </w:p>
    <w:p w14:paraId="166554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为确保工程质量，所有材料及施工必须符合国家标准 GB 36246-2018《中小学合成材料面层运动场地》 及 GB/T 14833-2020《合成材料运动场地面层》 的相关要求。</w:t>
      </w:r>
    </w:p>
    <w:p w14:paraId="493DF0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具体要求与指标：</w:t>
      </w:r>
    </w:p>
    <w:p w14:paraId="03F2560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1）地面材料要求</w:t>
      </w:r>
    </w:p>
    <w:p w14:paraId="2574EC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面层材料：6mm厚全塑型硅PU。须提供原材料生产厂家的产品检测报告。</w:t>
      </w:r>
    </w:p>
    <w:p w14:paraId="5A4A9B0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物理性能 拉伸强度 ≥1.8 MPa；拉断伸长率 ≥400%；回弹值 ≥20%；抗滑值（BPN 20℃）≥ 0.4。</w:t>
      </w:r>
    </w:p>
    <w:p w14:paraId="3F4AB8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环保标准：总挥发性有机化合物（TVOC）释放量 ≤5.0 mg/（㎡·h）；甲醛 ≤0.4 mg/（㎡·h）；苯系物总和 ≤1.0 mg/（㎡·h）。</w:t>
      </w:r>
    </w:p>
    <w:p w14:paraId="21E22E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厚度要求 平均厚度不低于6mm，允许偏差±0.5mm，分层结构合理。</w:t>
      </w:r>
    </w:p>
    <w:p w14:paraId="238C8A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2）基础处理要求</w:t>
      </w:r>
    </w:p>
    <w:p w14:paraId="693F6E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基础状态：水泥基础需坚固、干燥（含水率≤5%）、平整。用3m直尺测量，误差≤3mm。</w:t>
      </w:r>
    </w:p>
    <w:p w14:paraId="7CDE8A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裂缝处理：所有裂缝需切割扩宽后填补，防止后期反射。</w:t>
      </w:r>
    </w:p>
    <w:p w14:paraId="00F296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施工环境：施工温度不低于5℃。每一层必须完全干固后才能进行下一道涂刮。完工后养护期不少于5天。</w:t>
      </w:r>
    </w:p>
    <w:p w14:paraId="1009CFA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3）篮球架翻新要求</w:t>
      </w:r>
    </w:p>
    <w:p w14:paraId="15B823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基层处理：彻底打磨除锈，清除原有翘皮、脱落漆面。</w:t>
      </w:r>
    </w:p>
    <w:p w14:paraId="7FEBAC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防锈处理：涂刷优质防锈漆（底漆）不少于1遍，确保金属表面全覆盖。</w:t>
      </w:r>
    </w:p>
    <w:p w14:paraId="434081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面层处理：涂刷优质户外专用面漆不少于2遍，颜色均匀，不得有流挂、漏刷现象。</w:t>
      </w:r>
    </w:p>
    <w:p w14:paraId="7B6AE1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4）围网翻新加固要求</w:t>
      </w:r>
    </w:p>
    <w:p w14:paraId="7434CC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基层处理：清理围网翘皮塑胶，打磨除锈，铲除松动附着物。</w:t>
      </w:r>
    </w:p>
    <w:p w14:paraId="47D5E9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结构加固：腐蚀严重的立柱、横杆需加角铁连接加固，确保围网整体稳定性。</w:t>
      </w:r>
    </w:p>
    <w:p w14:paraId="0634AB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修补找平：对破损部位用腻子进行修补、找平、打磨。</w:t>
      </w:r>
    </w:p>
    <w:p w14:paraId="7B4483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防腐处理：全场钢管涂刷防锈漆（底漆）1-2遍，再涂刷墨绿色面漆2遍。</w:t>
      </w:r>
    </w:p>
    <w:p w14:paraId="0E1169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质保明细：</w:t>
      </w:r>
    </w:p>
    <w:p w14:paraId="21A0BCF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-硅PU面层（弹性层+面层）：5年（非人为质量问题）</w:t>
      </w:r>
    </w:p>
    <w:p w14:paraId="77274A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single"/>
          <w:lang w:val="en-US" w:eastAsia="zh-CN" w:bidi="ar-SA"/>
        </w:rPr>
      </w:pPr>
      <w:r>
        <w:rPr>
          <w:rFonts w:hint="eastAsia" w:ascii="仿宋" w:hAnsi="仿宋" w:eastAsia="仿宋" w:cs="仿宋"/>
          <w:kern w:val="2"/>
          <w:sz w:val="30"/>
          <w:szCs w:val="30"/>
          <w:u w:val="none"/>
          <w:lang w:val="en-US" w:eastAsia="zh-CN" w:bidi="ar-SA"/>
        </w:rPr>
        <w:t>-球架、围网：2年</w:t>
      </w:r>
    </w:p>
    <w:p w14:paraId="6F18D8D5">
      <w:pPr>
        <w:pStyle w:val="12"/>
        <w:snapToGrid/>
        <w:spacing w:line="360" w:lineRule="auto"/>
        <w:rPr>
          <w:rFonts w:hint="eastAsia" w:ascii="仿宋" w:hAnsi="仿宋" w:eastAsia="仿宋" w:cs="仿宋"/>
          <w:b/>
          <w:bCs/>
          <w:sz w:val="30"/>
          <w:szCs w:val="30"/>
          <w:lang w:val="en-US" w:eastAsia="zh-CN"/>
        </w:rPr>
      </w:pPr>
      <w:r>
        <w:rPr>
          <w:rFonts w:hint="eastAsia" w:ascii="仿宋" w:hAnsi="仿宋" w:eastAsia="仿宋" w:cs="仿宋"/>
          <w:b/>
          <w:bCs/>
          <w:sz w:val="30"/>
          <w:szCs w:val="30"/>
          <w:u w:val="single"/>
          <w:lang w:val="en-US" w:eastAsia="zh-CN"/>
        </w:rPr>
        <w:t>3.2工作量</w:t>
      </w:r>
      <w:r>
        <w:rPr>
          <w:rFonts w:hint="eastAsia" w:ascii="仿宋" w:hAnsi="仿宋" w:eastAsia="仿宋" w:cs="仿宋"/>
          <w:b/>
          <w:bCs/>
          <w:sz w:val="30"/>
          <w:szCs w:val="30"/>
          <w:lang w:val="en-US" w:eastAsia="zh-CN"/>
        </w:rPr>
        <w:t>：</w:t>
      </w:r>
    </w:p>
    <w:p w14:paraId="70B11279">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1）旧地面铲除与清运1000㎡含原地面破损塑胶层铲除、垃圾装车外运</w:t>
      </w:r>
    </w:p>
    <w:p w14:paraId="6BAD0574">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2）基础打磨与修补1000㎡含水泥基础打磨、裂缝填补、局部找平</w:t>
      </w:r>
    </w:p>
    <w:p w14:paraId="3D104636">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3）6mm厚硅PU弹性层铺1000㎡包含弹性层、加强层，分层施工</w:t>
      </w:r>
    </w:p>
    <w:p w14:paraId="02353DF0">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4）硅PU面层施工1000㎡包含耐磨防滑面层</w:t>
      </w:r>
    </w:p>
    <w:p w14:paraId="7FD9C93C">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5）球场标准划线按标准篮球场尺寸（含三秒区、中圈等）</w:t>
      </w:r>
    </w:p>
    <w:p w14:paraId="06ACDF28">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6）场地养护与清理施工完成后成品保护与场地清洁</w:t>
      </w:r>
    </w:p>
    <w:p w14:paraId="6B7290AC">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7）户外休闲椅换新</w:t>
      </w:r>
    </w:p>
    <w:p w14:paraId="2244F869">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8）围网550㎡翻新加固，喷防锈喷漆</w:t>
      </w:r>
    </w:p>
    <w:p w14:paraId="2C28660E">
      <w:pPr>
        <w:widowControl w:val="0"/>
        <w:snapToGrid/>
        <w:spacing w:line="360" w:lineRule="auto"/>
        <w:ind w:firstLine="600" w:firstLineChars="200"/>
        <w:jc w:val="both"/>
        <w:rPr>
          <w:rFonts w:hint="eastAsia"/>
          <w:lang w:eastAsia="zh-CN"/>
        </w:rPr>
      </w:pPr>
      <w:r>
        <w:rPr>
          <w:rFonts w:hint="eastAsia" w:ascii="仿宋" w:hAnsi="仿宋" w:eastAsia="仿宋" w:cs="仿宋"/>
          <w:kern w:val="2"/>
          <w:sz w:val="30"/>
          <w:szCs w:val="30"/>
          <w:u w:val="none"/>
          <w:lang w:val="en-US" w:eastAsia="zh-CN" w:bidi="ar-SA"/>
        </w:rPr>
        <w:t>9）篮球架2个翻新喷漆</w:t>
      </w:r>
    </w:p>
    <w:p w14:paraId="2D5C46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人民币29.6</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6CF008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0428D8C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highlight w:val="none"/>
          <w:lang w:val="en-US" w:eastAsia="zh-CN"/>
        </w:rPr>
        <w:t>投标人经营范围须包含相关资质。</w:t>
      </w:r>
    </w:p>
    <w:p w14:paraId="5863D6E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96E22F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1F80DDB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60B52E59">
      <w:pPr>
        <w:pStyle w:val="12"/>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5.</w:t>
      </w:r>
      <w:bookmarkStart w:id="7" w:name="OLE_LINK2"/>
      <w:r>
        <w:rPr>
          <w:rFonts w:hint="eastAsia" w:ascii="仿宋" w:hAnsi="仿宋" w:eastAsia="仿宋" w:cs="仿宋"/>
          <w:sz w:val="30"/>
          <w:szCs w:val="30"/>
          <w:highlight w:val="none"/>
          <w:lang w:val="en-US" w:eastAsia="zh-CN"/>
        </w:rPr>
        <w:t>供应商须</w:t>
      </w:r>
      <w:bookmarkEnd w:id="7"/>
      <w:r>
        <w:rPr>
          <w:rFonts w:hint="eastAsia" w:ascii="仿宋" w:hAnsi="仿宋" w:eastAsia="仿宋" w:cs="仿宋"/>
          <w:sz w:val="30"/>
          <w:szCs w:val="30"/>
          <w:highlight w:val="none"/>
          <w:lang w:val="en-US" w:eastAsia="zh-CN"/>
        </w:rPr>
        <w:t>具备以下资质（1）具备建设行政主管部门颁发的市政公用工程施工总承包三级（含）以上资质或建筑工程施工总承包三级（含）以上资质。（2）具备有效的安全生产许可证。（3）营业执照经营范围须包含体育场地设施工程施工或相关业务内容（4）进场前需要提供所有进场施工人员相对应的保险明细①身故/伤残保额不低于100万元/人②意外医疗保额不低于5万元/人，若未按要求提供保险证明，或保险保额不足，甲方有权取消中标资格，且履约保证金不予退还。</w:t>
      </w:r>
    </w:p>
    <w:p w14:paraId="675768A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8" w:name="_Toc530583880"/>
      <w:bookmarkStart w:id="9"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60B3D14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5月15</w:t>
      </w:r>
      <w:r>
        <w:rPr>
          <w:rFonts w:hint="eastAsia" w:ascii="仿宋_GB2312" w:eastAsia="仿宋_GB2312"/>
          <w:sz w:val="30"/>
          <w:szCs w:val="30"/>
        </w:rPr>
        <w:t>日。</w:t>
      </w:r>
    </w:p>
    <w:p w14:paraId="677045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3E77889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4D8BB38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2FE7F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0487FD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本招标文件内有资质要求，供应商需另行分装报价资格一览表，封装方式需与报价文件相同，且需在快递包装上醒目注明报价资格表、项目名称、询价编号，报价人联系人、联系人电话。</w:t>
      </w:r>
    </w:p>
    <w:p w14:paraId="498518D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w:t>
      </w:r>
      <w:r>
        <w:rPr>
          <w:rFonts w:hint="eastAsia" w:ascii="仿宋_GB2312" w:eastAsia="仿宋_GB2312"/>
          <w:color w:val="auto"/>
          <w:sz w:val="30"/>
          <w:szCs w:val="30"/>
        </w:rPr>
        <w:t>截至202</w:t>
      </w:r>
      <w:r>
        <w:rPr>
          <w:rFonts w:hint="eastAsia" w:ascii="仿宋_GB2312" w:eastAsia="仿宋_GB2312"/>
          <w:color w:val="auto"/>
          <w:sz w:val="30"/>
          <w:szCs w:val="30"/>
          <w:lang w:val="en-US" w:eastAsia="zh-CN"/>
        </w:rPr>
        <w:t>6</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5</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14</w:t>
      </w:r>
      <w:r>
        <w:rPr>
          <w:rFonts w:hint="eastAsia" w:ascii="仿宋_GB2312" w:eastAsia="仿宋_GB2312"/>
          <w:color w:val="auto"/>
          <w:sz w:val="30"/>
          <w:szCs w:val="30"/>
        </w:rPr>
        <w:t>日，</w:t>
      </w:r>
      <w:r>
        <w:rPr>
          <w:rFonts w:hint="eastAsia" w:ascii="仿宋_GB2312" w:eastAsia="仿宋_GB2312"/>
          <w:sz w:val="30"/>
          <w:szCs w:val="30"/>
        </w:rPr>
        <w:t>以邮寄签收时间为准，因邮寄原因导致报价文件不能如期送达等风险由供应商自行承担。</w:t>
      </w:r>
    </w:p>
    <w:p w14:paraId="6BC28CE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9088E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18742D2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0341035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5ED225C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2A94BDB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011A9B2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219CC76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color w:val="auto"/>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0F9C17AA">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EA4F2A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5月7</w:t>
      </w:r>
      <w:r>
        <w:rPr>
          <w:rFonts w:hint="eastAsia" w:ascii="仿宋_GB2312" w:eastAsia="仿宋_GB2312"/>
          <w:sz w:val="30"/>
          <w:szCs w:val="30"/>
        </w:rPr>
        <w:t>日</w:t>
      </w:r>
    </w:p>
    <w:p w14:paraId="086D0041">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10" w:name="_Toc13041"/>
      <w:bookmarkStart w:id="11" w:name="_Toc530583922"/>
      <w:bookmarkStart w:id="12" w:name="_Toc530583879"/>
      <w:r>
        <w:rPr>
          <w:rFonts w:hint="eastAsia" w:ascii="仿宋" w:hAnsi="仿宋" w:eastAsia="仿宋" w:cs="仿宋"/>
          <w:b/>
          <w:snapToGrid w:val="0"/>
          <w:color w:val="000000"/>
          <w:kern w:val="44"/>
          <w:sz w:val="44"/>
          <w:szCs w:val="44"/>
          <w:lang w:val="en-US" w:eastAsia="zh-CN" w:bidi="ar-SA"/>
        </w:rPr>
        <w:t>第二部分   采购须知</w:t>
      </w:r>
      <w:bookmarkEnd w:id="10"/>
      <w:bookmarkEnd w:id="11"/>
      <w:bookmarkEnd w:id="12"/>
    </w:p>
    <w:p w14:paraId="1EF8478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F719299">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7F6957B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096DCA7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100C6A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3302F77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065CCAA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056961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3B39FA1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882BC2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3AE99B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4EF042D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396453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30E104B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1296E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0D76D76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353FF41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76FD404C">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CEB3C86">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53C471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3F682D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11D513F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0FEC2E5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305A89B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0CFF1461">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1B544A02">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6A63BC02">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762CA117">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1D00AD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0E7CC9AF">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29914F8">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9617F8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639BB43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0EB0253A">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27719355">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4184F8C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769DBD9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6ABCF4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4DDC6D1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1A0067D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DD012FF">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4A37821C">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7C71127D">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0B2D6BC6">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1F340704">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6A48C45C">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6533DA04">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14ED95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11BD788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271FED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4B1BD1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771E694F">
      <w:pPr>
        <w:pStyle w:val="2"/>
        <w:numPr>
          <w:ilvl w:val="0"/>
          <w:numId w:val="0"/>
        </w:numPr>
        <w:jc w:val="center"/>
        <w:outlineLvl w:val="9"/>
        <w:rPr>
          <w:rFonts w:hint="eastAsia" w:ascii="仿宋" w:hAnsi="仿宋" w:eastAsia="仿宋" w:cs="仿宋"/>
          <w:snapToGrid w:val="0"/>
          <w:sz w:val="44"/>
          <w:szCs w:val="44"/>
        </w:rPr>
      </w:pPr>
    </w:p>
    <w:p w14:paraId="37AAEC2D">
      <w:pPr>
        <w:rPr>
          <w:rFonts w:hint="eastAsia" w:ascii="仿宋" w:hAnsi="仿宋" w:eastAsia="仿宋" w:cs="仿宋"/>
          <w:snapToGrid w:val="0"/>
          <w:sz w:val="44"/>
          <w:szCs w:val="44"/>
        </w:rPr>
      </w:pPr>
    </w:p>
    <w:p w14:paraId="232EB71A">
      <w:pPr>
        <w:pStyle w:val="4"/>
        <w:rPr>
          <w:rFonts w:hint="eastAsia" w:ascii="仿宋" w:hAnsi="仿宋" w:eastAsia="仿宋" w:cs="仿宋"/>
          <w:snapToGrid w:val="0"/>
          <w:sz w:val="44"/>
          <w:szCs w:val="44"/>
        </w:rPr>
      </w:pPr>
    </w:p>
    <w:p w14:paraId="1CB310D2">
      <w:pPr>
        <w:pStyle w:val="2"/>
        <w:numPr>
          <w:ilvl w:val="0"/>
          <w:numId w:val="0"/>
        </w:numPr>
        <w:jc w:val="both"/>
        <w:rPr>
          <w:rFonts w:hint="eastAsia" w:ascii="仿宋" w:hAnsi="仿宋" w:eastAsia="仿宋" w:cs="仿宋"/>
          <w:snapToGrid w:val="0"/>
          <w:sz w:val="44"/>
          <w:szCs w:val="44"/>
        </w:rPr>
      </w:pPr>
    </w:p>
    <w:p w14:paraId="255BB6B6">
      <w:pPr>
        <w:rPr>
          <w:rFonts w:hint="eastAsia" w:ascii="仿宋" w:hAnsi="仿宋" w:eastAsia="仿宋" w:cs="仿宋"/>
          <w:snapToGrid w:val="0"/>
          <w:sz w:val="44"/>
          <w:szCs w:val="44"/>
        </w:rPr>
      </w:pPr>
    </w:p>
    <w:p w14:paraId="4B4E91A6">
      <w:pPr>
        <w:pStyle w:val="12"/>
        <w:rPr>
          <w:rFonts w:hint="eastAsia"/>
        </w:rPr>
      </w:pPr>
    </w:p>
    <w:p w14:paraId="3EBB21A5">
      <w:pPr>
        <w:pStyle w:val="12"/>
        <w:rPr>
          <w:rFonts w:hint="eastAsia"/>
        </w:rPr>
      </w:pPr>
    </w:p>
    <w:p w14:paraId="409C3F53">
      <w:pPr>
        <w:pStyle w:val="12"/>
        <w:rPr>
          <w:rFonts w:hint="eastAsia"/>
        </w:rPr>
      </w:pPr>
    </w:p>
    <w:p w14:paraId="6B1F2CE2">
      <w:pPr>
        <w:pStyle w:val="12"/>
        <w:rPr>
          <w:rFonts w:hint="eastAsia"/>
        </w:rPr>
      </w:pPr>
    </w:p>
    <w:p w14:paraId="6DD629C6">
      <w:pPr>
        <w:pStyle w:val="2"/>
        <w:numPr>
          <w:ilvl w:val="0"/>
          <w:numId w:val="0"/>
        </w:numPr>
        <w:jc w:val="center"/>
        <w:rPr>
          <w:rFonts w:hint="eastAsia" w:ascii="仿宋" w:hAnsi="仿宋" w:eastAsia="仿宋" w:cs="仿宋"/>
          <w:b w:val="0"/>
          <w:bCs/>
          <w:snapToGrid w:val="0"/>
          <w:sz w:val="44"/>
        </w:rPr>
      </w:pPr>
      <w:bookmarkStart w:id="13" w:name="_Toc13197"/>
      <w:r>
        <w:rPr>
          <w:rFonts w:hint="eastAsia" w:ascii="仿宋" w:hAnsi="仿宋" w:eastAsia="仿宋" w:cs="仿宋"/>
          <w:snapToGrid w:val="0"/>
          <w:sz w:val="44"/>
          <w:szCs w:val="44"/>
        </w:rPr>
        <w:t>第三部分   询价内容</w:t>
      </w:r>
      <w:bookmarkEnd w:id="8"/>
      <w:bookmarkEnd w:id="9"/>
      <w:bookmarkEnd w:id="13"/>
    </w:p>
    <w:p w14:paraId="6BB5C9D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B2EFD68">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F3BB30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二、服务</w:t>
      </w:r>
      <w:r>
        <w:rPr>
          <w:rFonts w:hint="eastAsia" w:ascii="仿宋" w:hAnsi="仿宋" w:eastAsia="仿宋" w:cs="仿宋"/>
          <w:color w:val="auto"/>
          <w:kern w:val="2"/>
          <w:sz w:val="30"/>
          <w:szCs w:val="30"/>
        </w:rPr>
        <w:t>方式</w:t>
      </w:r>
    </w:p>
    <w:p w14:paraId="393A21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本项目服务期为20天。服务方需在接到采购人进场通知后5天内响应并进场，确保在20天内完成全部项目内容</w:t>
      </w:r>
      <w:r>
        <w:rPr>
          <w:rFonts w:hint="eastAsia" w:ascii="仿宋" w:hAnsi="仿宋" w:eastAsia="仿宋" w:cs="仿宋"/>
          <w:color w:val="auto"/>
          <w:kern w:val="2"/>
          <w:sz w:val="30"/>
          <w:szCs w:val="30"/>
        </w:rPr>
        <w:t>。</w:t>
      </w:r>
    </w:p>
    <w:p w14:paraId="2549B5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093621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五年质保（硅PU面层（弹性层+面层）：5年；球架、围网：2年），其履约保证金（合同价的5%）到时自动转为质保金，质保期从项目验收合格之日起计算，质保金于质保期满（五年）且服务方无未决违约行为及质量争议后无息退还</w:t>
      </w:r>
      <w:r>
        <w:rPr>
          <w:rFonts w:hint="eastAsia" w:ascii="仿宋" w:hAnsi="仿宋" w:eastAsia="仿宋" w:cs="仿宋"/>
          <w:color w:val="auto"/>
          <w:kern w:val="2"/>
          <w:sz w:val="30"/>
          <w:szCs w:val="30"/>
          <w:highlight w:val="none"/>
        </w:rPr>
        <w:t>。</w:t>
      </w:r>
    </w:p>
    <w:p w14:paraId="3B2867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54FC671D">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必须满足采购人售后服务要求。如产品使用过程发生问题，</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7605A68">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承担。</w:t>
      </w:r>
    </w:p>
    <w:p w14:paraId="05EBF0DD">
      <w:pPr>
        <w:pStyle w:val="2"/>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56522A2F">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3218"/>
      <w:r>
        <w:rPr>
          <w:rFonts w:hint="eastAsia" w:ascii="仿宋" w:hAnsi="仿宋" w:eastAsia="仿宋" w:cs="仿宋"/>
          <w:snapToGrid w:val="0"/>
          <w:sz w:val="44"/>
          <w:szCs w:val="44"/>
          <w:lang w:val="en-US" w:eastAsia="zh-CN"/>
        </w:rPr>
        <w:t>合同主要条款</w:t>
      </w:r>
      <w:bookmarkEnd w:id="15"/>
      <w:r>
        <w:rPr>
          <w:rFonts w:hint="eastAsia" w:ascii="仿宋" w:hAnsi="仿宋" w:eastAsia="仿宋" w:cs="仿宋"/>
          <w:snapToGrid w:val="0"/>
          <w:sz w:val="44"/>
          <w:szCs w:val="44"/>
          <w:lang w:val="en-US" w:eastAsia="zh-CN"/>
        </w:rPr>
        <w:t>（供参考）</w:t>
      </w:r>
    </w:p>
    <w:p w14:paraId="02DD4D31">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7C959840">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4121"/>
        <w:gridCol w:w="3260"/>
      </w:tblGrid>
      <w:tr w14:paraId="61FB989E">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361BCD54">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0828F0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项目名称</w:t>
            </w:r>
          </w:p>
        </w:tc>
        <w:tc>
          <w:tcPr>
            <w:tcW w:w="4121" w:type="dxa"/>
            <w:tcBorders>
              <w:top w:val="single" w:color="auto" w:sz="4" w:space="0"/>
              <w:left w:val="nil"/>
              <w:bottom w:val="single" w:color="auto" w:sz="4" w:space="0"/>
              <w:right w:val="single" w:color="auto" w:sz="4" w:space="0"/>
            </w:tcBorders>
            <w:noWrap w:val="0"/>
            <w:vAlign w:val="center"/>
          </w:tcPr>
          <w:p w14:paraId="79AA7B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工作量</w:t>
            </w:r>
          </w:p>
        </w:tc>
        <w:tc>
          <w:tcPr>
            <w:tcW w:w="3260" w:type="dxa"/>
            <w:tcBorders>
              <w:top w:val="single" w:color="auto" w:sz="4" w:space="0"/>
              <w:left w:val="nil"/>
              <w:bottom w:val="single" w:color="auto" w:sz="4" w:space="0"/>
              <w:right w:val="single" w:color="auto" w:sz="4" w:space="0"/>
            </w:tcBorders>
            <w:noWrap w:val="0"/>
            <w:vAlign w:val="center"/>
          </w:tcPr>
          <w:p w14:paraId="25F5365C">
            <w:pPr>
              <w:adjustRightInd/>
              <w:snapToGrid/>
              <w:spacing w:after="0"/>
              <w:jc w:val="center"/>
              <w:rPr>
                <w:rFonts w:hint="default" w:ascii="Times New Roman" w:hAnsi="Times New Roman" w:eastAsia="方正仿宋_GBK" w:cs="Times New Roman"/>
                <w:b/>
                <w:bCs/>
                <w:sz w:val="24"/>
                <w:szCs w:val="24"/>
              </w:rPr>
            </w:pPr>
            <w:r>
              <w:rPr>
                <w:rFonts w:hint="eastAsia" w:ascii="方正仿宋_GBK" w:hAnsi="方正仿宋_GBK" w:eastAsia="方正仿宋_GBK" w:cs="方正仿宋_GBK"/>
                <w:b/>
                <w:bCs/>
                <w:i w:val="0"/>
                <w:iCs w:val="0"/>
                <w:strike w:val="0"/>
                <w:dstrike w:val="0"/>
                <w:color w:val="000000"/>
                <w:sz w:val="24"/>
                <w:szCs w:val="24"/>
                <w:highlight w:val="none"/>
                <w:u w:val="none"/>
                <w:lang w:eastAsia="zh-CN"/>
              </w:rPr>
              <w:t>技术要求</w:t>
            </w:r>
          </w:p>
        </w:tc>
      </w:tr>
      <w:tr w14:paraId="37E61D2B">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F7D810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5AB79DF4">
            <w:pPr>
              <w:adjustRightInd/>
              <w:snapToGrid/>
              <w:spacing w:after="0"/>
              <w:jc w:val="center"/>
              <w:rPr>
                <w:rFonts w:hint="eastAsia" w:ascii="Times New Roman" w:hAnsi="Times New Roman" w:eastAsia="方正仿宋_GBK" w:cs="Times New Roman"/>
                <w:b/>
                <w:bCs/>
                <w:sz w:val="24"/>
                <w:szCs w:val="24"/>
              </w:rPr>
            </w:pPr>
          </w:p>
        </w:tc>
        <w:tc>
          <w:tcPr>
            <w:tcW w:w="4121" w:type="dxa"/>
            <w:tcBorders>
              <w:top w:val="nil"/>
              <w:left w:val="nil"/>
              <w:bottom w:val="single" w:color="auto" w:sz="4" w:space="0"/>
              <w:right w:val="single" w:color="auto" w:sz="4" w:space="0"/>
            </w:tcBorders>
            <w:shd w:val="clear" w:color="000000" w:fill="FFFFFF"/>
            <w:noWrap w:val="0"/>
            <w:vAlign w:val="center"/>
          </w:tcPr>
          <w:p w14:paraId="6E9BDD84">
            <w:pPr>
              <w:adjustRightInd/>
              <w:snapToGrid/>
              <w:spacing w:after="0"/>
              <w:jc w:val="center"/>
              <w:rPr>
                <w:rFonts w:hint="default" w:ascii="Times New Roman" w:hAnsi="Times New Roman" w:eastAsia="方正仿宋_GBK" w:cs="Times New Roman"/>
                <w:b/>
                <w:bCs/>
                <w:sz w:val="24"/>
                <w:szCs w:val="24"/>
              </w:rPr>
            </w:pPr>
          </w:p>
        </w:tc>
        <w:tc>
          <w:tcPr>
            <w:tcW w:w="3260" w:type="dxa"/>
            <w:tcBorders>
              <w:top w:val="nil"/>
              <w:left w:val="nil"/>
              <w:bottom w:val="single" w:color="auto" w:sz="4" w:space="0"/>
              <w:right w:val="single" w:color="auto" w:sz="4" w:space="0"/>
            </w:tcBorders>
            <w:noWrap w:val="0"/>
            <w:vAlign w:val="center"/>
          </w:tcPr>
          <w:p w14:paraId="43DC4492">
            <w:pPr>
              <w:adjustRightInd/>
              <w:snapToGrid/>
              <w:spacing w:after="0"/>
              <w:jc w:val="center"/>
              <w:rPr>
                <w:rFonts w:hint="eastAsia" w:ascii="Times New Roman" w:hAnsi="Times New Roman" w:eastAsia="方正仿宋_GBK" w:cs="Times New Roman"/>
                <w:b/>
                <w:bCs/>
                <w:sz w:val="24"/>
                <w:szCs w:val="24"/>
              </w:rPr>
            </w:pPr>
          </w:p>
        </w:tc>
      </w:tr>
      <w:tr w14:paraId="0C68DFC1">
        <w:tblPrEx>
          <w:tblCellMar>
            <w:top w:w="0" w:type="dxa"/>
            <w:left w:w="108" w:type="dxa"/>
            <w:bottom w:w="0" w:type="dxa"/>
            <w:right w:w="108" w:type="dxa"/>
          </w:tblCellMar>
        </w:tblPrEx>
        <w:trPr>
          <w:trHeight w:val="836" w:hRule="atLeast"/>
          <w:jc w:val="center"/>
        </w:trPr>
        <w:tc>
          <w:tcPr>
            <w:tcW w:w="6311" w:type="dxa"/>
            <w:gridSpan w:val="3"/>
            <w:tcBorders>
              <w:top w:val="nil"/>
              <w:left w:val="single" w:color="auto" w:sz="4" w:space="0"/>
              <w:bottom w:val="single" w:color="auto" w:sz="4" w:space="0"/>
              <w:right w:val="single" w:color="auto" w:sz="4" w:space="0"/>
            </w:tcBorders>
            <w:noWrap w:val="0"/>
            <w:vAlign w:val="center"/>
          </w:tcPr>
          <w:p w14:paraId="068FB2F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tcBorders>
              <w:top w:val="nil"/>
              <w:left w:val="single" w:color="auto" w:sz="4" w:space="0"/>
              <w:bottom w:val="single" w:color="auto" w:sz="4" w:space="0"/>
              <w:right w:val="single" w:color="auto" w:sz="4" w:space="0"/>
            </w:tcBorders>
            <w:noWrap w:val="0"/>
            <w:vAlign w:val="center"/>
          </w:tcPr>
          <w:p w14:paraId="3ADCA0A9">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A2DA18B">
        <w:tblPrEx>
          <w:tblCellMar>
            <w:top w:w="0" w:type="dxa"/>
            <w:left w:w="108" w:type="dxa"/>
            <w:bottom w:w="0" w:type="dxa"/>
            <w:right w:w="108" w:type="dxa"/>
          </w:tblCellMar>
        </w:tblPrEx>
        <w:trPr>
          <w:trHeight w:val="716" w:hRule="atLeast"/>
          <w:jc w:val="center"/>
        </w:trPr>
        <w:tc>
          <w:tcPr>
            <w:tcW w:w="9571" w:type="dxa"/>
            <w:gridSpan w:val="4"/>
            <w:tcBorders>
              <w:top w:val="nil"/>
              <w:left w:val="single" w:color="auto" w:sz="4" w:space="0"/>
              <w:bottom w:val="single" w:color="auto" w:sz="4" w:space="0"/>
              <w:right w:val="single" w:color="auto" w:sz="4" w:space="0"/>
            </w:tcBorders>
            <w:noWrap w:val="0"/>
            <w:vAlign w:val="center"/>
          </w:tcPr>
          <w:p w14:paraId="3625AF7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0FB9DFA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1E4E252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本项目服务期为20天。服务方需在接到采购人进场通知后5天内响应并进场，确保在20天内完成全部项目内</w:t>
      </w:r>
      <w:r>
        <w:rPr>
          <w:rFonts w:hint="eastAsia" w:ascii="方正仿宋_GBK" w:hAnsi="方正仿宋_GBK" w:eastAsia="方正仿宋_GBK" w:cs="方正仿宋_GBK"/>
          <w:sz w:val="28"/>
          <w:szCs w:val="28"/>
          <w:highlight w:val="none"/>
          <w:lang w:val="en-US" w:eastAsia="zh-CN"/>
        </w:rPr>
        <w:t>容</w:t>
      </w:r>
      <w:r>
        <w:rPr>
          <w:rFonts w:hint="eastAsia" w:ascii="方正仿宋_GBK" w:hAnsi="方正仿宋_GBK" w:eastAsia="方正仿宋_GBK" w:cs="方正仿宋_GBK"/>
          <w:sz w:val="28"/>
          <w:szCs w:val="28"/>
          <w:highlight w:val="none"/>
        </w:rPr>
        <w:t>。</w:t>
      </w:r>
    </w:p>
    <w:p w14:paraId="480E9ED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74C8D758">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r>
        <w:rPr>
          <w:rFonts w:hint="eastAsia" w:ascii="黑体" w:hAnsi="黑体" w:eastAsia="黑体" w:cs="黑体"/>
          <w:sz w:val="28"/>
          <w:szCs w:val="28"/>
          <w:lang w:val="en-US" w:eastAsia="zh-CN"/>
        </w:rPr>
        <w:t>及工作量</w:t>
      </w:r>
    </w:p>
    <w:p w14:paraId="6560D8A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技术要求：为确保工程质量，所有材料及施工必须符合国家标准 GB 36246-2018《中小学合成材料面层运动场地》 及 GB/T 14833-2020《合成材料运动场地面层》 的相关要求。</w:t>
      </w:r>
    </w:p>
    <w:p w14:paraId="37C910F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具体要求与指标</w:t>
      </w:r>
    </w:p>
    <w:p w14:paraId="14C0B5AB">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1）地面材料要求</w:t>
      </w:r>
    </w:p>
    <w:p w14:paraId="0DAB85A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面层材料：6mm厚全塑型硅PU。须提供原材料生产厂家的产品检测报告。</w:t>
      </w:r>
    </w:p>
    <w:p w14:paraId="74393199">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物理性能 拉伸强度 ≥1.8 MPa；拉断伸长率 ≥400%；回弹值 ≥20%；抗滑值（BPN 20℃）≥ 0.4。</w:t>
      </w:r>
    </w:p>
    <w:p w14:paraId="4C74477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环保标准：总挥发性有机化合物（TVOC）释放量 ≤5.0 mg/（㎡·h）；甲醛 ≤0.4 mg/（㎡·h）；苯系物总和 ≤1.0 mg/（㎡·h）。</w:t>
      </w:r>
    </w:p>
    <w:p w14:paraId="545A4EF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厚度要求 平均厚度不低于6mm，允许偏差±0.5mm，分层结构合理。</w:t>
      </w:r>
    </w:p>
    <w:p w14:paraId="276716F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2）基础处理要求</w:t>
      </w:r>
    </w:p>
    <w:p w14:paraId="675E55A1">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基础状态：水泥基础需坚固、干燥（含水率≤5%）、平整。用3m直尺测量，误差≤3mm。</w:t>
      </w:r>
    </w:p>
    <w:p w14:paraId="79802B3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裂缝处理：所有裂缝需切割扩宽后填补，防止后期反射。</w:t>
      </w:r>
    </w:p>
    <w:p w14:paraId="522CD38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施工环境：施工温度不低于5℃。每一层必须完全干固后才能进行下一道涂刮。完工后养护期不少于5天。</w:t>
      </w:r>
    </w:p>
    <w:p w14:paraId="02BFC94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3）篮球架翻新要求</w:t>
      </w:r>
    </w:p>
    <w:p w14:paraId="2881B449">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基层处理：彻底打磨除锈，清除原有翘皮、脱落漆面。</w:t>
      </w:r>
    </w:p>
    <w:p w14:paraId="67995A72">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防锈处理：涂刷优质防锈漆（底漆）不少于1遍，确保金属表面全覆盖。</w:t>
      </w:r>
    </w:p>
    <w:p w14:paraId="25D4EFF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面层处理：涂刷优质户外专用面漆不少于2遍，颜色均匀，不得有流挂、漏刷现象。</w:t>
      </w:r>
    </w:p>
    <w:p w14:paraId="4362AEC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4）围网翻新加固要求</w:t>
      </w:r>
    </w:p>
    <w:p w14:paraId="394D2C51">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基层处理：清理围网翘皮塑胶，打磨除锈，铲除松动附着物。</w:t>
      </w:r>
    </w:p>
    <w:p w14:paraId="737DDC0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结构加固：腐蚀严重的立柱、横杆需加角铁连接加固，确保围网整体稳定性。</w:t>
      </w:r>
    </w:p>
    <w:p w14:paraId="1439AB5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修补找平：对破损部位用腻子进行修补、找平、打磨。</w:t>
      </w:r>
    </w:p>
    <w:p w14:paraId="4DAD560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防腐处理：全场钢管涂刷防锈漆（底漆）1-2遍，再涂刷墨绿色面漆2遍。</w:t>
      </w:r>
    </w:p>
    <w:p w14:paraId="39818AE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质保明细：</w:t>
      </w:r>
    </w:p>
    <w:p w14:paraId="2037C98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-硅PU面层（弹性层+面层）：5年（非人为质量问题）</w:t>
      </w:r>
    </w:p>
    <w:p w14:paraId="483C875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-球架、围网：2年</w:t>
      </w:r>
    </w:p>
    <w:p w14:paraId="1EA82542">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w:t>
      </w:r>
    </w:p>
    <w:p w14:paraId="50E981C1">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1）旧地面铲除与清运1000㎡含原地面破损塑胶层铲除、垃圾装车外运</w:t>
      </w:r>
    </w:p>
    <w:p w14:paraId="5BF72FD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2）基础打磨与修补1000㎡含水泥基础打磨、裂缝填补、局部找平</w:t>
      </w:r>
    </w:p>
    <w:p w14:paraId="40EAAC3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3）6mm厚硅PU弹性层铺1000㎡包含弹性层、加强层，分层施工</w:t>
      </w:r>
    </w:p>
    <w:p w14:paraId="67E808A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4）硅PU面层施工1000㎡包含耐磨防滑面层</w:t>
      </w:r>
    </w:p>
    <w:p w14:paraId="4B3DB47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5）球场标准划线按标准篮球场尺寸（含三秒区、中圈等）</w:t>
      </w:r>
    </w:p>
    <w:p w14:paraId="02ED6B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6）场地养护与清理施工完成后成品保护与场地清洁</w:t>
      </w:r>
    </w:p>
    <w:p w14:paraId="234DF6F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7）户外休闲椅换新</w:t>
      </w:r>
    </w:p>
    <w:p w14:paraId="4AACA166">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8）围网550㎡翻新加固，喷防锈喷漆</w:t>
      </w:r>
    </w:p>
    <w:p w14:paraId="45522AE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9）篮球架2个翻新喷漆</w:t>
      </w:r>
    </w:p>
    <w:p w14:paraId="0EA0B71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57C42B1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val="en-US"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0CE35C6C">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D8B9D9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五年质保（硅PU面层（弹性层+面层）：5年；球架、围网：2年），其履约保证金（合同价的5%）到时自动转为质保金，质保期从项目验收合格之日起计算，质保金于质保期满（五年）且服务方无未决违约行为及质量争议后无息退还</w:t>
      </w:r>
      <w:r>
        <w:rPr>
          <w:rFonts w:hint="eastAsia" w:ascii="仿宋" w:hAnsi="仿宋" w:eastAsia="仿宋" w:cs="仿宋"/>
          <w:color w:val="auto"/>
          <w:kern w:val="2"/>
          <w:sz w:val="30"/>
          <w:szCs w:val="30"/>
          <w:highlight w:val="none"/>
          <w:lang w:eastAsia="zh-CN"/>
        </w:rPr>
        <w:t>。</w:t>
      </w:r>
    </w:p>
    <w:p w14:paraId="1DAED00E">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6639EA4">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DF38F36">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799C063F">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1356124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F49438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7A3F8BD6">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3F9AC7F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70F4839B">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1E3EAE5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8CB62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3545C75B">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40C898B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9B65A2E">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3295009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B4A36BB">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48E8F7A9">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7921C45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63AB3E67">
      <w:pPr>
        <w:rPr>
          <w:rFonts w:hint="eastAsia" w:ascii="方正仿宋_GBK" w:hAnsi="方正仿宋_GBK" w:eastAsia="方正仿宋_GBK" w:cs="方正仿宋_GBK"/>
          <w:sz w:val="28"/>
          <w:szCs w:val="28"/>
        </w:rPr>
      </w:pPr>
    </w:p>
    <w:p w14:paraId="2940A13C">
      <w:pPr>
        <w:rPr>
          <w:rFonts w:hint="eastAsia" w:ascii="方正仿宋_GBK" w:hAnsi="方正仿宋_GBK" w:eastAsia="方正仿宋_GBK" w:cs="方正仿宋_GBK"/>
          <w:sz w:val="28"/>
          <w:szCs w:val="28"/>
        </w:rPr>
      </w:pPr>
    </w:p>
    <w:p w14:paraId="21F701F0">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76121C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9BA5ED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6" w:name="_Toc26087"/>
      <w:r>
        <w:rPr>
          <w:rFonts w:hint="eastAsia" w:ascii="Times New Roman" w:hAnsi="Times New Roman" w:eastAsia="方正仿宋_GBK" w:cs="Times New Roman"/>
          <w:b/>
          <w:bCs/>
          <w:sz w:val="28"/>
          <w:szCs w:val="28"/>
          <w:highlight w:val="none"/>
          <w:lang w:val="en-US" w:eastAsia="zh-CN"/>
        </w:rPr>
        <w:t>附件：</w:t>
      </w:r>
      <w:bookmarkEnd w:id="16"/>
    </w:p>
    <w:p w14:paraId="382FE262">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73C68E0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5E612BB8">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厂区篮球场改造项目</w:t>
      </w:r>
    </w:p>
    <w:p w14:paraId="693E9C50">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01F79D73">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61D02BB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CC1E85E">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59411583">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ABD128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4F45C9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0E650C44">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565FB1B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0F043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0F8D7F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12F9C99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13CF64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6DC9AB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67053F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B6E0AD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47CDD43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4C7DDB3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2660CA6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C43517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18BBFD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3EBDD9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B6F3D0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E4A2B5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19A6711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028B33C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00743A3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2B2BA76A">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60E2206">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E0E91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4C8A32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710EEFE7">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9D2FE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19FF5EEA">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0B664410">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0FD9B5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252A3C9B">
      <w:pPr>
        <w:pStyle w:val="2"/>
        <w:numPr>
          <w:ilvl w:val="0"/>
          <w:numId w:val="0"/>
        </w:numPr>
        <w:jc w:val="center"/>
        <w:rPr>
          <w:rFonts w:hint="eastAsia" w:ascii="仿宋" w:hAnsi="仿宋" w:eastAsia="仿宋" w:cs="仿宋"/>
          <w:snapToGrid w:val="0"/>
          <w:sz w:val="44"/>
          <w:szCs w:val="44"/>
        </w:rPr>
      </w:pPr>
      <w:bookmarkStart w:id="17" w:name="_Toc355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7"/>
    </w:p>
    <w:p w14:paraId="44B3FCF8">
      <w:pPr>
        <w:spacing w:line="480" w:lineRule="auto"/>
        <w:jc w:val="right"/>
        <w:rPr>
          <w:rFonts w:hint="eastAsia" w:ascii="仿宋" w:hAnsi="仿宋" w:eastAsia="仿宋" w:cs="仿宋"/>
          <w:sz w:val="32"/>
        </w:rPr>
      </w:pPr>
    </w:p>
    <w:p w14:paraId="3F772441">
      <w:pPr>
        <w:pStyle w:val="38"/>
        <w:rPr>
          <w:rFonts w:hint="eastAsia"/>
        </w:rPr>
      </w:pPr>
    </w:p>
    <w:p w14:paraId="5A458B76">
      <w:pPr>
        <w:rPr>
          <w:rFonts w:hint="eastAsia" w:ascii="仿宋" w:hAnsi="仿宋" w:eastAsia="仿宋" w:cs="仿宋"/>
          <w:sz w:val="44"/>
        </w:rPr>
      </w:pPr>
    </w:p>
    <w:p w14:paraId="6AA8A8AC">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lang w:val="en-US" w:eastAsia="zh-CN"/>
        </w:rPr>
        <w:t>绍</w:t>
      </w:r>
      <w:r>
        <w:rPr>
          <w:rFonts w:hint="eastAsia" w:ascii="仿宋" w:hAnsi="仿宋" w:eastAsia="仿宋" w:cs="仿宋"/>
          <w:sz w:val="52"/>
          <w:highlight w:val="none"/>
          <w:lang w:val="en-US" w:eastAsia="zh-CN"/>
        </w:rPr>
        <w:t>兴市再生能源发展有限公司</w:t>
      </w:r>
    </w:p>
    <w:p w14:paraId="5321720B">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厂区篮球场改造</w:t>
      </w:r>
      <w:r>
        <w:rPr>
          <w:rFonts w:hint="eastAsia" w:ascii="仿宋" w:hAnsi="仿宋" w:eastAsia="仿宋" w:cs="仿宋"/>
          <w:sz w:val="52"/>
          <w:highlight w:val="none"/>
        </w:rPr>
        <w:t>项目</w:t>
      </w:r>
    </w:p>
    <w:p w14:paraId="2B6E6A10">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SX-GC-LQ-2604001</w:t>
      </w:r>
    </w:p>
    <w:p w14:paraId="20BB9CDA">
      <w:pPr>
        <w:rPr>
          <w:rFonts w:hint="eastAsia" w:ascii="仿宋" w:hAnsi="仿宋" w:eastAsia="仿宋" w:cs="仿宋"/>
          <w:sz w:val="44"/>
        </w:rPr>
      </w:pPr>
    </w:p>
    <w:p w14:paraId="64ABEBE3">
      <w:pPr>
        <w:rPr>
          <w:rFonts w:hint="eastAsia" w:ascii="仿宋" w:hAnsi="仿宋" w:eastAsia="仿宋" w:cs="仿宋"/>
          <w:sz w:val="44"/>
        </w:rPr>
      </w:pPr>
    </w:p>
    <w:p w14:paraId="2F435A45">
      <w:pPr>
        <w:rPr>
          <w:rFonts w:hint="eastAsia" w:ascii="仿宋" w:hAnsi="仿宋" w:eastAsia="仿宋" w:cs="仿宋"/>
          <w:sz w:val="84"/>
        </w:rPr>
      </w:pPr>
    </w:p>
    <w:p w14:paraId="2850AA73">
      <w:pPr>
        <w:jc w:val="center"/>
        <w:rPr>
          <w:rFonts w:hint="eastAsia" w:ascii="仿宋" w:hAnsi="仿宋" w:eastAsia="仿宋" w:cs="仿宋"/>
          <w:sz w:val="84"/>
        </w:rPr>
      </w:pPr>
      <w:r>
        <w:rPr>
          <w:rFonts w:hint="eastAsia" w:ascii="仿宋" w:hAnsi="仿宋" w:eastAsia="仿宋" w:cs="仿宋"/>
          <w:sz w:val="84"/>
        </w:rPr>
        <w:t>报价文件</w:t>
      </w:r>
    </w:p>
    <w:p w14:paraId="6DF3BC7A">
      <w:pPr>
        <w:jc w:val="center"/>
        <w:rPr>
          <w:rFonts w:hint="eastAsia" w:ascii="仿宋" w:hAnsi="仿宋" w:eastAsia="仿宋" w:cs="仿宋"/>
          <w:sz w:val="24"/>
        </w:rPr>
      </w:pPr>
    </w:p>
    <w:p w14:paraId="1ADE4FA0">
      <w:pPr>
        <w:jc w:val="center"/>
        <w:rPr>
          <w:rFonts w:hint="eastAsia" w:ascii="仿宋" w:hAnsi="仿宋" w:eastAsia="仿宋" w:cs="仿宋"/>
          <w:sz w:val="24"/>
        </w:rPr>
      </w:pPr>
    </w:p>
    <w:p w14:paraId="1AC6B8C1">
      <w:pPr>
        <w:spacing w:line="480" w:lineRule="auto"/>
        <w:jc w:val="center"/>
        <w:rPr>
          <w:rFonts w:hint="eastAsia" w:ascii="仿宋" w:hAnsi="仿宋" w:eastAsia="仿宋" w:cs="仿宋"/>
          <w:sz w:val="24"/>
        </w:rPr>
      </w:pPr>
    </w:p>
    <w:p w14:paraId="0865F8D5">
      <w:pPr>
        <w:spacing w:line="480" w:lineRule="auto"/>
        <w:jc w:val="center"/>
        <w:rPr>
          <w:rFonts w:hint="eastAsia" w:ascii="仿宋" w:hAnsi="仿宋" w:eastAsia="仿宋" w:cs="仿宋"/>
          <w:sz w:val="24"/>
        </w:rPr>
      </w:pPr>
    </w:p>
    <w:p w14:paraId="43346E03">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BED6922">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26E8C4F0">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7E80756B">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1"/>
          <w:rFonts w:hint="eastAsia" w:ascii="仿宋" w:hAnsi="仿宋" w:eastAsia="仿宋" w:cs="仿宋"/>
          <w:sz w:val="30"/>
        </w:rPr>
      </w:pPr>
      <w:bookmarkStart w:id="18" w:name="_Toc5734"/>
      <w:r>
        <w:rPr>
          <w:rStyle w:val="21"/>
          <w:rFonts w:hint="eastAsia" w:ascii="仿宋" w:hAnsi="仿宋" w:eastAsia="仿宋" w:cs="仿宋"/>
          <w:sz w:val="30"/>
        </w:rPr>
        <w:t>附件一：</w:t>
      </w:r>
      <w:bookmarkEnd w:id="18"/>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绍兴市再生能源发展有限公司厂区篮球场改造 </w:t>
      </w:r>
      <w:r>
        <w:rPr>
          <w:rFonts w:hint="eastAsia" w:ascii="仿宋" w:hAnsi="仿宋" w:eastAsia="仿宋" w:cs="仿宋"/>
          <w:sz w:val="30"/>
          <w:szCs w:val="30"/>
          <w:u w:val="none"/>
          <w:lang w:val="en-US" w:eastAsia="zh-CN"/>
        </w:rPr>
        <w:t>项目。</w:t>
      </w:r>
    </w:p>
    <w:tbl>
      <w:tblPr>
        <w:tblStyle w:val="13"/>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E9667DD">
        <w:tblPrEx>
          <w:tblCellMar>
            <w:top w:w="0" w:type="dxa"/>
            <w:left w:w="108" w:type="dxa"/>
            <w:bottom w:w="0" w:type="dxa"/>
            <w:right w:w="108" w:type="dxa"/>
          </w:tblCellMar>
        </w:tblPrEx>
        <w:trPr>
          <w:trHeight w:val="659"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企业资质要求</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1C13146">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须具备以下资质之一：</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1. 市政公用工程施工总承包三级（含）以上；</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2. 建筑工程施工总承包三级（含）以上。</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（需提供有效的资质证书复印件）</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r>
      <w:tr w14:paraId="0A1451B8">
        <w:tblPrEx>
          <w:tblCellMar>
            <w:top w:w="0" w:type="dxa"/>
            <w:left w:w="108" w:type="dxa"/>
            <w:bottom w:w="0" w:type="dxa"/>
            <w:right w:w="108" w:type="dxa"/>
          </w:tblCellMar>
        </w:tblPrEx>
        <w:trPr>
          <w:trHeight w:val="1338"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安全生产许可</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433ADD9E">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具备有效的安全生产许可证。</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（需提供有效的安全生产许可证复印件）</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r>
      <w:tr w14:paraId="1FC82D05">
        <w:tblPrEx>
          <w:tblCellMar>
            <w:top w:w="0" w:type="dxa"/>
            <w:left w:w="108" w:type="dxa"/>
            <w:bottom w:w="0" w:type="dxa"/>
            <w:right w:w="108" w:type="dxa"/>
          </w:tblCellMar>
        </w:tblPrEx>
        <w:trPr>
          <w:trHeight w:val="144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37A4D0B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3</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75603D15">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营业执照范围</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5583564B">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营业执照经营范围须包含体育场地设施工程施工或相关业务内容。</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（需提供营业执照复印件）</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06BA477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69D77EE8">
            <w:pPr>
              <w:autoSpaceDE w:val="0"/>
              <w:autoSpaceDN w:val="0"/>
              <w:spacing w:line="360" w:lineRule="auto"/>
              <w:jc w:val="center"/>
              <w:rPr>
                <w:rFonts w:hint="eastAsia" w:ascii="仿宋" w:hAnsi="仿宋" w:eastAsia="仿宋" w:cs="仿宋"/>
                <w:color w:val="auto"/>
                <w:sz w:val="24"/>
                <w:szCs w:val="24"/>
                <w:highlight w:val="none"/>
              </w:rPr>
            </w:pPr>
          </w:p>
        </w:tc>
      </w:tr>
    </w:tbl>
    <w:p w14:paraId="3E8D17FC">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7E03AF6">
      <w:pPr>
        <w:jc w:val="left"/>
        <w:outlineLvl w:val="0"/>
        <w:rPr>
          <w:rStyle w:val="21"/>
          <w:rFonts w:hint="eastAsia" w:ascii="仿宋" w:hAnsi="仿宋" w:eastAsia="仿宋" w:cs="仿宋"/>
          <w:sz w:val="30"/>
        </w:rPr>
      </w:pPr>
    </w:p>
    <w:p w14:paraId="4C39A850">
      <w:pPr>
        <w:jc w:val="left"/>
        <w:outlineLvl w:val="0"/>
        <w:rPr>
          <w:rStyle w:val="21"/>
          <w:rFonts w:hint="eastAsia" w:ascii="仿宋" w:hAnsi="仿宋" w:eastAsia="仿宋" w:cs="仿宋"/>
          <w:sz w:val="30"/>
        </w:rPr>
        <w:sectPr>
          <w:pgSz w:w="11906" w:h="16838"/>
          <w:pgMar w:top="1701" w:right="1417" w:bottom="1134" w:left="1417" w:header="851" w:footer="992" w:gutter="0"/>
          <w:cols w:space="0" w:num="1"/>
          <w:rtlGutter w:val="0"/>
          <w:docGrid w:linePitch="312" w:charSpace="0"/>
        </w:sectPr>
      </w:pPr>
    </w:p>
    <w:p w14:paraId="3F7B11BD">
      <w:pPr>
        <w:jc w:val="left"/>
        <w:outlineLvl w:val="0"/>
        <w:rPr>
          <w:rStyle w:val="21"/>
          <w:rFonts w:hint="eastAsia" w:ascii="仿宋" w:hAnsi="仿宋" w:eastAsia="仿宋" w:cs="仿宋"/>
          <w:sz w:val="30"/>
        </w:rPr>
      </w:pPr>
      <w:bookmarkStart w:id="19" w:name="_Toc26148"/>
      <w:r>
        <w:rPr>
          <w:rStyle w:val="21"/>
          <w:rFonts w:hint="eastAsia" w:ascii="仿宋" w:hAnsi="仿宋" w:eastAsia="仿宋" w:cs="仿宋"/>
          <w:sz w:val="30"/>
        </w:rPr>
        <w:t>附件二：</w:t>
      </w:r>
      <w:bookmarkEnd w:id="19"/>
      <w:r>
        <w:rPr>
          <w:rStyle w:val="21"/>
          <w:rFonts w:hint="eastAsia" w:ascii="仿宋" w:hAnsi="仿宋" w:eastAsia="仿宋" w:cs="仿宋"/>
          <w:sz w:val="30"/>
        </w:rPr>
        <w:t xml:space="preserve">  </w:t>
      </w:r>
    </w:p>
    <w:p w14:paraId="03F68513">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560CF645">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2B1E0C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厂区篮球场改造 </w:t>
      </w:r>
      <w:r>
        <w:rPr>
          <w:rFonts w:hint="eastAsia" w:ascii="仿宋" w:hAnsi="仿宋" w:eastAsia="仿宋" w:cs="仿宋"/>
          <w:sz w:val="30"/>
          <w:szCs w:val="30"/>
          <w:u w:val="none"/>
          <w:lang w:val="en-US" w:eastAsia="zh-CN"/>
        </w:rPr>
        <w:t>项目。</w:t>
      </w:r>
    </w:p>
    <w:tbl>
      <w:tblPr>
        <w:tblStyle w:val="13"/>
        <w:tblW w:w="5511" w:type="pct"/>
        <w:jc w:val="center"/>
        <w:tblLayout w:type="fixed"/>
        <w:tblCellMar>
          <w:top w:w="0" w:type="dxa"/>
          <w:left w:w="108" w:type="dxa"/>
          <w:bottom w:w="0" w:type="dxa"/>
          <w:right w:w="108" w:type="dxa"/>
        </w:tblCellMar>
      </w:tblPr>
      <w:tblGrid>
        <w:gridCol w:w="672"/>
        <w:gridCol w:w="2146"/>
        <w:gridCol w:w="5377"/>
        <w:gridCol w:w="2042"/>
      </w:tblGrid>
      <w:tr w14:paraId="1E43C5AF">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22325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5D1595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934" w:type="dxa"/>
            <w:tcBorders>
              <w:top w:val="single" w:color="000000" w:sz="4" w:space="0"/>
              <w:left w:val="single" w:color="000000" w:sz="4" w:space="0"/>
              <w:bottom w:val="single" w:color="000000" w:sz="4" w:space="0"/>
              <w:right w:val="single" w:color="000000" w:sz="4" w:space="0"/>
            </w:tcBorders>
            <w:noWrap/>
            <w:vAlign w:val="center"/>
          </w:tcPr>
          <w:p w14:paraId="2BC44E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498492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sz w:val="24"/>
                <w:szCs w:val="24"/>
                <w:highlight w:val="none"/>
                <w:u w:val="none"/>
                <w:lang w:eastAsia="zh-CN"/>
              </w:rPr>
              <w:t>技术要求</w:t>
            </w:r>
          </w:p>
        </w:tc>
      </w:tr>
      <w:tr w14:paraId="016AD284">
        <w:tblPrEx>
          <w:tblCellMar>
            <w:top w:w="0" w:type="dxa"/>
            <w:left w:w="108" w:type="dxa"/>
            <w:bottom w:w="0" w:type="dxa"/>
            <w:right w:w="108" w:type="dxa"/>
          </w:tblCellMar>
        </w:tblPrEx>
        <w:trPr>
          <w:trHeight w:val="3021"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313F28E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60A3287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厂区篮球场改造</w:t>
            </w:r>
          </w:p>
        </w:tc>
        <w:tc>
          <w:tcPr>
            <w:tcW w:w="4934" w:type="dxa"/>
            <w:tcBorders>
              <w:top w:val="single" w:color="000000" w:sz="4" w:space="0"/>
              <w:left w:val="single" w:color="000000" w:sz="4" w:space="0"/>
              <w:bottom w:val="single" w:color="000000" w:sz="4" w:space="0"/>
              <w:right w:val="single" w:color="000000" w:sz="4" w:space="0"/>
            </w:tcBorders>
            <w:noWrap w:val="0"/>
            <w:vAlign w:val="center"/>
          </w:tcPr>
          <w:p w14:paraId="08F86A9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1、旧地面铲除与清运1000㎡含原地面破损塑胶层铲除、垃圾装车外运</w:t>
            </w:r>
          </w:p>
          <w:p w14:paraId="522FAB3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2、基础打磨与修补1000㎡含水泥基础打磨、裂缝填补、局部找平</w:t>
            </w:r>
          </w:p>
          <w:p w14:paraId="16B398B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3、6mm厚硅PU弹性层铺1000㎡包含弹性层、加强层，分层施工</w:t>
            </w:r>
          </w:p>
          <w:p w14:paraId="5CCB9BD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4、硅PU面层施工1000㎡包含耐磨防滑面层</w:t>
            </w:r>
          </w:p>
          <w:p w14:paraId="023AA22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5、球场标准划线按标准篮球场尺寸（含三秒区、中圈等）</w:t>
            </w:r>
          </w:p>
          <w:p w14:paraId="739FC6B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6、场地养护与清理施工完成后成品保护与场地清洁</w:t>
            </w:r>
          </w:p>
          <w:p w14:paraId="2C4B01F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7、户外休闲椅换新</w:t>
            </w:r>
          </w:p>
          <w:p w14:paraId="4FBD578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8、围网550㎡翻新加固，喷防锈喷漆</w:t>
            </w:r>
          </w:p>
          <w:p w14:paraId="0EA591E3">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9、篮球架2个翻新喷漆</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1FFCF9D">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default" w:ascii="仿宋" w:hAnsi="仿宋" w:eastAsia="仿宋" w:cs="仿宋"/>
                <w:i w:val="0"/>
                <w:iCs w:val="0"/>
                <w:strike w:val="0"/>
                <w:dstrike w:val="0"/>
                <w:color w:val="000000"/>
                <w:sz w:val="24"/>
                <w:szCs w:val="24"/>
                <w:highlight w:val="none"/>
                <w:u w:val="none"/>
                <w:lang w:val="en-US" w:eastAsia="zh-CN"/>
              </w:rPr>
              <w:t>详见询价文件</w:t>
            </w:r>
          </w:p>
        </w:tc>
      </w:tr>
    </w:tbl>
    <w:p w14:paraId="39C9313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5D4B9DA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269AEBA3">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五年质保（硅PU面层（弹性层+面层）：5年；球架、围网：2年），其履约保证金（合同价的5%）到时自动转为质保金，质保期从项目验收合格之日起计算，质保金于质保期满（五年）且服务方无未决违约行为及质量争议后无息退</w:t>
      </w:r>
      <w:r>
        <w:rPr>
          <w:rFonts w:hint="eastAsia" w:ascii="仿宋" w:hAnsi="仿宋" w:eastAsia="仿宋" w:cs="仿宋"/>
          <w:sz w:val="30"/>
          <w:szCs w:val="30"/>
          <w:highlight w:val="none"/>
          <w:lang w:val="en-US" w:eastAsia="zh-CN"/>
        </w:rPr>
        <w:t>还</w:t>
      </w:r>
      <w:r>
        <w:rPr>
          <w:rFonts w:hint="eastAsia" w:ascii="仿宋" w:hAnsi="仿宋" w:eastAsia="仿宋" w:cs="仿宋"/>
          <w:color w:val="auto"/>
          <w:kern w:val="2"/>
          <w:sz w:val="30"/>
          <w:szCs w:val="30"/>
          <w:highlight w:val="none"/>
        </w:rPr>
        <w:t>。</w:t>
      </w:r>
    </w:p>
    <w:p w14:paraId="7C5BCAA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47142B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49BD6F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yellow"/>
          <w:lang w:eastAsia="zh-CN"/>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lang w:eastAsia="zh-CN"/>
        </w:rPr>
        <w:t>目采购总金额限价人民币29.6</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3EA2627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该采购项目履约保证金为合同价的5%。中标人于合同签订前将履约保证金打入招标人指定账户。合同履行完成后，履约保证金转为质保金。质保期满后，招标人退还质保金（无息）。</w:t>
      </w:r>
    </w:p>
    <w:p w14:paraId="3C217ED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3181F8B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21054B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4C7FB38">
      <w:pPr>
        <w:snapToGrid w:val="0"/>
        <w:ind w:firstLine="480" w:firstLineChars="200"/>
        <w:jc w:val="right"/>
        <w:rPr>
          <w:rFonts w:hint="eastAsia" w:ascii="仿宋" w:hAnsi="仿宋" w:eastAsia="仿宋" w:cs="仿宋"/>
          <w:sz w:val="24"/>
          <w:szCs w:val="24"/>
        </w:rPr>
      </w:pPr>
    </w:p>
    <w:p w14:paraId="3FB5B9D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220B990B">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4AE7D14A">
      <w:pPr>
        <w:spacing w:line="480" w:lineRule="auto"/>
        <w:jc w:val="left"/>
        <w:outlineLvl w:val="0"/>
        <w:rPr>
          <w:rFonts w:hint="eastAsia" w:ascii="仿宋" w:hAnsi="仿宋" w:eastAsia="仿宋" w:cs="仿宋"/>
          <w:b/>
          <w:spacing w:val="-2"/>
          <w:sz w:val="30"/>
        </w:rPr>
      </w:pPr>
      <w:bookmarkStart w:id="20" w:name="_Toc15132"/>
      <w:bookmarkStart w:id="21" w:name="_Toc103165678"/>
      <w:bookmarkStart w:id="22" w:name="_Toc108839328"/>
      <w:r>
        <w:rPr>
          <w:rStyle w:val="21"/>
          <w:rFonts w:hint="eastAsia" w:ascii="仿宋" w:hAnsi="仿宋" w:eastAsia="仿宋" w:cs="仿宋"/>
          <w:sz w:val="30"/>
        </w:rPr>
        <w:t>附件三：</w:t>
      </w:r>
      <w:bookmarkEnd w:id="20"/>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厂区篮球场改造 </w:t>
      </w:r>
      <w:r>
        <w:rPr>
          <w:rFonts w:hint="eastAsia" w:ascii="仿宋" w:hAnsi="仿宋" w:eastAsia="仿宋" w:cs="仿宋"/>
          <w:color w:val="auto"/>
          <w:sz w:val="30"/>
          <w:szCs w:val="30"/>
          <w:u w:val="none"/>
          <w:lang w:val="en-US" w:eastAsia="zh-CN"/>
        </w:rPr>
        <w:t>项目。</w:t>
      </w:r>
    </w:p>
    <w:tbl>
      <w:tblPr>
        <w:tblStyle w:val="13"/>
        <w:tblW w:w="4696" w:type="pct"/>
        <w:jc w:val="center"/>
        <w:tblLayout w:type="fixed"/>
        <w:tblCellMar>
          <w:top w:w="0" w:type="dxa"/>
          <w:left w:w="108" w:type="dxa"/>
          <w:bottom w:w="0" w:type="dxa"/>
          <w:right w:w="108" w:type="dxa"/>
        </w:tblCellMar>
      </w:tblPr>
      <w:tblGrid>
        <w:gridCol w:w="963"/>
        <w:gridCol w:w="1230"/>
        <w:gridCol w:w="3434"/>
        <w:gridCol w:w="3098"/>
      </w:tblGrid>
      <w:tr w14:paraId="34C7EDDD">
        <w:tblPrEx>
          <w:tblCellMar>
            <w:top w:w="0" w:type="dxa"/>
            <w:left w:w="108" w:type="dxa"/>
            <w:bottom w:w="0" w:type="dxa"/>
            <w:right w:w="108" w:type="dxa"/>
          </w:tblCellMar>
        </w:tblPrEx>
        <w:trPr>
          <w:trHeight w:val="467" w:hRule="atLeast"/>
          <w:jc w:val="center"/>
        </w:trPr>
        <w:tc>
          <w:tcPr>
            <w:tcW w:w="963" w:type="dxa"/>
            <w:tcBorders>
              <w:top w:val="single" w:color="000000" w:sz="4" w:space="0"/>
              <w:left w:val="single" w:color="000000" w:sz="4" w:space="0"/>
              <w:bottom w:val="single" w:color="000000" w:sz="4" w:space="0"/>
              <w:right w:val="single" w:color="000000" w:sz="4" w:space="0"/>
            </w:tcBorders>
            <w:noWrap/>
            <w:vAlign w:val="center"/>
          </w:tcPr>
          <w:p w14:paraId="5EFC9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B864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3434" w:type="dxa"/>
            <w:tcBorders>
              <w:top w:val="single" w:color="000000" w:sz="4" w:space="0"/>
              <w:left w:val="single" w:color="000000" w:sz="4" w:space="0"/>
              <w:bottom w:val="single" w:color="000000" w:sz="4" w:space="0"/>
              <w:right w:val="single" w:color="000000" w:sz="4" w:space="0"/>
            </w:tcBorders>
            <w:noWrap/>
            <w:vAlign w:val="center"/>
          </w:tcPr>
          <w:p w14:paraId="6508DB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3098" w:type="dxa"/>
            <w:tcBorders>
              <w:top w:val="single" w:color="000000" w:sz="4" w:space="0"/>
              <w:left w:val="single" w:color="000000" w:sz="4" w:space="0"/>
              <w:bottom w:val="single" w:color="000000" w:sz="4" w:space="0"/>
              <w:right w:val="single" w:color="000000" w:sz="4" w:space="0"/>
            </w:tcBorders>
            <w:noWrap/>
            <w:vAlign w:val="center"/>
          </w:tcPr>
          <w:p w14:paraId="50FD0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sz w:val="24"/>
                <w:szCs w:val="24"/>
                <w:highlight w:val="none"/>
                <w:u w:val="none"/>
                <w:lang w:eastAsia="zh-CN"/>
              </w:rPr>
              <w:t>技术要求</w:t>
            </w:r>
          </w:p>
        </w:tc>
      </w:tr>
      <w:tr w14:paraId="1F6F270A">
        <w:tblPrEx>
          <w:tblCellMar>
            <w:top w:w="0" w:type="dxa"/>
            <w:left w:w="108" w:type="dxa"/>
            <w:bottom w:w="0" w:type="dxa"/>
            <w:right w:w="108" w:type="dxa"/>
          </w:tblCellMar>
        </w:tblPrEx>
        <w:trPr>
          <w:trHeight w:val="532" w:hRule="atLeast"/>
          <w:jc w:val="center"/>
        </w:trPr>
        <w:tc>
          <w:tcPr>
            <w:tcW w:w="963" w:type="dxa"/>
            <w:tcBorders>
              <w:top w:val="single" w:color="000000" w:sz="4" w:space="0"/>
              <w:left w:val="single" w:color="000000" w:sz="4" w:space="0"/>
              <w:bottom w:val="single" w:color="000000" w:sz="4" w:space="0"/>
              <w:right w:val="single" w:color="000000" w:sz="4" w:space="0"/>
            </w:tcBorders>
            <w:noWrap/>
            <w:vAlign w:val="center"/>
          </w:tcPr>
          <w:p w14:paraId="6BF7355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178F4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382C0F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404E17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52A98AB8">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五年质保（硅PU面层（弹性层+面层）：5年；球架、围网：2年），其履约保证金（合同价的5%）到时自动转为质保金，质保期从项目验收合格之日起计算，质保金于质保期满（五年）且服务方无未决违约行为及质量争议后无息退还</w:t>
      </w:r>
      <w:r>
        <w:rPr>
          <w:rFonts w:hint="eastAsia" w:ascii="仿宋" w:hAnsi="仿宋" w:eastAsia="仿宋" w:cs="仿宋"/>
          <w:color w:val="auto"/>
          <w:kern w:val="2"/>
          <w:sz w:val="30"/>
          <w:szCs w:val="30"/>
          <w:lang w:eastAsia="zh-CN"/>
        </w:rPr>
        <w:t>。</w:t>
      </w:r>
    </w:p>
    <w:p w14:paraId="687EAABE">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D7BE35F">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BE11211">
      <w:pPr>
        <w:spacing w:line="480" w:lineRule="auto"/>
        <w:jc w:val="left"/>
        <w:outlineLvl w:val="0"/>
        <w:rPr>
          <w:rFonts w:hint="default" w:ascii="仿宋" w:hAnsi="仿宋" w:eastAsia="仿宋" w:cs="仿宋"/>
          <w:b/>
          <w:spacing w:val="-2"/>
          <w:sz w:val="30"/>
          <w:lang w:val="en-US"/>
        </w:rPr>
      </w:pPr>
      <w:bookmarkStart w:id="23" w:name="_Toc12236"/>
      <w:r>
        <w:rPr>
          <w:rStyle w:val="21"/>
          <w:rFonts w:hint="eastAsia" w:ascii="仿宋" w:hAnsi="仿宋" w:eastAsia="仿宋" w:cs="仿宋"/>
          <w:sz w:val="30"/>
        </w:rPr>
        <w:t>附件</w:t>
      </w:r>
      <w:bookmarkEnd w:id="21"/>
      <w:bookmarkEnd w:id="22"/>
      <w:r>
        <w:rPr>
          <w:rStyle w:val="21"/>
          <w:rFonts w:hint="eastAsia" w:ascii="仿宋" w:hAnsi="仿宋" w:eastAsia="仿宋" w:cs="仿宋"/>
          <w:sz w:val="30"/>
          <w:lang w:val="en-US"/>
        </w:rPr>
        <w:t>四：</w:t>
      </w:r>
      <w:bookmarkEnd w:id="23"/>
    </w:p>
    <w:p w14:paraId="528F1991">
      <w:pPr>
        <w:snapToGrid w:val="0"/>
        <w:ind w:firstLine="1926" w:firstLineChars="600"/>
        <w:jc w:val="left"/>
        <w:rPr>
          <w:rFonts w:hint="eastAsia" w:ascii="仿宋" w:hAnsi="仿宋" w:eastAsia="仿宋" w:cs="仿宋"/>
          <w:b/>
          <w:spacing w:val="40"/>
          <w:sz w:val="24"/>
          <w:szCs w:val="24"/>
        </w:rPr>
      </w:pPr>
    </w:p>
    <w:p w14:paraId="39416B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03F0BD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248B2561">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厂区篮球场改造项目</w:t>
      </w:r>
      <w:r>
        <w:rPr>
          <w:rFonts w:hint="eastAsia" w:ascii="仿宋" w:hAnsi="仿宋" w:eastAsia="仿宋" w:cs="仿宋"/>
          <w:sz w:val="28"/>
          <w:szCs w:val="28"/>
        </w:rPr>
        <w:t>询价采购，并作如下承诺：</w:t>
      </w:r>
    </w:p>
    <w:p w14:paraId="775EE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65891C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1E8D93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45AFAFB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EF799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50FCE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2531AC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64BF93">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70C6EEBC">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34370D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1B4C888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6C0C48BE">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5974">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0806776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abstractNum w:abstractNumId="8">
    <w:nsid w:val="7CF5D452"/>
    <w:multiLevelType w:val="singleLevel"/>
    <w:tmpl w:val="7CF5D452"/>
    <w:lvl w:ilvl="0" w:tentative="0">
      <w:start w:val="1"/>
      <w:numFmt w:val="decimal"/>
      <w:suff w:val="nothing"/>
      <w:lvlText w:val="%1"/>
      <w:lvlJc w:val="left"/>
      <w:pPr>
        <w:ind w:left="635" w:leftChars="0" w:hanging="425" w:firstLineChars="0"/>
      </w:pPr>
      <w:rPr>
        <w:rFonts w:hint="default"/>
      </w:r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0F65E12"/>
    <w:rsid w:val="014F4893"/>
    <w:rsid w:val="01D22213"/>
    <w:rsid w:val="02834D04"/>
    <w:rsid w:val="031428FF"/>
    <w:rsid w:val="038D5656"/>
    <w:rsid w:val="03F95A31"/>
    <w:rsid w:val="04605697"/>
    <w:rsid w:val="04887D16"/>
    <w:rsid w:val="05D22118"/>
    <w:rsid w:val="05D355DF"/>
    <w:rsid w:val="06057AB3"/>
    <w:rsid w:val="062B00FD"/>
    <w:rsid w:val="067A3460"/>
    <w:rsid w:val="076328DA"/>
    <w:rsid w:val="07A76692"/>
    <w:rsid w:val="08186607"/>
    <w:rsid w:val="083A3947"/>
    <w:rsid w:val="08F93082"/>
    <w:rsid w:val="097479E0"/>
    <w:rsid w:val="09B7226A"/>
    <w:rsid w:val="0A0C6ADD"/>
    <w:rsid w:val="0A32752C"/>
    <w:rsid w:val="0A9D29B8"/>
    <w:rsid w:val="0B2C6C02"/>
    <w:rsid w:val="0B8E6D39"/>
    <w:rsid w:val="0BC12699"/>
    <w:rsid w:val="0BCC31F9"/>
    <w:rsid w:val="0C5A16A4"/>
    <w:rsid w:val="0DC35837"/>
    <w:rsid w:val="0DE61498"/>
    <w:rsid w:val="10C87F96"/>
    <w:rsid w:val="110C39D4"/>
    <w:rsid w:val="1297576D"/>
    <w:rsid w:val="12BF4C87"/>
    <w:rsid w:val="12E70A09"/>
    <w:rsid w:val="1325794A"/>
    <w:rsid w:val="15341747"/>
    <w:rsid w:val="164F6705"/>
    <w:rsid w:val="16646293"/>
    <w:rsid w:val="16FE5921"/>
    <w:rsid w:val="17B042A1"/>
    <w:rsid w:val="18987177"/>
    <w:rsid w:val="1906629D"/>
    <w:rsid w:val="190D0CE8"/>
    <w:rsid w:val="198B334B"/>
    <w:rsid w:val="1A2B7D96"/>
    <w:rsid w:val="1BD33B78"/>
    <w:rsid w:val="1BE0140E"/>
    <w:rsid w:val="1BEC2FB3"/>
    <w:rsid w:val="1CE262BC"/>
    <w:rsid w:val="1D6D770B"/>
    <w:rsid w:val="1D94296D"/>
    <w:rsid w:val="1DDB32DF"/>
    <w:rsid w:val="1E191157"/>
    <w:rsid w:val="1E1A21EF"/>
    <w:rsid w:val="203B090D"/>
    <w:rsid w:val="206F2E6D"/>
    <w:rsid w:val="21135480"/>
    <w:rsid w:val="211D7593"/>
    <w:rsid w:val="212C3971"/>
    <w:rsid w:val="214D7086"/>
    <w:rsid w:val="217557F8"/>
    <w:rsid w:val="21820C38"/>
    <w:rsid w:val="21BA7E4E"/>
    <w:rsid w:val="22DF5956"/>
    <w:rsid w:val="22ED7F5E"/>
    <w:rsid w:val="24130D0C"/>
    <w:rsid w:val="259E2C64"/>
    <w:rsid w:val="26F76768"/>
    <w:rsid w:val="27AC61A6"/>
    <w:rsid w:val="27FE02E6"/>
    <w:rsid w:val="28C57566"/>
    <w:rsid w:val="29084622"/>
    <w:rsid w:val="29903771"/>
    <w:rsid w:val="29F704EF"/>
    <w:rsid w:val="2A0049E3"/>
    <w:rsid w:val="2AC220DE"/>
    <w:rsid w:val="2ADB5E21"/>
    <w:rsid w:val="2ADF08BA"/>
    <w:rsid w:val="2B603075"/>
    <w:rsid w:val="2C305EB2"/>
    <w:rsid w:val="2C980D1B"/>
    <w:rsid w:val="2CC63B3C"/>
    <w:rsid w:val="2CD9238D"/>
    <w:rsid w:val="2D023CA7"/>
    <w:rsid w:val="2E003054"/>
    <w:rsid w:val="2EB2531B"/>
    <w:rsid w:val="2F3D045F"/>
    <w:rsid w:val="2F6F3EAC"/>
    <w:rsid w:val="2F7D3F84"/>
    <w:rsid w:val="2F844FB7"/>
    <w:rsid w:val="30256074"/>
    <w:rsid w:val="302C4175"/>
    <w:rsid w:val="30890978"/>
    <w:rsid w:val="30A52DD9"/>
    <w:rsid w:val="31713FF6"/>
    <w:rsid w:val="32B04D2F"/>
    <w:rsid w:val="33992634"/>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B361330"/>
    <w:rsid w:val="3C302F1C"/>
    <w:rsid w:val="3C8719BD"/>
    <w:rsid w:val="3CE46170"/>
    <w:rsid w:val="3D7933CA"/>
    <w:rsid w:val="3DAC3CC7"/>
    <w:rsid w:val="3E16524F"/>
    <w:rsid w:val="3EA30F9B"/>
    <w:rsid w:val="3F2D02B4"/>
    <w:rsid w:val="3F7C50B1"/>
    <w:rsid w:val="3F996DE7"/>
    <w:rsid w:val="3FAE19C2"/>
    <w:rsid w:val="406B2371"/>
    <w:rsid w:val="407E15A7"/>
    <w:rsid w:val="40AA3B81"/>
    <w:rsid w:val="411C5733"/>
    <w:rsid w:val="417112FA"/>
    <w:rsid w:val="42D57A4D"/>
    <w:rsid w:val="436A096E"/>
    <w:rsid w:val="43985971"/>
    <w:rsid w:val="43A970E7"/>
    <w:rsid w:val="43BA0460"/>
    <w:rsid w:val="44322CE6"/>
    <w:rsid w:val="44544A76"/>
    <w:rsid w:val="449544C5"/>
    <w:rsid w:val="44A55070"/>
    <w:rsid w:val="45530393"/>
    <w:rsid w:val="469F7AF8"/>
    <w:rsid w:val="471B5F3A"/>
    <w:rsid w:val="475812CD"/>
    <w:rsid w:val="475D1115"/>
    <w:rsid w:val="478F3581"/>
    <w:rsid w:val="47B96D86"/>
    <w:rsid w:val="47D615F1"/>
    <w:rsid w:val="47D93555"/>
    <w:rsid w:val="48034DA7"/>
    <w:rsid w:val="486F4BB5"/>
    <w:rsid w:val="48A60514"/>
    <w:rsid w:val="48E14418"/>
    <w:rsid w:val="491635D4"/>
    <w:rsid w:val="492C3BEE"/>
    <w:rsid w:val="49E7480F"/>
    <w:rsid w:val="4AE97537"/>
    <w:rsid w:val="4AF173EE"/>
    <w:rsid w:val="4C2F1B9C"/>
    <w:rsid w:val="4C870D35"/>
    <w:rsid w:val="4D2832EB"/>
    <w:rsid w:val="4DB81983"/>
    <w:rsid w:val="4DF66F25"/>
    <w:rsid w:val="4E376DB9"/>
    <w:rsid w:val="4E716394"/>
    <w:rsid w:val="4ECC39F8"/>
    <w:rsid w:val="4F0A3ECF"/>
    <w:rsid w:val="4F595384"/>
    <w:rsid w:val="4F72433C"/>
    <w:rsid w:val="4F7F3CCA"/>
    <w:rsid w:val="4FE50BFA"/>
    <w:rsid w:val="502844C8"/>
    <w:rsid w:val="50581A6B"/>
    <w:rsid w:val="51131CCB"/>
    <w:rsid w:val="51D845E4"/>
    <w:rsid w:val="52341DDD"/>
    <w:rsid w:val="531111FC"/>
    <w:rsid w:val="533444FB"/>
    <w:rsid w:val="55C54FE9"/>
    <w:rsid w:val="55E07717"/>
    <w:rsid w:val="56397366"/>
    <w:rsid w:val="58080247"/>
    <w:rsid w:val="5950112B"/>
    <w:rsid w:val="59C3293C"/>
    <w:rsid w:val="5A1C766A"/>
    <w:rsid w:val="5B3710B2"/>
    <w:rsid w:val="5CF528AB"/>
    <w:rsid w:val="5D132301"/>
    <w:rsid w:val="5D7C523D"/>
    <w:rsid w:val="5DD30482"/>
    <w:rsid w:val="5E970206"/>
    <w:rsid w:val="5ED1360A"/>
    <w:rsid w:val="5F1E1E73"/>
    <w:rsid w:val="612A3DEE"/>
    <w:rsid w:val="614D7B82"/>
    <w:rsid w:val="62B67083"/>
    <w:rsid w:val="64787E17"/>
    <w:rsid w:val="649C599A"/>
    <w:rsid w:val="669155F5"/>
    <w:rsid w:val="66B027B6"/>
    <w:rsid w:val="671A2875"/>
    <w:rsid w:val="677D6629"/>
    <w:rsid w:val="67966EFB"/>
    <w:rsid w:val="67B628F5"/>
    <w:rsid w:val="682119CD"/>
    <w:rsid w:val="69A94E0C"/>
    <w:rsid w:val="6B656B47"/>
    <w:rsid w:val="6B7E1643"/>
    <w:rsid w:val="6C714475"/>
    <w:rsid w:val="6CDB032D"/>
    <w:rsid w:val="6CE30226"/>
    <w:rsid w:val="6DB2110D"/>
    <w:rsid w:val="6DBD736C"/>
    <w:rsid w:val="6DF45A5A"/>
    <w:rsid w:val="6E5526FF"/>
    <w:rsid w:val="6EB82DCE"/>
    <w:rsid w:val="6F2B1820"/>
    <w:rsid w:val="6F412F7A"/>
    <w:rsid w:val="6FB72F89"/>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5F5943"/>
    <w:rsid w:val="7B6004E6"/>
    <w:rsid w:val="7BE14791"/>
    <w:rsid w:val="7C4C470C"/>
    <w:rsid w:val="7CD03426"/>
    <w:rsid w:val="7DDA7768"/>
    <w:rsid w:val="7DFA5FDE"/>
    <w:rsid w:val="7E0B3994"/>
    <w:rsid w:val="7ED236BD"/>
    <w:rsid w:val="7F5B6E61"/>
    <w:rsid w:val="7FBF70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8"/>
    <w:qFormat/>
    <w:uiPriority w:val="0"/>
    <w:rPr>
      <w:kern w:val="2"/>
      <w:sz w:val="18"/>
      <w:szCs w:val="18"/>
    </w:rPr>
  </w:style>
  <w:style w:type="character" w:customStyle="1" w:styleId="25">
    <w:name w:val="批注框文本 Char"/>
    <w:basedOn w:val="15"/>
    <w:link w:val="6"/>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2"/>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8">
    <w:name w:val="标书正文1"/>
    <w:basedOn w:val="1"/>
    <w:qFormat/>
    <w:uiPriority w:val="99"/>
    <w:pPr>
      <w:spacing w:line="520" w:lineRule="exact"/>
      <w:ind w:firstLine="64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11370</Words>
  <Characters>11812</Characters>
  <Lines>53</Lines>
  <Paragraphs>15</Paragraphs>
  <TotalTime>3</TotalTime>
  <ScaleCrop>false</ScaleCrop>
  <LinksUpToDate>false</LinksUpToDate>
  <CharactersWithSpaces>13193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2026-05-07T07:06:34Z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A2659367F5894193B080B3E9FEE18BF8_13</vt:lpwstr>
  </property>
  <property fmtid="{D5CDD505-2E9C-101B-9397-08002B2CF9AE}" pid="4" name="KSOTemplateDocerSaveRecord">
    <vt:lpwstr>eyJoZGlkIjoiYzUwZDFhNTA3NTBkYjYwNzBmOWEzNGQxZTA1ZTZlYTEiLCJ1c2VySWQiOiI0MTkyNjk4ODkifQ==</vt:lpwstr>
  </property>
</Properties>
</file>