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5973"/>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地磅房加装直饮水管线机项目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SX-CG-GX-2603018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1" w:name="OLE_LINK53"/>
      <w:bookmarkStart w:id="2" w:name="OLE_LINK52"/>
      <w:r>
        <w:rPr>
          <w:rFonts w:hint="eastAsia" w:ascii="仿宋" w:hAnsi="仿宋" w:eastAsia="仿宋" w:cs="仿宋"/>
          <w:sz w:val="32"/>
          <w:szCs w:val="32"/>
          <w:highlight w:val="none"/>
        </w:rPr>
        <w:t>项目名称：</w:t>
      </w:r>
      <w:bookmarkEnd w:id="1"/>
      <w:bookmarkEnd w:id="2"/>
      <w:r>
        <w:rPr>
          <w:rFonts w:hint="eastAsia" w:ascii="仿宋" w:hAnsi="仿宋" w:eastAsia="仿宋" w:cs="仿宋"/>
          <w:sz w:val="32"/>
          <w:szCs w:val="32"/>
          <w:highlight w:val="none"/>
          <w:u w:val="single"/>
          <w:lang w:val="en-US" w:eastAsia="zh-CN"/>
        </w:rPr>
        <w:t xml:space="preserve"> 地磅房加装直饮水管线机项目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12F97776">
      <w:pPr>
        <w:rPr>
          <w:rFonts w:hint="eastAsia" w:ascii="仿宋" w:hAnsi="仿宋" w:eastAsia="仿宋" w:cs="仿宋"/>
          <w:sz w:val="84"/>
          <w:highlight w:val="none"/>
        </w:rPr>
      </w:pPr>
    </w:p>
    <w:p w14:paraId="297F9618">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2DE28D0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_Toc25973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_Toc25973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0804494">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_Toc7185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_Toc7185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E820A02">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_Toc16869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_Toc16869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484CCB5">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_Toc27686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_Toc27686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64C179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_Toc28701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_Toc28701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2FA5BBF">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_Toc6714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_Toc6714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24</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406F5E8">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_Toc32586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_Toc32586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2C24DF9">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_Toc21906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附件二：</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_Toc21906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50149DF">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_Toc29506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三</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_Toc29506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29</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DA69B77">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_Toc26054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四：</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_Toc26054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bookmarkStart w:id="22" w:name="_GoBack"/>
      <w:bookmarkEnd w:id="22"/>
      <w:r>
        <w:rPr>
          <w:rFonts w:hint="eastAsia" w:ascii="仿宋" w:hAnsi="仿宋" w:eastAsia="仿宋" w:cs="仿宋"/>
          <w:sz w:val="32"/>
          <w:szCs w:val="32"/>
        </w:rPr>
        <w:br w:type="page"/>
      </w:r>
      <w:bookmarkStart w:id="3" w:name="_Toc530583878"/>
      <w:bookmarkStart w:id="4" w:name="_Toc530583921"/>
      <w:bookmarkStart w:id="5" w:name="_Toc7185"/>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地磅房加装直饮水管线机项目进行招标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SX-CG-GX-2603018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4"/>
        <w:tblW w:w="3507" w:type="pct"/>
        <w:jc w:val="center"/>
        <w:tblLayout w:type="fixed"/>
        <w:tblCellMar>
          <w:top w:w="0" w:type="dxa"/>
          <w:left w:w="108" w:type="dxa"/>
          <w:bottom w:w="0" w:type="dxa"/>
          <w:right w:w="108" w:type="dxa"/>
        </w:tblCellMar>
      </w:tblPr>
      <w:tblGrid>
        <w:gridCol w:w="696"/>
        <w:gridCol w:w="1461"/>
        <w:gridCol w:w="2803"/>
        <w:gridCol w:w="797"/>
        <w:gridCol w:w="758"/>
      </w:tblGrid>
      <w:tr w14:paraId="201C5A2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1"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71DB8D3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38C6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0522C7B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F726E6">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364EA259">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kern w:val="0"/>
                <w:sz w:val="24"/>
                <w:szCs w:val="24"/>
              </w:rPr>
              <w:t>管线机</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13136D03">
            <w:pPr>
              <w:widowControl/>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0.05L/s；包含三档壁挂式管线机，直饮水龙，茶水柜</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8E5BA8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7CB89B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台</w:t>
            </w:r>
          </w:p>
        </w:tc>
      </w:tr>
      <w:tr w14:paraId="0C2BB80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DF1F5B2">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2</w:t>
            </w:r>
          </w:p>
        </w:tc>
        <w:tc>
          <w:tcPr>
            <w:tcW w:w="1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4E8F2">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供水管</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30533C46">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DN25，薄壁不锈钢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FA17EF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D36ED47">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r>
      <w:tr w14:paraId="1431723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D5F60AB">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3</w:t>
            </w:r>
          </w:p>
        </w:tc>
        <w:tc>
          <w:tcPr>
            <w:tcW w:w="1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0FBB8">
            <w:pPr>
              <w:widowControl/>
              <w:jc w:val="center"/>
              <w:rPr>
                <w:rFonts w:hint="eastAsia" w:ascii="仿宋" w:hAnsi="仿宋" w:eastAsia="仿宋" w:cs="仿宋"/>
                <w:i w:val="0"/>
                <w:iCs w:val="0"/>
                <w:color w:val="000000"/>
                <w:sz w:val="24"/>
                <w:szCs w:val="24"/>
                <w:highlight w:val="none"/>
                <w:u w:val="none"/>
                <w:lang w:eastAsia="zh-CN"/>
              </w:rPr>
            </w:pP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3165449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DN15，薄壁不锈钢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0A2C18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7A92B0B">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r>
      <w:tr w14:paraId="17E9358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90AA053">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4</w:t>
            </w:r>
          </w:p>
        </w:tc>
        <w:tc>
          <w:tcPr>
            <w:tcW w:w="1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8182A">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回水管</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044E1EF3">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DN25，薄壁不锈钢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650EA6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B4837B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r>
      <w:tr w14:paraId="145C47F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F96B8F">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5</w:t>
            </w:r>
          </w:p>
        </w:tc>
        <w:tc>
          <w:tcPr>
            <w:tcW w:w="1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D153C">
            <w:pPr>
              <w:widowControl/>
              <w:jc w:val="center"/>
              <w:rPr>
                <w:rFonts w:hint="eastAsia" w:ascii="仿宋" w:hAnsi="仿宋" w:eastAsia="仿宋" w:cs="仿宋"/>
                <w:i w:val="0"/>
                <w:iCs w:val="0"/>
                <w:color w:val="000000"/>
                <w:sz w:val="24"/>
                <w:szCs w:val="24"/>
                <w:highlight w:val="none"/>
                <w:u w:val="none"/>
                <w:lang w:eastAsia="zh-CN"/>
              </w:rPr>
            </w:pP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1B1D8F2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DN15，薄壁不锈钢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2B98C7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9C1A148">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r>
      <w:tr w14:paraId="1402BC3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7ACE46">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6</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578FB2E2">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电力电缆</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58A4C89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ZRC-YJV-0.6/1kV-4x4</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10324FC">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4D9CBA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r>
      <w:tr w14:paraId="0AD8F68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FFBBF63">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7</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A7AC987">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排水管道</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1EFC1FA7">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DN50，UPVC</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075799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7F81F1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r>
    </w:tbl>
    <w:p w14:paraId="47E30BEA">
      <w:pPr>
        <w:pStyle w:val="13"/>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2736084A">
      <w:pPr>
        <w:pStyle w:val="13"/>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highlight w:val="none"/>
          <w:lang w:val="en-US" w:eastAsia="zh-CN"/>
        </w:rPr>
        <w:t>其他要求：投标单位须提供2020年1月1日至今至少1个水处理相关设备供货业绩。</w:t>
      </w:r>
    </w:p>
    <w:p w14:paraId="21E1DBE1">
      <w:pPr>
        <w:pStyle w:val="13"/>
        <w:numPr>
          <w:ilvl w:val="0"/>
          <w:numId w:val="0"/>
        </w:numPr>
        <w:snapToGrid/>
        <w:spacing w:line="360" w:lineRule="auto"/>
        <w:ind w:firstLine="6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4.技术要求：</w:t>
      </w:r>
    </w:p>
    <w:p w14:paraId="7E6A25BF">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①技术参数及各项指标符合以下要求：</w:t>
      </w:r>
    </w:p>
    <w:p w14:paraId="0E42998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《建筑与小区管道直饮水系统技术规程》（CJJ/T 110-2017）</w:t>
      </w:r>
    </w:p>
    <w:p w14:paraId="30D6831E">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《建筑给水排水设计标准》（GB 50015-2019）</w:t>
      </w:r>
    </w:p>
    <w:p w14:paraId="047B633A">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《室外排水设计标准》（GB 50014-2021）</w:t>
      </w:r>
    </w:p>
    <w:p w14:paraId="0EB2CCEE">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《生活饮用水卫生标准》 （GB 5749-2022）</w:t>
      </w:r>
    </w:p>
    <w:p w14:paraId="5C75E67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《饮用净水水质标准》（CJ 94-2005）</w:t>
      </w:r>
    </w:p>
    <w:p w14:paraId="29606FC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《管道直饮水系统技求》（T/CAQI69-2019）</w:t>
      </w:r>
    </w:p>
    <w:p w14:paraId="3ACA99B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②技术参数及各项指标符合GB 5749-2022《生活饮用水卫生标准》和CJ 94-2005《饮用净水水质标准》严控要求，具体要求如下：</w:t>
      </w:r>
    </w:p>
    <w:tbl>
      <w:tblPr>
        <w:tblStyle w:val="15"/>
        <w:tblW w:w="5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1"/>
      </w:tblGrid>
      <w:tr w14:paraId="2EAA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2" w:hRule="exact"/>
        </w:trPr>
        <w:tc>
          <w:tcPr>
            <w:tcW w:w="5000" w:type="pct"/>
            <w:tcBorders>
              <w:top w:val="single" w:color="auto" w:sz="4" w:space="0"/>
              <w:left w:val="single" w:color="auto" w:sz="4" w:space="0"/>
              <w:bottom w:val="single" w:color="auto" w:sz="4" w:space="0"/>
              <w:right w:val="single" w:color="auto" w:sz="4" w:space="0"/>
            </w:tcBorders>
          </w:tcPr>
          <w:tbl>
            <w:tblPr>
              <w:tblStyle w:val="14"/>
              <w:tblW w:w="9760" w:type="dxa"/>
              <w:tblInd w:w="0" w:type="dxa"/>
              <w:tblLayout w:type="fixed"/>
              <w:tblCellMar>
                <w:top w:w="0" w:type="dxa"/>
                <w:left w:w="108" w:type="dxa"/>
                <w:bottom w:w="0" w:type="dxa"/>
                <w:right w:w="108" w:type="dxa"/>
              </w:tblCellMar>
            </w:tblPr>
            <w:tblGrid>
              <w:gridCol w:w="2192"/>
              <w:gridCol w:w="2263"/>
              <w:gridCol w:w="2768"/>
              <w:gridCol w:w="2537"/>
            </w:tblGrid>
            <w:tr w14:paraId="135DC93A">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596EA">
                  <w:pPr>
                    <w:widowControl/>
                    <w:jc w:val="center"/>
                    <w:textAlignment w:val="center"/>
                    <w:rPr>
                      <w:rFonts w:hint="eastAsia" w:ascii="方正仿宋_GBK" w:hAnsi="方正仿宋_GBK" w:eastAsia="方正仿宋_GBK" w:cs="方正仿宋_GBK"/>
                      <w:b/>
                      <w:bCs/>
                      <w:color w:val="404040"/>
                      <w:sz w:val="24"/>
                      <w:szCs w:val="24"/>
                      <w:highlight w:val="none"/>
                    </w:rPr>
                  </w:pPr>
                  <w:r>
                    <w:rPr>
                      <w:rFonts w:hint="eastAsia" w:ascii="方正仿宋_GBK" w:hAnsi="方正仿宋_GBK" w:eastAsia="方正仿宋_GBK" w:cs="方正仿宋_GBK"/>
                      <w:b/>
                      <w:bCs/>
                      <w:color w:val="404040"/>
                      <w:kern w:val="0"/>
                      <w:sz w:val="24"/>
                      <w:szCs w:val="24"/>
                      <w:highlight w:val="none"/>
                      <w:lang w:bidi="ar"/>
                    </w:rPr>
                    <w:t>检测项目</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80A1">
                  <w:pPr>
                    <w:widowControl/>
                    <w:jc w:val="center"/>
                    <w:textAlignment w:val="center"/>
                    <w:rPr>
                      <w:rFonts w:hint="eastAsia" w:ascii="方正仿宋_GBK" w:hAnsi="方正仿宋_GBK" w:eastAsia="方正仿宋_GBK" w:cs="方正仿宋_GBK"/>
                      <w:b/>
                      <w:bCs/>
                      <w:color w:val="404040"/>
                      <w:sz w:val="24"/>
                      <w:szCs w:val="24"/>
                      <w:highlight w:val="none"/>
                    </w:rPr>
                  </w:pPr>
                  <w:r>
                    <w:rPr>
                      <w:rFonts w:hint="eastAsia" w:ascii="方正仿宋_GBK" w:hAnsi="方正仿宋_GBK" w:eastAsia="方正仿宋_GBK" w:cs="方正仿宋_GBK"/>
                      <w:b/>
                      <w:bCs/>
                      <w:color w:val="404040"/>
                      <w:kern w:val="0"/>
                      <w:sz w:val="24"/>
                      <w:szCs w:val="24"/>
                      <w:highlight w:val="none"/>
                      <w:lang w:bidi="ar"/>
                    </w:rPr>
                    <w:t>限值要求</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E5084">
                  <w:pPr>
                    <w:widowControl/>
                    <w:jc w:val="center"/>
                    <w:textAlignment w:val="center"/>
                    <w:rPr>
                      <w:rFonts w:hint="eastAsia" w:ascii="方正仿宋_GBK" w:hAnsi="方正仿宋_GBK" w:eastAsia="方正仿宋_GBK" w:cs="方正仿宋_GBK"/>
                      <w:b/>
                      <w:bCs/>
                      <w:color w:val="404040"/>
                      <w:sz w:val="24"/>
                      <w:szCs w:val="24"/>
                      <w:highlight w:val="none"/>
                    </w:rPr>
                  </w:pPr>
                  <w:r>
                    <w:rPr>
                      <w:rFonts w:hint="eastAsia" w:ascii="方正仿宋_GBK" w:hAnsi="方正仿宋_GBK" w:eastAsia="方正仿宋_GBK" w:cs="方正仿宋_GBK"/>
                      <w:b/>
                      <w:bCs/>
                      <w:color w:val="404040"/>
                      <w:kern w:val="0"/>
                      <w:sz w:val="24"/>
                      <w:szCs w:val="24"/>
                      <w:highlight w:val="none"/>
                      <w:lang w:bidi="ar"/>
                    </w:rPr>
                    <w:t>检测方法</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28DE4">
                  <w:pPr>
                    <w:widowControl/>
                    <w:jc w:val="center"/>
                    <w:textAlignment w:val="center"/>
                    <w:rPr>
                      <w:rFonts w:hint="eastAsia" w:ascii="方正仿宋_GBK" w:hAnsi="方正仿宋_GBK" w:eastAsia="方正仿宋_GBK" w:cs="方正仿宋_GBK"/>
                      <w:b/>
                      <w:bCs/>
                      <w:color w:val="404040"/>
                      <w:sz w:val="24"/>
                      <w:szCs w:val="24"/>
                      <w:highlight w:val="none"/>
                    </w:rPr>
                  </w:pPr>
                  <w:r>
                    <w:rPr>
                      <w:rFonts w:hint="eastAsia" w:ascii="方正仿宋_GBK" w:hAnsi="方正仿宋_GBK" w:eastAsia="方正仿宋_GBK" w:cs="方正仿宋_GBK"/>
                      <w:b/>
                      <w:bCs/>
                      <w:color w:val="404040"/>
                      <w:kern w:val="0"/>
                      <w:sz w:val="24"/>
                      <w:szCs w:val="24"/>
                      <w:highlight w:val="none"/>
                      <w:lang w:bidi="ar"/>
                    </w:rPr>
                    <w:t>备注</w:t>
                  </w:r>
                </w:p>
              </w:tc>
            </w:tr>
            <w:tr w14:paraId="2E124DD1">
              <w:tblPrEx>
                <w:tblCellMar>
                  <w:top w:w="0" w:type="dxa"/>
                  <w:left w:w="108" w:type="dxa"/>
                  <w:bottom w:w="0" w:type="dxa"/>
                  <w:right w:w="108" w:type="dxa"/>
                </w:tblCellMar>
              </w:tblPrEx>
              <w:trPr>
                <w:trHeight w:val="265"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ECC4">
                  <w:pPr>
                    <w:widowControl/>
                    <w:jc w:val="center"/>
                    <w:textAlignment w:val="center"/>
                    <w:rPr>
                      <w:rFonts w:hint="eastAsia" w:ascii="方正仿宋_GBK" w:hAnsi="方正仿宋_GBK" w:eastAsia="方正仿宋_GBK" w:cs="方正仿宋_GBK"/>
                      <w:b/>
                      <w:bCs/>
                      <w:color w:val="000000"/>
                      <w:sz w:val="18"/>
                      <w:szCs w:val="18"/>
                      <w:highlight w:val="none"/>
                    </w:rPr>
                  </w:pPr>
                  <w:r>
                    <w:rPr>
                      <w:rFonts w:hint="eastAsia" w:ascii="方正仿宋_GBK" w:hAnsi="方正仿宋_GBK" w:eastAsia="方正仿宋_GBK" w:cs="方正仿宋_GBK"/>
                      <w:b/>
                      <w:bCs/>
                      <w:color w:val="000000"/>
                      <w:kern w:val="0"/>
                      <w:sz w:val="24"/>
                      <w:szCs w:val="24"/>
                      <w:highlight w:val="none"/>
                      <w:lang w:bidi="ar"/>
                    </w:rPr>
                    <w:t>感官指标</w:t>
                  </w:r>
                </w:p>
              </w:tc>
            </w:tr>
            <w:tr w14:paraId="60C23523">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648AE">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浑浊度</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3DFB6">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≤0.5 NTU</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A837B">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5750.4-2023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1A719">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管道直饮水建议</w:t>
                  </w:r>
                  <w:r>
                    <w:rPr>
                      <w:rStyle w:val="29"/>
                      <w:rFonts w:hint="eastAsia" w:ascii="方正仿宋_GBK" w:hAnsi="方正仿宋_GBK" w:eastAsia="方正仿宋_GBK" w:cs="方正仿宋_GBK"/>
                      <w:b/>
                      <w:bCs/>
                      <w:highlight w:val="none"/>
                      <w:lang w:bidi="ar"/>
                    </w:rPr>
                    <w:t>≤0.5 NTU</w:t>
                  </w:r>
                </w:p>
              </w:tc>
            </w:tr>
            <w:tr w14:paraId="4C8C0DE6">
              <w:tblPrEx>
                <w:tblCellMar>
                  <w:top w:w="0" w:type="dxa"/>
                  <w:left w:w="108" w:type="dxa"/>
                  <w:bottom w:w="0" w:type="dxa"/>
                  <w:right w:w="108" w:type="dxa"/>
                </w:tblCellMar>
              </w:tblPrEx>
              <w:trPr>
                <w:trHeight w:val="30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30AB">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色度</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0615">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≤5</w:t>
                  </w:r>
                  <w:r>
                    <w:rPr>
                      <w:rStyle w:val="27"/>
                      <w:rFonts w:hint="eastAsia" w:ascii="方正仿宋_GBK" w:hAnsi="方正仿宋_GBK" w:eastAsia="方正仿宋_GBK" w:cs="方正仿宋_GBK"/>
                      <w:b/>
                      <w:bCs/>
                      <w:highlight w:val="none"/>
                      <w:lang w:bidi="ar"/>
                    </w:rPr>
                    <w:t>度</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D4B24">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5750.4-2023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63B97">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铂钴色度单位</w:t>
                  </w:r>
                </w:p>
              </w:tc>
            </w:tr>
            <w:tr w14:paraId="2A8BCB93">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09578">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臭和味</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4775E">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无异臭、异味</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0E6B">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5750.4-2023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87808">
                  <w:pPr>
                    <w:jc w:val="center"/>
                    <w:rPr>
                      <w:rFonts w:hint="eastAsia" w:ascii="方正仿宋_GBK" w:hAnsi="方正仿宋_GBK" w:eastAsia="方正仿宋_GBK" w:cs="方正仿宋_GBK"/>
                      <w:b/>
                      <w:bCs/>
                      <w:color w:val="404040"/>
                      <w:sz w:val="18"/>
                      <w:szCs w:val="18"/>
                      <w:highlight w:val="none"/>
                    </w:rPr>
                  </w:pPr>
                </w:p>
              </w:tc>
            </w:tr>
            <w:tr w14:paraId="37C695F5">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ACE1F">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肉眼可见物</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89FC">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无</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F4507">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5750.4-2023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2509">
                  <w:pPr>
                    <w:jc w:val="center"/>
                    <w:rPr>
                      <w:rFonts w:hint="eastAsia" w:ascii="方正仿宋_GBK" w:hAnsi="方正仿宋_GBK" w:eastAsia="方正仿宋_GBK" w:cs="方正仿宋_GBK"/>
                      <w:b/>
                      <w:bCs/>
                      <w:color w:val="000000"/>
                      <w:sz w:val="18"/>
                      <w:szCs w:val="18"/>
                      <w:highlight w:val="none"/>
                    </w:rPr>
                  </w:pPr>
                </w:p>
              </w:tc>
            </w:tr>
            <w:tr w14:paraId="3478142A">
              <w:tblPrEx>
                <w:tblCellMar>
                  <w:top w:w="0" w:type="dxa"/>
                  <w:left w:w="108" w:type="dxa"/>
                  <w:bottom w:w="0" w:type="dxa"/>
                  <w:right w:w="108" w:type="dxa"/>
                </w:tblCellMar>
              </w:tblPrEx>
              <w:trPr>
                <w:trHeight w:val="239"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DA94">
                  <w:pPr>
                    <w:widowControl/>
                    <w:jc w:val="center"/>
                    <w:textAlignment w:val="center"/>
                    <w:rPr>
                      <w:rFonts w:hint="eastAsia" w:ascii="方正仿宋_GBK" w:hAnsi="方正仿宋_GBK" w:eastAsia="方正仿宋_GBK" w:cs="方正仿宋_GBK"/>
                      <w:b/>
                      <w:bCs/>
                      <w:color w:val="000000"/>
                      <w:sz w:val="18"/>
                      <w:szCs w:val="18"/>
                      <w:highlight w:val="none"/>
                    </w:rPr>
                  </w:pPr>
                  <w:r>
                    <w:rPr>
                      <w:rFonts w:hint="eastAsia" w:ascii="方正仿宋_GBK" w:hAnsi="方正仿宋_GBK" w:eastAsia="方正仿宋_GBK" w:cs="方正仿宋_GBK"/>
                      <w:b/>
                      <w:bCs/>
                      <w:color w:val="000000"/>
                      <w:kern w:val="0"/>
                      <w:sz w:val="24"/>
                      <w:szCs w:val="24"/>
                      <w:highlight w:val="none"/>
                      <w:lang w:bidi="ar"/>
                    </w:rPr>
                    <w:t>微生物指标</w:t>
                  </w:r>
                </w:p>
              </w:tc>
            </w:tr>
            <w:tr w14:paraId="6D08F35F">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F53CB">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菌落总数</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91180">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≤50 CFU/mL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E71E">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5750.12-2023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690E0">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严于国标（国标</w:t>
                  </w:r>
                  <w:r>
                    <w:rPr>
                      <w:rStyle w:val="29"/>
                      <w:rFonts w:hint="eastAsia" w:ascii="方正仿宋_GBK" w:hAnsi="方正仿宋_GBK" w:eastAsia="方正仿宋_GBK" w:cs="方正仿宋_GBK"/>
                      <w:b/>
                      <w:bCs/>
                      <w:highlight w:val="none"/>
                      <w:lang w:bidi="ar"/>
                    </w:rPr>
                    <w:t>≤100</w:t>
                  </w:r>
                  <w:r>
                    <w:rPr>
                      <w:rStyle w:val="27"/>
                      <w:rFonts w:hint="eastAsia" w:ascii="方正仿宋_GBK" w:hAnsi="方正仿宋_GBK" w:eastAsia="方正仿宋_GBK" w:cs="方正仿宋_GBK"/>
                      <w:b/>
                      <w:bCs/>
                      <w:highlight w:val="none"/>
                      <w:lang w:bidi="ar"/>
                    </w:rPr>
                    <w:t>）</w:t>
                  </w:r>
                </w:p>
              </w:tc>
            </w:tr>
            <w:tr w14:paraId="5BEE2FD5">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01067">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总大肠菌群</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A4F7">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不得检出</w:t>
                  </w:r>
                  <w:r>
                    <w:rPr>
                      <w:rStyle w:val="29"/>
                      <w:rFonts w:hint="eastAsia" w:ascii="方正仿宋_GBK" w:hAnsi="方正仿宋_GBK" w:eastAsia="方正仿宋_GBK" w:cs="方正仿宋_GBK"/>
                      <w:b/>
                      <w:bCs/>
                      <w:color w:val="auto"/>
                      <w:highlight w:val="none"/>
                      <w:lang w:bidi="ar"/>
                    </w:rPr>
                    <w:t>/100mL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05152">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5750.12-2023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66CCF">
                  <w:pPr>
                    <w:jc w:val="center"/>
                    <w:rPr>
                      <w:rFonts w:hint="eastAsia" w:ascii="方正仿宋_GBK" w:hAnsi="方正仿宋_GBK" w:eastAsia="方正仿宋_GBK" w:cs="方正仿宋_GBK"/>
                      <w:b/>
                      <w:bCs/>
                      <w:color w:val="404040"/>
                      <w:sz w:val="18"/>
                      <w:szCs w:val="18"/>
                      <w:highlight w:val="none"/>
                    </w:rPr>
                  </w:pPr>
                </w:p>
              </w:tc>
            </w:tr>
            <w:tr w14:paraId="1DB8F4AC">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7AF37">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粪大肠菌群</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E569E">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不得检出</w:t>
                  </w:r>
                  <w:r>
                    <w:rPr>
                      <w:rStyle w:val="29"/>
                      <w:rFonts w:hint="eastAsia" w:ascii="方正仿宋_GBK" w:hAnsi="方正仿宋_GBK" w:eastAsia="方正仿宋_GBK" w:cs="方正仿宋_GBK"/>
                      <w:b/>
                      <w:bCs/>
                      <w:color w:val="auto"/>
                      <w:highlight w:val="none"/>
                      <w:lang w:bidi="ar"/>
                    </w:rPr>
                    <w:t>/100mL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06E66">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5750.12-2023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6CD00">
                  <w:pPr>
                    <w:jc w:val="center"/>
                    <w:rPr>
                      <w:rFonts w:hint="eastAsia" w:ascii="方正仿宋_GBK" w:hAnsi="方正仿宋_GBK" w:eastAsia="方正仿宋_GBK" w:cs="方正仿宋_GBK"/>
                      <w:b/>
                      <w:bCs/>
                      <w:color w:val="000000"/>
                      <w:sz w:val="18"/>
                      <w:szCs w:val="18"/>
                      <w:highlight w:val="none"/>
                    </w:rPr>
                  </w:pPr>
                </w:p>
              </w:tc>
            </w:tr>
            <w:tr w14:paraId="4A533F7F">
              <w:tblPrEx>
                <w:tblCellMar>
                  <w:top w:w="0" w:type="dxa"/>
                  <w:left w:w="108" w:type="dxa"/>
                  <w:bottom w:w="0" w:type="dxa"/>
                  <w:right w:w="108" w:type="dxa"/>
                </w:tblCellMar>
              </w:tblPrEx>
              <w:trPr>
                <w:trHeight w:val="277"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BD6B">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24"/>
                      <w:szCs w:val="24"/>
                      <w:highlight w:val="none"/>
                      <w:lang w:bidi="ar"/>
                    </w:rPr>
                    <w:t>毒理指标</w:t>
                  </w:r>
                </w:p>
              </w:tc>
            </w:tr>
            <w:tr w14:paraId="5D524AEF">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13BBD">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铅（</w:t>
                  </w:r>
                  <w:r>
                    <w:rPr>
                      <w:rStyle w:val="29"/>
                      <w:rFonts w:hint="eastAsia" w:ascii="方正仿宋_GBK" w:hAnsi="方正仿宋_GBK" w:eastAsia="方正仿宋_GBK" w:cs="方正仿宋_GBK"/>
                      <w:b/>
                      <w:bCs/>
                      <w:highlight w:val="none"/>
                      <w:lang w:bidi="ar"/>
                    </w:rPr>
                    <w:t>Pb</w:t>
                  </w:r>
                  <w:r>
                    <w:rPr>
                      <w:rStyle w:val="27"/>
                      <w:rFonts w:hint="eastAsia" w:ascii="方正仿宋_GBK" w:hAnsi="方正仿宋_GBK" w:eastAsia="方正仿宋_GBK" w:cs="方正仿宋_GBK"/>
                      <w:b/>
                      <w:bCs/>
                      <w:highlight w:val="none"/>
                      <w:lang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16366">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≤0.01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DF8E4">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5750.6-2023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97283">
                  <w:pPr>
                    <w:jc w:val="center"/>
                    <w:rPr>
                      <w:rFonts w:hint="eastAsia" w:ascii="方正仿宋_GBK" w:hAnsi="方正仿宋_GBK" w:eastAsia="方正仿宋_GBK" w:cs="方正仿宋_GBK"/>
                      <w:b/>
                      <w:bCs/>
                      <w:color w:val="404040"/>
                      <w:sz w:val="18"/>
                      <w:szCs w:val="18"/>
                      <w:highlight w:val="none"/>
                    </w:rPr>
                  </w:pPr>
                </w:p>
              </w:tc>
            </w:tr>
            <w:tr w14:paraId="09A880C0">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B764">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砷（</w:t>
                  </w:r>
                  <w:r>
                    <w:rPr>
                      <w:rStyle w:val="29"/>
                      <w:rFonts w:hint="eastAsia" w:ascii="方正仿宋_GBK" w:hAnsi="方正仿宋_GBK" w:eastAsia="方正仿宋_GBK" w:cs="方正仿宋_GBK"/>
                      <w:b/>
                      <w:bCs/>
                      <w:highlight w:val="none"/>
                      <w:lang w:bidi="ar"/>
                    </w:rPr>
                    <w:t>As</w:t>
                  </w:r>
                  <w:r>
                    <w:rPr>
                      <w:rStyle w:val="27"/>
                      <w:rFonts w:hint="eastAsia" w:ascii="方正仿宋_GBK" w:hAnsi="方正仿宋_GBK" w:eastAsia="方正仿宋_GBK" w:cs="方正仿宋_GBK"/>
                      <w:b/>
                      <w:bCs/>
                      <w:highlight w:val="none"/>
                      <w:lang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D4BDC">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≤0.01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9219">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5750.6-2023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F3995">
                  <w:pPr>
                    <w:jc w:val="center"/>
                    <w:rPr>
                      <w:rFonts w:hint="eastAsia" w:ascii="方正仿宋_GBK" w:hAnsi="方正仿宋_GBK" w:eastAsia="方正仿宋_GBK" w:cs="方正仿宋_GBK"/>
                      <w:b/>
                      <w:bCs/>
                      <w:color w:val="404040"/>
                      <w:sz w:val="18"/>
                      <w:szCs w:val="18"/>
                      <w:highlight w:val="none"/>
                    </w:rPr>
                  </w:pPr>
                </w:p>
              </w:tc>
            </w:tr>
            <w:tr w14:paraId="2AD954BF">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D670">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镉（</w:t>
                  </w:r>
                  <w:r>
                    <w:rPr>
                      <w:rStyle w:val="29"/>
                      <w:rFonts w:hint="eastAsia" w:ascii="方正仿宋_GBK" w:hAnsi="方正仿宋_GBK" w:eastAsia="方正仿宋_GBK" w:cs="方正仿宋_GBK"/>
                      <w:b/>
                      <w:bCs/>
                      <w:color w:val="auto"/>
                      <w:highlight w:val="none"/>
                      <w:lang w:bidi="ar"/>
                    </w:rPr>
                    <w:t>Cd</w:t>
                  </w:r>
                  <w:r>
                    <w:rPr>
                      <w:rStyle w:val="27"/>
                      <w:rFonts w:hint="eastAsia" w:ascii="方正仿宋_GBK" w:hAnsi="方正仿宋_GBK" w:eastAsia="方正仿宋_GBK" w:cs="方正仿宋_GBK"/>
                      <w:b/>
                      <w:bCs/>
                      <w:color w:val="auto"/>
                      <w:highlight w:val="none"/>
                      <w:lang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21AB">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≤0.003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3AC6">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5750.6-2023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06C52">
                  <w:pPr>
                    <w:jc w:val="center"/>
                    <w:rPr>
                      <w:rFonts w:hint="eastAsia" w:ascii="方正仿宋_GBK" w:hAnsi="方正仿宋_GBK" w:eastAsia="方正仿宋_GBK" w:cs="方正仿宋_GBK"/>
                      <w:b/>
                      <w:bCs/>
                      <w:color w:val="404040"/>
                      <w:sz w:val="18"/>
                      <w:szCs w:val="18"/>
                      <w:highlight w:val="none"/>
                    </w:rPr>
                  </w:pPr>
                </w:p>
              </w:tc>
            </w:tr>
            <w:tr w14:paraId="0E0855FE">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9913">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铬（六价）</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14680">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≤0.05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022B4">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5750.6-2023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D5D76">
                  <w:pPr>
                    <w:jc w:val="center"/>
                    <w:rPr>
                      <w:rFonts w:hint="eastAsia" w:ascii="方正仿宋_GBK" w:hAnsi="方正仿宋_GBK" w:eastAsia="方正仿宋_GBK" w:cs="方正仿宋_GBK"/>
                      <w:b/>
                      <w:bCs/>
                      <w:color w:val="000000"/>
                      <w:sz w:val="18"/>
                      <w:szCs w:val="18"/>
                      <w:highlight w:val="none"/>
                    </w:rPr>
                  </w:pPr>
                </w:p>
              </w:tc>
            </w:tr>
            <w:tr w14:paraId="616EAEF8">
              <w:tblPrEx>
                <w:tblCellMar>
                  <w:top w:w="0" w:type="dxa"/>
                  <w:left w:w="108" w:type="dxa"/>
                  <w:bottom w:w="0" w:type="dxa"/>
                  <w:right w:w="108" w:type="dxa"/>
                </w:tblCellMar>
              </w:tblPrEx>
              <w:trPr>
                <w:trHeight w:val="400"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3A37">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24"/>
                      <w:szCs w:val="24"/>
                      <w:highlight w:val="none"/>
                      <w:lang w:bidi="ar"/>
                    </w:rPr>
                    <w:t>消毒副产物</w:t>
                  </w:r>
                </w:p>
              </w:tc>
            </w:tr>
            <w:tr w14:paraId="701BF605">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25602">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三氯甲烷</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B7D9E">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≤0.03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D9FFE">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5750.10-2023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5956">
                  <w:pPr>
                    <w:jc w:val="center"/>
                    <w:rPr>
                      <w:rFonts w:hint="eastAsia" w:ascii="方正仿宋_GBK" w:hAnsi="方正仿宋_GBK" w:eastAsia="方正仿宋_GBK" w:cs="方正仿宋_GBK"/>
                      <w:b/>
                      <w:bCs/>
                      <w:color w:val="404040"/>
                      <w:sz w:val="18"/>
                      <w:szCs w:val="18"/>
                      <w:highlight w:val="none"/>
                    </w:rPr>
                  </w:pPr>
                </w:p>
              </w:tc>
            </w:tr>
            <w:tr w14:paraId="77F68618">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62B58">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亚氯酸盐（</w:t>
                  </w:r>
                  <w:r>
                    <w:rPr>
                      <w:rStyle w:val="29"/>
                      <w:rFonts w:hint="eastAsia" w:ascii="方正仿宋_GBK" w:hAnsi="方正仿宋_GBK" w:eastAsia="方正仿宋_GBK" w:cs="方正仿宋_GBK"/>
                      <w:b/>
                      <w:bCs/>
                      <w:color w:val="auto"/>
                      <w:highlight w:val="none"/>
                      <w:lang w:bidi="ar"/>
                    </w:rPr>
                    <w:t>ClO₂⁻</w:t>
                  </w:r>
                  <w:r>
                    <w:rPr>
                      <w:rStyle w:val="27"/>
                      <w:rFonts w:hint="eastAsia" w:ascii="方正仿宋_GBK" w:hAnsi="方正仿宋_GBK" w:eastAsia="方正仿宋_GBK" w:cs="方正仿宋_GBK"/>
                      <w:b/>
                      <w:bCs/>
                      <w:color w:val="auto"/>
                      <w:highlight w:val="none"/>
                      <w:lang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0C88">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≤0.7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92569">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5750.10-2023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FBC0">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若采用二氧化氯消毒</w:t>
                  </w:r>
                </w:p>
              </w:tc>
            </w:tr>
            <w:tr w14:paraId="13CB165F">
              <w:tblPrEx>
                <w:tblCellMar>
                  <w:top w:w="0" w:type="dxa"/>
                  <w:left w:w="108" w:type="dxa"/>
                  <w:bottom w:w="0" w:type="dxa"/>
                  <w:right w:w="108" w:type="dxa"/>
                </w:tblCellMar>
              </w:tblPrEx>
              <w:trPr>
                <w:trHeight w:val="400"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31F8">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24"/>
                      <w:szCs w:val="24"/>
                      <w:highlight w:val="none"/>
                      <w:lang w:bidi="ar"/>
                    </w:rPr>
                    <w:t>一般化学指标</w:t>
                  </w:r>
                </w:p>
              </w:tc>
            </w:tr>
            <w:tr w14:paraId="00E933C7">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9D5D1">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pH</w:t>
                  </w:r>
                  <w:r>
                    <w:rPr>
                      <w:rStyle w:val="27"/>
                      <w:rFonts w:hint="eastAsia" w:ascii="方正仿宋_GBK" w:hAnsi="方正仿宋_GBK" w:eastAsia="方正仿宋_GBK" w:cs="方正仿宋_GBK"/>
                      <w:b/>
                      <w:bCs/>
                      <w:color w:val="auto"/>
                      <w:highlight w:val="none"/>
                      <w:lang w:bidi="ar"/>
                    </w:rPr>
                    <w:t>值</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813EC">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6.5~8.5</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55EE">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5750.4-2023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9393B">
                  <w:pPr>
                    <w:jc w:val="center"/>
                    <w:rPr>
                      <w:rFonts w:hint="eastAsia" w:ascii="方正仿宋_GBK" w:hAnsi="方正仿宋_GBK" w:eastAsia="方正仿宋_GBK" w:cs="方正仿宋_GBK"/>
                      <w:b/>
                      <w:bCs/>
                      <w:color w:val="404040"/>
                      <w:sz w:val="18"/>
                      <w:szCs w:val="18"/>
                      <w:highlight w:val="none"/>
                    </w:rPr>
                  </w:pPr>
                </w:p>
              </w:tc>
            </w:tr>
            <w:tr w14:paraId="3E1FC3B2">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16133">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总硬度（以</w:t>
                  </w:r>
                  <w:r>
                    <w:rPr>
                      <w:rStyle w:val="29"/>
                      <w:rFonts w:hint="eastAsia" w:ascii="方正仿宋_GBK" w:hAnsi="方正仿宋_GBK" w:eastAsia="方正仿宋_GBK" w:cs="方正仿宋_GBK"/>
                      <w:b/>
                      <w:bCs/>
                      <w:color w:val="auto"/>
                      <w:highlight w:val="none"/>
                      <w:lang w:bidi="ar"/>
                    </w:rPr>
                    <w:t>CaCO₃</w:t>
                  </w:r>
                  <w:r>
                    <w:rPr>
                      <w:rStyle w:val="27"/>
                      <w:rFonts w:hint="eastAsia" w:ascii="方正仿宋_GBK" w:hAnsi="方正仿宋_GBK" w:eastAsia="方正仿宋_GBK" w:cs="方正仿宋_GBK"/>
                      <w:b/>
                      <w:bCs/>
                      <w:color w:val="auto"/>
                      <w:highlight w:val="none"/>
                      <w:lang w:bidi="ar"/>
                    </w:rPr>
                    <w:t>计）</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1A9CB">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≤300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7042D">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5750.4-2023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7CD3">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建议控制（国标</w:t>
                  </w:r>
                  <w:r>
                    <w:rPr>
                      <w:rStyle w:val="29"/>
                      <w:rFonts w:hint="eastAsia" w:ascii="方正仿宋_GBK" w:hAnsi="方正仿宋_GBK" w:eastAsia="方正仿宋_GBK" w:cs="方正仿宋_GBK"/>
                      <w:b/>
                      <w:bCs/>
                      <w:highlight w:val="none"/>
                      <w:lang w:bidi="ar"/>
                    </w:rPr>
                    <w:t>≤450</w:t>
                  </w:r>
                  <w:r>
                    <w:rPr>
                      <w:rStyle w:val="27"/>
                      <w:rFonts w:hint="eastAsia" w:ascii="方正仿宋_GBK" w:hAnsi="方正仿宋_GBK" w:eastAsia="方正仿宋_GBK" w:cs="方正仿宋_GBK"/>
                      <w:b/>
                      <w:bCs/>
                      <w:highlight w:val="none"/>
                      <w:lang w:bidi="ar"/>
                    </w:rPr>
                    <w:t>）</w:t>
                  </w:r>
                </w:p>
              </w:tc>
            </w:tr>
            <w:tr w14:paraId="091E0C4A">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C9334">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TDS</w:t>
                  </w:r>
                  <w:r>
                    <w:rPr>
                      <w:rStyle w:val="27"/>
                      <w:rFonts w:hint="eastAsia" w:ascii="方正仿宋_GBK" w:hAnsi="方正仿宋_GBK" w:eastAsia="方正仿宋_GBK" w:cs="方正仿宋_GBK"/>
                      <w:b/>
                      <w:bCs/>
                      <w:color w:val="auto"/>
                      <w:highlight w:val="none"/>
                      <w:lang w:bidi="ar"/>
                    </w:rPr>
                    <w:t>（总溶解固体）</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26557">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≤500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5FD66">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5750.4-2023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5E64">
                  <w:pPr>
                    <w:widowControl/>
                    <w:jc w:val="center"/>
                    <w:textAlignment w:val="center"/>
                    <w:rPr>
                      <w:rFonts w:hint="eastAsia" w:ascii="方正仿宋_GBK" w:hAnsi="方正仿宋_GBK" w:eastAsia="方正仿宋_GBK" w:cs="方正仿宋_GBK"/>
                      <w:b/>
                      <w:bCs/>
                      <w:strike/>
                      <w:color w:val="404040"/>
                      <w:sz w:val="18"/>
                      <w:szCs w:val="18"/>
                      <w:highlight w:val="none"/>
                    </w:rPr>
                  </w:pPr>
                </w:p>
              </w:tc>
            </w:tr>
            <w:tr w14:paraId="105EDCB1">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ADDF">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耗氧量（</w:t>
                  </w:r>
                  <w:r>
                    <w:rPr>
                      <w:rStyle w:val="29"/>
                      <w:rFonts w:hint="eastAsia" w:ascii="方正仿宋_GBK" w:hAnsi="方正仿宋_GBK" w:eastAsia="方正仿宋_GBK" w:cs="方正仿宋_GBK"/>
                      <w:b/>
                      <w:bCs/>
                      <w:color w:val="auto"/>
                      <w:highlight w:val="none"/>
                      <w:lang w:bidi="ar"/>
                    </w:rPr>
                    <w:t>COD</w:t>
                  </w:r>
                  <w:r>
                    <w:rPr>
                      <w:rStyle w:val="35"/>
                      <w:rFonts w:hint="eastAsia" w:ascii="方正仿宋_GBK" w:hAnsi="方正仿宋_GBK" w:eastAsia="方正仿宋_GBK" w:cs="方正仿宋_GBK"/>
                      <w:b/>
                      <w:bCs/>
                      <w:color w:val="auto"/>
                      <w:highlight w:val="none"/>
                      <w:lang w:bidi="ar"/>
                    </w:rPr>
                    <w:t>ₘₙ</w:t>
                  </w:r>
                  <w:r>
                    <w:rPr>
                      <w:rStyle w:val="27"/>
                      <w:rFonts w:hint="eastAsia" w:ascii="方正仿宋_GBK" w:hAnsi="方正仿宋_GBK" w:eastAsia="方正仿宋_GBK" w:cs="方正仿宋_GBK"/>
                      <w:b/>
                      <w:bCs/>
                      <w:color w:val="auto"/>
                      <w:highlight w:val="none"/>
                      <w:lang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BA87D">
                  <w:pPr>
                    <w:widowControl/>
                    <w:jc w:val="center"/>
                    <w:textAlignment w:val="center"/>
                    <w:rPr>
                      <w:rFonts w:hint="eastAsia" w:ascii="方正仿宋_GBK" w:hAnsi="方正仿宋_GBK" w:eastAsia="方正仿宋_GBK" w:cs="方正仿宋_GBK"/>
                      <w:b/>
                      <w:bCs/>
                      <w:color w:val="auto"/>
                      <w:sz w:val="18"/>
                      <w:szCs w:val="18"/>
                      <w:highlight w:val="none"/>
                    </w:rPr>
                  </w:pPr>
                  <w:r>
                    <w:rPr>
                      <w:rFonts w:hint="eastAsia" w:ascii="方正仿宋_GBK" w:hAnsi="方正仿宋_GBK" w:eastAsia="方正仿宋_GBK" w:cs="方正仿宋_GBK"/>
                      <w:b/>
                      <w:bCs/>
                      <w:color w:val="auto"/>
                      <w:kern w:val="0"/>
                      <w:sz w:val="18"/>
                      <w:szCs w:val="18"/>
                      <w:highlight w:val="none"/>
                      <w:lang w:bidi="ar"/>
                    </w:rPr>
                    <w:t>≤2.0 mg/L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A6CBA">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5750.7-2023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CA57C">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表征有机物含量</w:t>
                  </w:r>
                </w:p>
              </w:tc>
            </w:tr>
            <w:tr w14:paraId="15D56A55">
              <w:tblPrEx>
                <w:tblCellMar>
                  <w:top w:w="0" w:type="dxa"/>
                  <w:left w:w="108" w:type="dxa"/>
                  <w:bottom w:w="0" w:type="dxa"/>
                  <w:right w:w="108" w:type="dxa"/>
                </w:tblCellMar>
              </w:tblPrEx>
              <w:trPr>
                <w:trHeight w:val="400"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F06459">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24"/>
                      <w:szCs w:val="24"/>
                      <w:highlight w:val="none"/>
                      <w:lang w:bidi="ar"/>
                    </w:rPr>
                    <w:t>放射性指标</w:t>
                  </w:r>
                </w:p>
              </w:tc>
            </w:tr>
            <w:tr w14:paraId="28A0D24E">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D99E">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总</w:t>
                  </w:r>
                  <w:r>
                    <w:rPr>
                      <w:rStyle w:val="29"/>
                      <w:rFonts w:hint="eastAsia" w:ascii="方正仿宋_GBK" w:hAnsi="方正仿宋_GBK" w:eastAsia="方正仿宋_GBK" w:cs="方正仿宋_GBK"/>
                      <w:b/>
                      <w:bCs/>
                      <w:highlight w:val="none"/>
                      <w:lang w:bidi="ar"/>
                    </w:rPr>
                    <w:t>α</w:t>
                  </w:r>
                  <w:r>
                    <w:rPr>
                      <w:rStyle w:val="27"/>
                      <w:rFonts w:hint="eastAsia" w:ascii="方正仿宋_GBK" w:hAnsi="方正仿宋_GBK" w:eastAsia="方正仿宋_GBK" w:cs="方正仿宋_GBK"/>
                      <w:b/>
                      <w:bCs/>
                      <w:highlight w:val="none"/>
                      <w:lang w:bidi="ar"/>
                    </w:rPr>
                    <w:t>放射性</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C2E8B">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≤0.5 Bq/L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DB012">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5750.13-2023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74C17">
                  <w:pPr>
                    <w:jc w:val="center"/>
                    <w:rPr>
                      <w:rFonts w:hint="eastAsia" w:ascii="方正仿宋_GBK" w:hAnsi="方正仿宋_GBK" w:eastAsia="方正仿宋_GBK" w:cs="方正仿宋_GBK"/>
                      <w:b/>
                      <w:bCs/>
                      <w:color w:val="404040"/>
                      <w:sz w:val="18"/>
                      <w:szCs w:val="18"/>
                      <w:highlight w:val="none"/>
                    </w:rPr>
                  </w:pPr>
                </w:p>
              </w:tc>
            </w:tr>
            <w:tr w14:paraId="16B1A2B1">
              <w:tblPrEx>
                <w:tblCellMar>
                  <w:top w:w="0" w:type="dxa"/>
                  <w:left w:w="108" w:type="dxa"/>
                  <w:bottom w:w="0" w:type="dxa"/>
                  <w:right w:w="108" w:type="dxa"/>
                </w:tblCellMar>
              </w:tblPrEx>
              <w:trPr>
                <w:trHeight w:val="270" w:hRule="atLeast"/>
              </w:trPr>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26952">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总</w:t>
                  </w:r>
                  <w:r>
                    <w:rPr>
                      <w:rStyle w:val="29"/>
                      <w:rFonts w:hint="eastAsia" w:ascii="方正仿宋_GBK" w:hAnsi="方正仿宋_GBK" w:eastAsia="方正仿宋_GBK" w:cs="方正仿宋_GBK"/>
                      <w:b/>
                      <w:bCs/>
                      <w:highlight w:val="none"/>
                      <w:lang w:bidi="ar"/>
                    </w:rPr>
                    <w:t>β</w:t>
                  </w:r>
                  <w:r>
                    <w:rPr>
                      <w:rStyle w:val="27"/>
                      <w:rFonts w:hint="eastAsia" w:ascii="方正仿宋_GBK" w:hAnsi="方正仿宋_GBK" w:eastAsia="方正仿宋_GBK" w:cs="方正仿宋_GBK"/>
                      <w:b/>
                      <w:bCs/>
                      <w:highlight w:val="none"/>
                      <w:lang w:bidi="ar"/>
                    </w:rPr>
                    <w:t>放射性</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DE6CB">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≤1.0 Bq/L</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1077F">
                  <w:pPr>
                    <w:widowControl/>
                    <w:jc w:val="center"/>
                    <w:textAlignment w:val="center"/>
                    <w:rPr>
                      <w:rFonts w:hint="eastAsia" w:ascii="方正仿宋_GBK" w:hAnsi="方正仿宋_GBK" w:eastAsia="方正仿宋_GBK" w:cs="方正仿宋_GBK"/>
                      <w:b/>
                      <w:bCs/>
                      <w:color w:val="404040"/>
                      <w:sz w:val="18"/>
                      <w:szCs w:val="18"/>
                      <w:highlight w:val="none"/>
                    </w:rPr>
                  </w:pPr>
                  <w:r>
                    <w:rPr>
                      <w:rFonts w:hint="eastAsia" w:ascii="方正仿宋_GBK" w:hAnsi="方正仿宋_GBK" w:eastAsia="方正仿宋_GBK" w:cs="方正仿宋_GBK"/>
                      <w:b/>
                      <w:bCs/>
                      <w:color w:val="404040"/>
                      <w:kern w:val="0"/>
                      <w:sz w:val="18"/>
                      <w:szCs w:val="18"/>
                      <w:highlight w:val="none"/>
                      <w:lang w:bidi="ar"/>
                    </w:rPr>
                    <w:t>GB/T 5750.13-2023</w:t>
                  </w:r>
                </w:p>
              </w:tc>
              <w:tc>
                <w:tcPr>
                  <w:tcW w:w="25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BABD2">
                  <w:pPr>
                    <w:jc w:val="center"/>
                    <w:rPr>
                      <w:rFonts w:hint="eastAsia" w:ascii="方正仿宋_GBK" w:hAnsi="方正仿宋_GBK" w:eastAsia="方正仿宋_GBK" w:cs="方正仿宋_GBK"/>
                      <w:b/>
                      <w:bCs/>
                      <w:color w:val="000000"/>
                      <w:sz w:val="18"/>
                      <w:szCs w:val="18"/>
                      <w:highlight w:val="none"/>
                    </w:rPr>
                  </w:pPr>
                </w:p>
              </w:tc>
            </w:tr>
          </w:tbl>
          <w:p w14:paraId="7D5CE6F9">
            <w:pPr>
              <w:widowControl/>
              <w:spacing w:line="300" w:lineRule="exact"/>
              <w:jc w:val="left"/>
              <w:rPr>
                <w:rFonts w:hint="eastAsia" w:ascii="方正仿宋_GBK" w:hAnsi="方正仿宋_GBK" w:eastAsia="方正仿宋_GBK" w:cs="方正仿宋_GBK"/>
                <w:b/>
                <w:bCs/>
                <w:kern w:val="0"/>
                <w:sz w:val="24"/>
                <w:szCs w:val="24"/>
                <w:highlight w:val="none"/>
              </w:rPr>
            </w:pPr>
          </w:p>
          <w:p w14:paraId="7F592DEA">
            <w:pPr>
              <w:widowControl/>
              <w:snapToGrid/>
              <w:spacing w:line="360" w:lineRule="auto"/>
              <w:jc w:val="left"/>
              <w:rPr>
                <w:rFonts w:hint="eastAsia"/>
                <w:b w:val="0"/>
                <w:bCs w:val="0"/>
              </w:rPr>
            </w:pPr>
            <w:r>
              <w:rPr>
                <w:rFonts w:hint="eastAsia" w:ascii="方正仿宋_GBK" w:hAnsi="方正仿宋_GBK" w:eastAsia="方正仿宋_GBK" w:cs="方正仿宋_GBK"/>
                <w:b w:val="0"/>
                <w:bCs w:val="0"/>
                <w:kern w:val="0"/>
                <w:sz w:val="28"/>
                <w:szCs w:val="28"/>
                <w:highlight w:val="none"/>
              </w:rPr>
              <w:t>（</w:t>
            </w:r>
            <w:r>
              <w:rPr>
                <w:rFonts w:hint="eastAsia" w:ascii="方正仿宋_GBK" w:hAnsi="方正仿宋_GBK" w:eastAsia="方正仿宋_GBK" w:cs="方正仿宋_GBK"/>
                <w:b w:val="0"/>
                <w:bCs w:val="0"/>
                <w:kern w:val="0"/>
                <w:sz w:val="28"/>
                <w:szCs w:val="28"/>
                <w:highlight w:val="none"/>
                <w:u w:val="none"/>
              </w:rPr>
              <w:t>符合GB 5749-2022《生活饮用水卫生标准》和CJ 94-2005《饮用净水水质标准》严控要求</w:t>
            </w:r>
            <w:r>
              <w:rPr>
                <w:rFonts w:hint="eastAsia" w:ascii="方正仿宋_GBK" w:hAnsi="方正仿宋_GBK" w:eastAsia="方正仿宋_GBK" w:cs="方正仿宋_GBK"/>
                <w:b w:val="0"/>
                <w:bCs w:val="0"/>
                <w:kern w:val="0"/>
                <w:sz w:val="28"/>
                <w:szCs w:val="28"/>
                <w:highlight w:val="none"/>
              </w:rPr>
              <w:t>）</w:t>
            </w:r>
          </w:p>
          <w:p w14:paraId="58E82C8A">
            <w:pPr>
              <w:widowControl/>
              <w:spacing w:line="300" w:lineRule="exact"/>
              <w:jc w:val="left"/>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 xml:space="preserve">1.工艺说明：  </w:t>
            </w:r>
          </w:p>
          <w:p w14:paraId="5CDF34A9">
            <w:pPr>
              <w:widowControl/>
              <w:spacing w:line="300" w:lineRule="exact"/>
              <w:jc w:val="left"/>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val="0"/>
                <w:bCs w:val="0"/>
                <w:kern w:val="0"/>
                <w:sz w:val="24"/>
                <w:szCs w:val="24"/>
                <w:highlight w:val="none"/>
              </w:rPr>
              <w:t xml:space="preserve">设备需采用“预处理+超滤纳滤+臭氧杀菌、紫外线杀菌”工艺，确保稳定性。 </w:t>
            </w:r>
            <w:r>
              <w:rPr>
                <w:rFonts w:hint="eastAsia" w:ascii="方正仿宋_GBK" w:hAnsi="方正仿宋_GBK" w:eastAsia="方正仿宋_GBK" w:cs="方正仿宋_GBK"/>
                <w:b/>
                <w:bCs/>
                <w:kern w:val="0"/>
                <w:sz w:val="24"/>
                <w:szCs w:val="24"/>
                <w:highlight w:val="none"/>
              </w:rPr>
              <w:t xml:space="preserve">  </w:t>
            </w:r>
          </w:p>
          <w:p w14:paraId="7BEB7647">
            <w:pPr>
              <w:widowControl/>
              <w:spacing w:line="300" w:lineRule="exact"/>
              <w:jc w:val="left"/>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 xml:space="preserve">2. 检测与验收：  </w:t>
            </w:r>
          </w:p>
          <w:p w14:paraId="766B6FE7">
            <w:pPr>
              <w:widowControl/>
              <w:spacing w:line="300" w:lineRule="exact"/>
              <w:jc w:val="left"/>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rPr>
              <w:t xml:space="preserve">安装完成后需由第三方检测机构按上表全项检测，并出具CMA认证报告。  </w:t>
            </w:r>
          </w:p>
          <w:p w14:paraId="30624B7D">
            <w:pPr>
              <w:widowControl/>
              <w:spacing w:line="300" w:lineRule="exact"/>
              <w:jc w:val="left"/>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val="0"/>
                <w:bCs w:val="0"/>
                <w:kern w:val="0"/>
                <w:sz w:val="24"/>
                <w:szCs w:val="24"/>
                <w:highlight w:val="none"/>
              </w:rPr>
              <w:t>日常运维中每周检测微生物、浊度、电导率等关键指标。</w:t>
            </w:r>
            <w:r>
              <w:rPr>
                <w:rFonts w:hint="eastAsia" w:ascii="方正仿宋_GBK" w:hAnsi="方正仿宋_GBK" w:eastAsia="方正仿宋_GBK" w:cs="方正仿宋_GBK"/>
                <w:b/>
                <w:bCs/>
                <w:kern w:val="0"/>
                <w:sz w:val="24"/>
                <w:szCs w:val="24"/>
                <w:highlight w:val="none"/>
              </w:rPr>
              <w:t xml:space="preserve">  </w:t>
            </w:r>
          </w:p>
          <w:p w14:paraId="501F5903">
            <w:pPr>
              <w:widowControl/>
              <w:spacing w:line="300" w:lineRule="exact"/>
              <w:jc w:val="left"/>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 xml:space="preserve">3. 设备要求：  </w:t>
            </w:r>
          </w:p>
          <w:p w14:paraId="790097AD">
            <w:pPr>
              <w:widowControl/>
              <w:spacing w:line="300" w:lineRule="exact"/>
              <w:jc w:val="left"/>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rPr>
              <w:t xml:space="preserve">材质符合《生活饮用水输配水设备及防护材料卫生安全评价规范》。  </w:t>
            </w:r>
          </w:p>
          <w:p w14:paraId="11393A6F">
            <w:pPr>
              <w:widowControl/>
              <w:spacing w:line="300" w:lineRule="exact"/>
              <w:jc w:val="left"/>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rPr>
              <w:t xml:space="preserve">配备在线水质监测仪（实时监测电导率、浊度、余氯）。 </w:t>
            </w:r>
          </w:p>
          <w:p w14:paraId="47A64DBA">
            <w:pPr>
              <w:widowControl/>
              <w:spacing w:line="300" w:lineRule="exact"/>
              <w:jc w:val="left"/>
              <w:rPr>
                <w:rFonts w:hint="eastAsia" w:ascii="仿宋_GB2312" w:eastAsia="仿宋_GB2312"/>
                <w:kern w:val="0"/>
                <w:sz w:val="24"/>
                <w:szCs w:val="24"/>
              </w:rPr>
            </w:pPr>
            <w:r>
              <w:rPr>
                <w:rFonts w:hint="eastAsia" w:ascii="仿宋_GB2312" w:eastAsia="仿宋_GB2312"/>
                <w:kern w:val="0"/>
                <w:sz w:val="24"/>
                <w:szCs w:val="24"/>
                <w:highlight w:val="none"/>
              </w:rPr>
              <w:t xml:space="preserve"> </w:t>
            </w:r>
          </w:p>
          <w:p w14:paraId="4A0C367B">
            <w:pPr>
              <w:widowControl/>
              <w:spacing w:line="300" w:lineRule="exact"/>
              <w:jc w:val="left"/>
              <w:rPr>
                <w:rFonts w:ascii="仿宋_GB2312" w:eastAsia="仿宋_GB2312"/>
                <w:kern w:val="0"/>
                <w:sz w:val="20"/>
                <w:szCs w:val="21"/>
              </w:rPr>
            </w:pPr>
            <w:r>
              <w:rPr>
                <w:rFonts w:hint="eastAsia" w:ascii="仿宋_GB2312" w:eastAsia="仿宋_GB2312"/>
                <w:kern w:val="0"/>
                <w:sz w:val="20"/>
                <w:szCs w:val="21"/>
              </w:rPr>
              <w:t xml:space="preserve"> </w:t>
            </w:r>
          </w:p>
          <w:p w14:paraId="1A0D3B8A">
            <w:pPr>
              <w:widowControl/>
              <w:spacing w:line="300" w:lineRule="exact"/>
              <w:ind w:firstLine="465"/>
              <w:jc w:val="left"/>
              <w:rPr>
                <w:rFonts w:ascii="仿宋_GB2312" w:eastAsia="仿宋_GB2312"/>
                <w:kern w:val="0"/>
                <w:sz w:val="20"/>
                <w:szCs w:val="21"/>
              </w:rPr>
            </w:pPr>
          </w:p>
          <w:p w14:paraId="257C8168">
            <w:pPr>
              <w:widowControl/>
              <w:spacing w:line="300" w:lineRule="exact"/>
              <w:ind w:firstLine="465"/>
              <w:jc w:val="left"/>
              <w:rPr>
                <w:rFonts w:ascii="仿宋_GB2312" w:eastAsia="仿宋_GB2312"/>
                <w:kern w:val="0"/>
                <w:sz w:val="20"/>
                <w:szCs w:val="21"/>
              </w:rPr>
            </w:pPr>
          </w:p>
          <w:p w14:paraId="16C879CD">
            <w:pPr>
              <w:widowControl/>
              <w:spacing w:line="300" w:lineRule="exact"/>
              <w:ind w:firstLine="465"/>
              <w:jc w:val="left"/>
              <w:rPr>
                <w:rFonts w:ascii="仿宋_GB2312" w:eastAsia="仿宋_GB2312"/>
                <w:kern w:val="0"/>
                <w:sz w:val="20"/>
                <w:szCs w:val="21"/>
              </w:rPr>
            </w:pPr>
          </w:p>
          <w:p w14:paraId="3641DD0F">
            <w:pPr>
              <w:widowControl/>
              <w:spacing w:line="300" w:lineRule="exact"/>
              <w:ind w:firstLine="465"/>
              <w:jc w:val="left"/>
              <w:rPr>
                <w:rFonts w:ascii="仿宋_GB2312" w:eastAsia="仿宋_GB2312"/>
                <w:kern w:val="0"/>
                <w:sz w:val="20"/>
                <w:szCs w:val="21"/>
              </w:rPr>
            </w:pPr>
          </w:p>
          <w:p w14:paraId="001AC964">
            <w:pPr>
              <w:widowControl/>
              <w:spacing w:line="300" w:lineRule="exact"/>
              <w:ind w:firstLine="465"/>
              <w:jc w:val="left"/>
              <w:rPr>
                <w:rFonts w:ascii="仿宋_GB2312" w:eastAsia="仿宋_GB2312"/>
                <w:kern w:val="0"/>
                <w:sz w:val="20"/>
                <w:szCs w:val="21"/>
              </w:rPr>
            </w:pPr>
          </w:p>
          <w:p w14:paraId="525A7CB7">
            <w:pPr>
              <w:widowControl/>
              <w:spacing w:line="300" w:lineRule="exact"/>
              <w:ind w:firstLine="465"/>
              <w:jc w:val="left"/>
              <w:rPr>
                <w:rFonts w:ascii="仿宋_GB2312" w:eastAsia="仿宋_GB2312"/>
                <w:kern w:val="0"/>
                <w:sz w:val="20"/>
                <w:szCs w:val="21"/>
              </w:rPr>
            </w:pPr>
          </w:p>
          <w:p w14:paraId="3CE205BC">
            <w:pPr>
              <w:widowControl/>
              <w:spacing w:line="300" w:lineRule="exact"/>
              <w:ind w:firstLine="465"/>
              <w:jc w:val="left"/>
              <w:rPr>
                <w:rFonts w:ascii="仿宋_GB2312" w:eastAsia="仿宋_GB2312"/>
                <w:kern w:val="0"/>
                <w:sz w:val="20"/>
                <w:szCs w:val="21"/>
              </w:rPr>
            </w:pPr>
          </w:p>
          <w:p w14:paraId="7259171C">
            <w:pPr>
              <w:widowControl/>
              <w:spacing w:line="300" w:lineRule="exact"/>
              <w:ind w:firstLine="465"/>
              <w:jc w:val="left"/>
              <w:rPr>
                <w:rFonts w:ascii="仿宋_GB2312" w:eastAsia="仿宋_GB2312"/>
                <w:kern w:val="0"/>
                <w:sz w:val="20"/>
                <w:szCs w:val="21"/>
              </w:rPr>
            </w:pPr>
          </w:p>
          <w:p w14:paraId="4923F9EE">
            <w:pPr>
              <w:widowControl/>
              <w:spacing w:line="300" w:lineRule="exact"/>
              <w:ind w:firstLine="465"/>
              <w:jc w:val="left"/>
              <w:rPr>
                <w:rFonts w:ascii="仿宋_GB2312" w:eastAsia="仿宋_GB2312"/>
                <w:kern w:val="0"/>
                <w:sz w:val="20"/>
                <w:szCs w:val="21"/>
              </w:rPr>
            </w:pPr>
          </w:p>
          <w:p w14:paraId="1A8BB09E">
            <w:pPr>
              <w:widowControl/>
              <w:spacing w:line="300" w:lineRule="exact"/>
              <w:ind w:firstLine="465"/>
              <w:jc w:val="left"/>
              <w:rPr>
                <w:rFonts w:ascii="仿宋_GB2312" w:eastAsia="仿宋_GB2312"/>
                <w:kern w:val="0"/>
                <w:sz w:val="20"/>
                <w:szCs w:val="21"/>
              </w:rPr>
            </w:pPr>
          </w:p>
          <w:p w14:paraId="3BE55951">
            <w:pPr>
              <w:widowControl/>
              <w:spacing w:line="300" w:lineRule="exact"/>
              <w:ind w:firstLine="465"/>
              <w:jc w:val="left"/>
              <w:rPr>
                <w:rFonts w:ascii="仿宋_GB2312" w:eastAsia="仿宋_GB2312"/>
                <w:kern w:val="0"/>
                <w:sz w:val="20"/>
                <w:szCs w:val="21"/>
              </w:rPr>
            </w:pPr>
          </w:p>
          <w:p w14:paraId="6944AC9E">
            <w:pPr>
              <w:widowControl/>
              <w:spacing w:line="300" w:lineRule="exact"/>
              <w:ind w:firstLine="465"/>
              <w:jc w:val="left"/>
              <w:rPr>
                <w:rFonts w:ascii="仿宋_GB2312" w:eastAsia="仿宋_GB2312"/>
                <w:kern w:val="0"/>
                <w:sz w:val="20"/>
                <w:szCs w:val="21"/>
              </w:rPr>
            </w:pPr>
          </w:p>
          <w:p w14:paraId="430C30F6">
            <w:pPr>
              <w:widowControl/>
              <w:spacing w:line="300" w:lineRule="exact"/>
              <w:ind w:firstLine="465"/>
              <w:jc w:val="left"/>
              <w:rPr>
                <w:rFonts w:ascii="仿宋_GB2312" w:eastAsia="仿宋_GB2312"/>
                <w:kern w:val="0"/>
                <w:sz w:val="20"/>
                <w:szCs w:val="21"/>
              </w:rPr>
            </w:pPr>
          </w:p>
          <w:p w14:paraId="6EE9985F">
            <w:pPr>
              <w:widowControl/>
              <w:spacing w:line="300" w:lineRule="exact"/>
              <w:ind w:firstLine="465"/>
              <w:jc w:val="left"/>
              <w:rPr>
                <w:rFonts w:ascii="仿宋_GB2312" w:eastAsia="仿宋_GB2312"/>
                <w:kern w:val="0"/>
                <w:sz w:val="20"/>
                <w:szCs w:val="21"/>
              </w:rPr>
            </w:pPr>
          </w:p>
          <w:p w14:paraId="790E8CEA">
            <w:pPr>
              <w:widowControl/>
              <w:spacing w:line="300" w:lineRule="exact"/>
              <w:ind w:firstLine="465"/>
              <w:jc w:val="left"/>
              <w:rPr>
                <w:rFonts w:ascii="仿宋_GB2312" w:eastAsia="仿宋_GB2312"/>
                <w:kern w:val="0"/>
                <w:sz w:val="20"/>
                <w:szCs w:val="21"/>
              </w:rPr>
            </w:pPr>
          </w:p>
          <w:p w14:paraId="3E858D33">
            <w:pPr>
              <w:widowControl/>
              <w:spacing w:line="300" w:lineRule="exact"/>
              <w:ind w:firstLine="465"/>
              <w:jc w:val="left"/>
              <w:rPr>
                <w:rFonts w:ascii="仿宋_GB2312" w:eastAsia="仿宋_GB2312"/>
                <w:kern w:val="0"/>
                <w:sz w:val="20"/>
                <w:szCs w:val="21"/>
              </w:rPr>
            </w:pPr>
          </w:p>
          <w:p w14:paraId="206F16BA">
            <w:pPr>
              <w:widowControl/>
              <w:spacing w:line="300" w:lineRule="exact"/>
              <w:ind w:firstLine="465"/>
              <w:jc w:val="left"/>
              <w:rPr>
                <w:rFonts w:ascii="仿宋_GB2312" w:eastAsia="仿宋_GB2312"/>
                <w:kern w:val="0"/>
                <w:sz w:val="20"/>
                <w:szCs w:val="21"/>
              </w:rPr>
            </w:pPr>
          </w:p>
          <w:p w14:paraId="0A6138B0">
            <w:pPr>
              <w:widowControl/>
              <w:spacing w:line="300" w:lineRule="exact"/>
              <w:ind w:firstLine="465"/>
              <w:jc w:val="left"/>
              <w:rPr>
                <w:rFonts w:ascii="仿宋_GB2312" w:eastAsia="仿宋_GB2312"/>
                <w:kern w:val="0"/>
                <w:sz w:val="20"/>
                <w:szCs w:val="21"/>
              </w:rPr>
            </w:pPr>
          </w:p>
          <w:p w14:paraId="42C34DDF">
            <w:pPr>
              <w:widowControl/>
              <w:spacing w:line="300" w:lineRule="exact"/>
              <w:ind w:firstLine="465"/>
              <w:jc w:val="left"/>
              <w:rPr>
                <w:rFonts w:ascii="仿宋_GB2312" w:eastAsia="仿宋_GB2312"/>
                <w:kern w:val="0"/>
                <w:sz w:val="20"/>
                <w:szCs w:val="21"/>
              </w:rPr>
            </w:pPr>
          </w:p>
          <w:p w14:paraId="14A1E82B">
            <w:pPr>
              <w:widowControl/>
              <w:spacing w:line="300" w:lineRule="exact"/>
              <w:ind w:firstLine="465"/>
              <w:jc w:val="left"/>
              <w:rPr>
                <w:rFonts w:ascii="仿宋_GB2312" w:eastAsia="仿宋_GB2312"/>
                <w:kern w:val="0"/>
                <w:sz w:val="20"/>
                <w:szCs w:val="21"/>
              </w:rPr>
            </w:pPr>
          </w:p>
          <w:p w14:paraId="79BA5437">
            <w:pPr>
              <w:widowControl/>
              <w:spacing w:line="300" w:lineRule="exact"/>
              <w:ind w:firstLine="465"/>
              <w:jc w:val="left"/>
              <w:rPr>
                <w:rFonts w:ascii="仿宋_GB2312" w:eastAsia="仿宋_GB2312"/>
                <w:kern w:val="0"/>
                <w:sz w:val="20"/>
                <w:szCs w:val="21"/>
              </w:rPr>
            </w:pPr>
          </w:p>
          <w:p w14:paraId="57DD1F2E">
            <w:pPr>
              <w:widowControl/>
              <w:spacing w:line="300" w:lineRule="exact"/>
              <w:ind w:firstLine="465"/>
              <w:jc w:val="left"/>
              <w:rPr>
                <w:rFonts w:ascii="仿宋_GB2312" w:eastAsia="仿宋_GB2312"/>
                <w:kern w:val="0"/>
                <w:sz w:val="20"/>
                <w:szCs w:val="21"/>
              </w:rPr>
            </w:pPr>
          </w:p>
          <w:p w14:paraId="7DCA903E">
            <w:pPr>
              <w:widowControl/>
              <w:spacing w:line="300" w:lineRule="exact"/>
              <w:ind w:firstLine="465"/>
              <w:jc w:val="left"/>
              <w:rPr>
                <w:rFonts w:ascii="仿宋_GB2312" w:eastAsia="仿宋_GB2312"/>
                <w:kern w:val="0"/>
                <w:sz w:val="20"/>
                <w:szCs w:val="21"/>
              </w:rPr>
            </w:pPr>
          </w:p>
        </w:tc>
      </w:tr>
      <w:tr w14:paraId="7B73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2" w:hRule="exact"/>
        </w:trPr>
        <w:tc>
          <w:tcPr>
            <w:tcW w:w="5000" w:type="pct"/>
            <w:tcBorders>
              <w:top w:val="single" w:color="auto" w:sz="4" w:space="0"/>
              <w:left w:val="single" w:color="auto" w:sz="4" w:space="0"/>
              <w:bottom w:val="single" w:color="auto" w:sz="4" w:space="0"/>
              <w:right w:val="single" w:color="auto" w:sz="4" w:space="0"/>
            </w:tcBorders>
            <w:vAlign w:val="top"/>
          </w:tcPr>
          <w:p w14:paraId="67E00C50">
            <w:pPr>
              <w:widowControl/>
              <w:spacing w:line="300" w:lineRule="exact"/>
              <w:jc w:val="left"/>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1、PP纤维滤芯</w:t>
            </w:r>
          </w:p>
          <w:p w14:paraId="6F9E2B56">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lang w:eastAsia="zh-CN"/>
              </w:rPr>
              <w:t>需</w:t>
            </w:r>
            <w:r>
              <w:rPr>
                <w:rFonts w:hint="eastAsia" w:ascii="方正仿宋_GBK" w:hAnsi="方正仿宋_GBK" w:eastAsia="方正仿宋_GBK" w:cs="方正仿宋_GBK"/>
                <w:b w:val="0"/>
                <w:bCs w:val="0"/>
                <w:color w:val="auto"/>
                <w:kern w:val="0"/>
                <w:sz w:val="24"/>
                <w:szCs w:val="24"/>
                <w:highlight w:val="none"/>
              </w:rPr>
              <w:t>配置多级PP纤维滤芯，过滤精度需达到1μm及0.22μm两级</w:t>
            </w:r>
            <w:r>
              <w:rPr>
                <w:rFonts w:hint="eastAsia" w:ascii="方正仿宋_GBK" w:hAnsi="方正仿宋_GBK" w:eastAsia="方正仿宋_GBK" w:cs="方正仿宋_GBK"/>
                <w:b w:val="0"/>
                <w:bCs w:val="0"/>
                <w:color w:val="auto"/>
                <w:kern w:val="0"/>
                <w:sz w:val="24"/>
                <w:szCs w:val="24"/>
                <w:highlight w:val="none"/>
                <w:lang w:eastAsia="zh-CN"/>
              </w:rPr>
              <w:t>，</w:t>
            </w:r>
            <w:r>
              <w:rPr>
                <w:rFonts w:hint="eastAsia" w:ascii="方正仿宋_GBK" w:hAnsi="方正仿宋_GBK" w:eastAsia="方正仿宋_GBK" w:cs="方正仿宋_GBK"/>
                <w:b w:val="0"/>
                <w:bCs w:val="0"/>
                <w:color w:val="auto"/>
                <w:kern w:val="0"/>
                <w:sz w:val="24"/>
                <w:szCs w:val="24"/>
                <w:highlight w:val="none"/>
              </w:rPr>
              <w:t>有效去除水源中的1μm或0.22μm以上的悬浮物、泥沙、颗粒杂质。</w:t>
            </w:r>
          </w:p>
          <w:p w14:paraId="0B0F6CF4">
            <w:pPr>
              <w:widowControl/>
              <w:spacing w:line="300" w:lineRule="exact"/>
              <w:jc w:val="left"/>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2、颗粒活性</w:t>
            </w:r>
            <w:r>
              <w:rPr>
                <w:rFonts w:hint="eastAsia" w:ascii="方正仿宋_GBK" w:hAnsi="方正仿宋_GBK" w:eastAsia="方正仿宋_GBK" w:cs="方正仿宋_GBK"/>
                <w:b/>
                <w:bCs/>
                <w:color w:val="auto"/>
                <w:kern w:val="0"/>
                <w:sz w:val="24"/>
                <w:szCs w:val="24"/>
                <w:highlight w:val="none"/>
                <w:lang w:eastAsia="zh-CN"/>
              </w:rPr>
              <w:t>炭</w:t>
            </w:r>
            <w:r>
              <w:rPr>
                <w:rFonts w:hint="eastAsia" w:ascii="方正仿宋_GBK" w:hAnsi="方正仿宋_GBK" w:eastAsia="方正仿宋_GBK" w:cs="方正仿宋_GBK"/>
                <w:b/>
                <w:bCs/>
                <w:color w:val="auto"/>
                <w:kern w:val="0"/>
                <w:sz w:val="24"/>
                <w:szCs w:val="24"/>
                <w:highlight w:val="none"/>
              </w:rPr>
              <w:t>滤</w:t>
            </w:r>
            <w:r>
              <w:rPr>
                <w:rFonts w:hint="eastAsia" w:ascii="方正仿宋_GBK" w:hAnsi="方正仿宋_GBK" w:eastAsia="方正仿宋_GBK" w:cs="方正仿宋_GBK"/>
                <w:b/>
                <w:bCs/>
                <w:color w:val="auto"/>
                <w:kern w:val="0"/>
                <w:sz w:val="24"/>
                <w:szCs w:val="24"/>
                <w:highlight w:val="none"/>
                <w:lang w:eastAsia="zh-CN"/>
              </w:rPr>
              <w:t>芯</w:t>
            </w:r>
          </w:p>
          <w:p w14:paraId="663D9D96">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（1）吸附水中部分有机物，吸附率</w:t>
            </w:r>
            <w:r>
              <w:rPr>
                <w:rFonts w:hint="eastAsia" w:ascii="方正仿宋_GBK" w:hAnsi="方正仿宋_GBK" w:eastAsia="方正仿宋_GBK" w:cs="方正仿宋_GBK"/>
                <w:b w:val="0"/>
                <w:bCs w:val="0"/>
                <w:color w:val="auto"/>
                <w:kern w:val="0"/>
                <w:sz w:val="24"/>
                <w:szCs w:val="24"/>
                <w:highlight w:val="none"/>
                <w:lang w:eastAsia="zh-CN"/>
              </w:rPr>
              <w:t>需达到</w:t>
            </w:r>
            <w:r>
              <w:rPr>
                <w:rFonts w:hint="eastAsia" w:ascii="方正仿宋_GBK" w:hAnsi="方正仿宋_GBK" w:eastAsia="方正仿宋_GBK" w:cs="方正仿宋_GBK"/>
                <w:b w:val="0"/>
                <w:bCs w:val="0"/>
                <w:color w:val="auto"/>
                <w:kern w:val="0"/>
                <w:sz w:val="24"/>
                <w:szCs w:val="24"/>
                <w:highlight w:val="none"/>
              </w:rPr>
              <w:t>60%；（2）吸附水中粒度10～20埃左右的无机胶体、有机胶体、溶解性有机高分子杂质和余氯。活性炭碘吸附值≥1000mg/g，亚甲基蓝吸附率≥135mg/g，强度≥94%。</w:t>
            </w:r>
          </w:p>
          <w:p w14:paraId="11A4D22D">
            <w:pPr>
              <w:widowControl/>
              <w:spacing w:line="300" w:lineRule="exact"/>
              <w:jc w:val="left"/>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3、超滤膜</w:t>
            </w:r>
          </w:p>
          <w:p w14:paraId="21C80CDA">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超滤膜截留分子量</w:t>
            </w:r>
            <w:r>
              <w:rPr>
                <w:rFonts w:hint="eastAsia" w:ascii="方正仿宋_GBK" w:hAnsi="方正仿宋_GBK" w:eastAsia="方正仿宋_GBK" w:cs="方正仿宋_GBK"/>
                <w:b w:val="0"/>
                <w:bCs w:val="0"/>
                <w:color w:val="auto"/>
                <w:kern w:val="0"/>
                <w:sz w:val="24"/>
                <w:szCs w:val="24"/>
                <w:highlight w:val="none"/>
                <w:lang w:eastAsia="zh-CN"/>
              </w:rPr>
              <w:t>需达到</w:t>
            </w:r>
            <w:r>
              <w:rPr>
                <w:rFonts w:hint="eastAsia" w:ascii="方正仿宋_GBK" w:hAnsi="方正仿宋_GBK" w:eastAsia="方正仿宋_GBK" w:cs="方正仿宋_GBK"/>
                <w:b w:val="0"/>
                <w:bCs w:val="0"/>
                <w:color w:val="auto"/>
                <w:kern w:val="0"/>
                <w:sz w:val="24"/>
                <w:szCs w:val="24"/>
                <w:highlight w:val="none"/>
              </w:rPr>
              <w:t>60～70K道尔顿。对原水进行初过滤，去除水中有机物、胶体、细菌、微生物、色度、浊度等，保护纳滤膜元件。超滤装置由超滤膜组件、支架、相应的阀门、管道等组成。</w:t>
            </w:r>
          </w:p>
          <w:p w14:paraId="4544D6E7">
            <w:pPr>
              <w:widowControl/>
              <w:spacing w:line="300" w:lineRule="exact"/>
              <w:jc w:val="left"/>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4、纳滤膜</w:t>
            </w:r>
          </w:p>
          <w:p w14:paraId="05DDB96C">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截留分子量范围应为200～400道尔顿，对溶解性二价盐的截留率</w:t>
            </w:r>
            <w:r>
              <w:rPr>
                <w:rFonts w:hint="eastAsia" w:ascii="方正仿宋_GBK" w:hAnsi="方正仿宋_GBK" w:eastAsia="方正仿宋_GBK" w:cs="方正仿宋_GBK"/>
                <w:b w:val="0"/>
                <w:bCs w:val="0"/>
                <w:color w:val="auto"/>
                <w:kern w:val="0"/>
                <w:sz w:val="24"/>
                <w:szCs w:val="24"/>
                <w:highlight w:val="none"/>
                <w:lang w:eastAsia="zh-CN"/>
              </w:rPr>
              <w:t>应</w:t>
            </w:r>
            <w:r>
              <w:rPr>
                <w:rFonts w:hint="eastAsia" w:ascii="方正仿宋_GBK" w:hAnsi="方正仿宋_GBK" w:eastAsia="方正仿宋_GBK" w:cs="方正仿宋_GBK"/>
                <w:b w:val="0"/>
                <w:bCs w:val="0"/>
                <w:color w:val="auto"/>
                <w:kern w:val="0"/>
                <w:sz w:val="24"/>
                <w:szCs w:val="24"/>
                <w:highlight w:val="none"/>
              </w:rPr>
              <w:t>达到97％，对单价阴离子盐溶液的截留率低于高价阴离子盐溶液。</w:t>
            </w:r>
            <w:r>
              <w:rPr>
                <w:rFonts w:hint="eastAsia" w:ascii="方正仿宋_GBK" w:hAnsi="方正仿宋_GBK" w:eastAsia="方正仿宋_GBK" w:cs="方正仿宋_GBK"/>
                <w:b w:val="0"/>
                <w:bCs w:val="0"/>
                <w:color w:val="auto"/>
                <w:kern w:val="0"/>
                <w:sz w:val="24"/>
                <w:szCs w:val="24"/>
                <w:highlight w:val="none"/>
                <w:lang w:val="en-US" w:eastAsia="zh-CN"/>
              </w:rPr>
              <w:t>纳滤装置由纳滤膜组件、支架、相应的阀门、管道等组成。</w:t>
            </w:r>
          </w:p>
          <w:p w14:paraId="5DB2C2E4">
            <w:pPr>
              <w:widowControl/>
              <w:spacing w:line="300" w:lineRule="exact"/>
              <w:jc w:val="left"/>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5、不锈钢水箱</w:t>
            </w:r>
          </w:p>
          <w:p w14:paraId="6EC1D684">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lang w:val="en-US" w:eastAsia="zh-CN"/>
              </w:rPr>
              <w:t>SS304材质</w:t>
            </w:r>
            <w:r>
              <w:rPr>
                <w:rFonts w:hint="eastAsia" w:ascii="方正仿宋_GBK" w:hAnsi="方正仿宋_GBK" w:eastAsia="方正仿宋_GBK" w:cs="方正仿宋_GBK"/>
                <w:b w:val="0"/>
                <w:bCs w:val="0"/>
                <w:color w:val="auto"/>
                <w:kern w:val="0"/>
                <w:sz w:val="24"/>
                <w:szCs w:val="24"/>
                <w:highlight w:val="none"/>
              </w:rPr>
              <w:t>，</w:t>
            </w:r>
            <w:r>
              <w:rPr>
                <w:rFonts w:hint="eastAsia" w:ascii="方正仿宋_GBK" w:hAnsi="方正仿宋_GBK" w:eastAsia="方正仿宋_GBK" w:cs="方正仿宋_GBK"/>
                <w:b w:val="0"/>
                <w:bCs w:val="0"/>
                <w:color w:val="auto"/>
                <w:kern w:val="0"/>
                <w:sz w:val="24"/>
                <w:szCs w:val="24"/>
                <w:highlight w:val="none"/>
                <w:lang w:eastAsia="zh-CN"/>
              </w:rPr>
              <w:t>要求水箱内</w:t>
            </w:r>
            <w:r>
              <w:rPr>
                <w:rFonts w:hint="eastAsia" w:ascii="方正仿宋_GBK" w:hAnsi="方正仿宋_GBK" w:eastAsia="方正仿宋_GBK" w:cs="方正仿宋_GBK"/>
                <w:b w:val="0"/>
                <w:bCs w:val="0"/>
                <w:color w:val="auto"/>
                <w:kern w:val="0"/>
                <w:sz w:val="24"/>
                <w:szCs w:val="24"/>
                <w:highlight w:val="none"/>
              </w:rPr>
              <w:t>不生锈，不长青苔，不漏水，永久保持清洁卫生，作为终端储水罐。同时调节直饮水设备供水能力，满足工程最大供水规模。</w:t>
            </w:r>
          </w:p>
          <w:p w14:paraId="2AAAB60E">
            <w:pPr>
              <w:widowControl/>
              <w:spacing w:line="300" w:lineRule="exact"/>
              <w:jc w:val="left"/>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6、供水泵</w:t>
            </w:r>
          </w:p>
          <w:p w14:paraId="421D08D4">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lang w:eastAsia="zh-CN"/>
              </w:rPr>
              <w:t>需</w:t>
            </w:r>
            <w:r>
              <w:rPr>
                <w:rFonts w:hint="eastAsia" w:ascii="方正仿宋_GBK" w:hAnsi="方正仿宋_GBK" w:eastAsia="方正仿宋_GBK" w:cs="方正仿宋_GBK"/>
                <w:b w:val="0"/>
                <w:bCs w:val="0"/>
                <w:color w:val="auto"/>
                <w:kern w:val="0"/>
                <w:sz w:val="24"/>
                <w:szCs w:val="24"/>
                <w:highlight w:val="none"/>
              </w:rPr>
              <w:t>采用304不锈钢离心泵，支持变频恒压供水，保证系统压力稳定。</w:t>
            </w:r>
          </w:p>
          <w:p w14:paraId="00D2A9F0">
            <w:pPr>
              <w:widowControl/>
              <w:numPr>
                <w:ilvl w:val="0"/>
                <w:numId w:val="2"/>
              </w:numPr>
              <w:spacing w:line="300" w:lineRule="exact"/>
              <w:jc w:val="left"/>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臭氧杀菌＋紫外杀菌</w:t>
            </w:r>
          </w:p>
          <w:p w14:paraId="73886BC9">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臭氧杀菌</w:t>
            </w:r>
            <w:r>
              <w:rPr>
                <w:rFonts w:hint="eastAsia" w:ascii="方正仿宋_GBK" w:hAnsi="方正仿宋_GBK" w:eastAsia="方正仿宋_GBK" w:cs="方正仿宋_GBK"/>
                <w:b w:val="0"/>
                <w:bCs w:val="0"/>
                <w:color w:val="auto"/>
                <w:kern w:val="0"/>
                <w:sz w:val="24"/>
                <w:szCs w:val="24"/>
                <w:highlight w:val="none"/>
                <w:lang w:eastAsia="zh-CN"/>
              </w:rPr>
              <w:t>需满足高效快速杀灭细菌、病毒，且不产生氯仿等致癌副产物</w:t>
            </w:r>
            <w:r>
              <w:rPr>
                <w:rFonts w:hint="eastAsia" w:ascii="方正仿宋_GBK" w:hAnsi="方正仿宋_GBK" w:eastAsia="方正仿宋_GBK" w:cs="方正仿宋_GBK"/>
                <w:b w:val="0"/>
                <w:bCs w:val="0"/>
                <w:color w:val="auto"/>
                <w:kern w:val="0"/>
                <w:sz w:val="24"/>
                <w:szCs w:val="24"/>
                <w:highlight w:val="none"/>
              </w:rPr>
              <w:t>，保证饮用水水质符合要求。</w:t>
            </w:r>
          </w:p>
          <w:p w14:paraId="063702EC">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紫外</w:t>
            </w:r>
            <w:r>
              <w:rPr>
                <w:rFonts w:hint="eastAsia" w:ascii="方正仿宋_GBK" w:hAnsi="方正仿宋_GBK" w:eastAsia="方正仿宋_GBK" w:cs="方正仿宋_GBK"/>
                <w:b w:val="0"/>
                <w:bCs w:val="0"/>
                <w:color w:val="auto"/>
                <w:kern w:val="0"/>
                <w:sz w:val="24"/>
                <w:szCs w:val="24"/>
                <w:highlight w:val="none"/>
                <w:lang w:eastAsia="zh-CN"/>
              </w:rPr>
              <w:t>杀菌需</w:t>
            </w:r>
            <w:r>
              <w:rPr>
                <w:rFonts w:hint="eastAsia" w:ascii="方正仿宋_GBK" w:hAnsi="方正仿宋_GBK" w:eastAsia="方正仿宋_GBK" w:cs="方正仿宋_GBK"/>
                <w:b w:val="0"/>
                <w:bCs w:val="0"/>
                <w:color w:val="auto"/>
                <w:kern w:val="0"/>
                <w:sz w:val="24"/>
                <w:szCs w:val="24"/>
                <w:highlight w:val="none"/>
              </w:rPr>
              <w:t>具有记录灯管运行时间、声光报警提示、灯管故障记录功能</w:t>
            </w:r>
          </w:p>
          <w:p w14:paraId="5092E31B">
            <w:pPr>
              <w:widowControl/>
              <w:spacing w:line="300" w:lineRule="exac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rPr>
              <w:t>8、</w:t>
            </w:r>
            <w:r>
              <w:rPr>
                <w:rFonts w:hint="eastAsia" w:ascii="方正仿宋_GBK" w:hAnsi="方正仿宋_GBK" w:eastAsia="方正仿宋_GBK" w:cs="方正仿宋_GBK"/>
                <w:b w:val="0"/>
                <w:bCs w:val="0"/>
                <w:color w:val="auto"/>
                <w:kern w:val="0"/>
                <w:sz w:val="24"/>
                <w:szCs w:val="24"/>
                <w:highlight w:val="none"/>
              </w:rPr>
              <w:t>设备的运行控制</w:t>
            </w:r>
            <w:r>
              <w:rPr>
                <w:rFonts w:hint="eastAsia" w:ascii="方正仿宋_GBK" w:hAnsi="方正仿宋_GBK" w:eastAsia="方正仿宋_GBK" w:cs="方正仿宋_GBK"/>
                <w:b w:val="0"/>
                <w:bCs w:val="0"/>
                <w:color w:val="auto"/>
                <w:kern w:val="0"/>
                <w:sz w:val="24"/>
                <w:szCs w:val="24"/>
                <w:highlight w:val="none"/>
                <w:lang w:eastAsia="zh-CN"/>
              </w:rPr>
              <w:t>需</w:t>
            </w:r>
            <w:r>
              <w:rPr>
                <w:rFonts w:hint="eastAsia" w:ascii="方正仿宋_GBK" w:hAnsi="方正仿宋_GBK" w:eastAsia="方正仿宋_GBK" w:cs="方正仿宋_GBK"/>
                <w:b w:val="0"/>
                <w:bCs w:val="0"/>
                <w:color w:val="auto"/>
                <w:kern w:val="0"/>
                <w:sz w:val="24"/>
                <w:szCs w:val="24"/>
                <w:highlight w:val="none"/>
              </w:rPr>
              <w:t>采用智能PLC，触摸屏操作，并有运行状况显示，和水质在线监测。</w:t>
            </w:r>
          </w:p>
          <w:p w14:paraId="02738E65">
            <w:pPr>
              <w:widowControl/>
              <w:spacing w:line="300" w:lineRule="exact"/>
              <w:jc w:val="left"/>
              <w:rPr>
                <w:rFonts w:hint="eastAsia" w:ascii="仿宋_GB2312" w:eastAsia="仿宋_GB2312"/>
                <w:kern w:val="0"/>
                <w:sz w:val="20"/>
                <w:szCs w:val="21"/>
                <w:lang w:eastAsia="zh-CN"/>
              </w:rPr>
            </w:pPr>
          </w:p>
          <w:p w14:paraId="4D48E084">
            <w:pPr>
              <w:widowControl/>
              <w:spacing w:line="300" w:lineRule="exact"/>
              <w:jc w:val="left"/>
              <w:rPr>
                <w:rFonts w:hint="eastAsia" w:ascii="仿宋_GB2312" w:eastAsia="仿宋_GB2312"/>
                <w:kern w:val="0"/>
                <w:sz w:val="20"/>
                <w:szCs w:val="21"/>
                <w:lang w:eastAsia="zh-CN"/>
              </w:rPr>
            </w:pPr>
          </w:p>
          <w:p w14:paraId="167BE1AD">
            <w:pPr>
              <w:widowControl/>
              <w:spacing w:line="300" w:lineRule="exact"/>
              <w:jc w:val="left"/>
              <w:rPr>
                <w:rFonts w:hint="eastAsia" w:ascii="仿宋_GB2312" w:eastAsia="仿宋_GB2312"/>
                <w:kern w:val="0"/>
                <w:sz w:val="20"/>
                <w:szCs w:val="21"/>
                <w:lang w:eastAsia="zh-CN"/>
              </w:rPr>
            </w:pPr>
            <w:r>
              <w:rPr>
                <w:rFonts w:hint="eastAsia" w:ascii="仿宋_GB2312" w:eastAsia="仿宋_GB2312"/>
                <w:color w:val="auto"/>
                <w:kern w:val="0"/>
                <w:sz w:val="20"/>
                <w:szCs w:val="21"/>
                <w:highlight w:val="none"/>
              </w:rPr>
              <w:drawing>
                <wp:anchor distT="0" distB="0" distL="114300" distR="114300" simplePos="0" relativeHeight="251659264" behindDoc="0" locked="0" layoutInCell="1" allowOverlap="1">
                  <wp:simplePos x="0" y="0"/>
                  <wp:positionH relativeFrom="column">
                    <wp:posOffset>-23495</wp:posOffset>
                  </wp:positionH>
                  <wp:positionV relativeFrom="paragraph">
                    <wp:posOffset>206375</wp:posOffset>
                  </wp:positionV>
                  <wp:extent cx="6239510" cy="2799715"/>
                  <wp:effectExtent l="0" t="0" r="0" b="0"/>
                  <wp:wrapSquare wrapText="bothSides"/>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5"/>
                          <a:stretch>
                            <a:fillRect/>
                          </a:stretch>
                        </pic:blipFill>
                        <pic:spPr>
                          <a:xfrm>
                            <a:off x="0" y="0"/>
                            <a:ext cx="6239510" cy="2799715"/>
                          </a:xfrm>
                          <a:prstGeom prst="rect">
                            <a:avLst/>
                          </a:prstGeom>
                        </pic:spPr>
                      </pic:pic>
                    </a:graphicData>
                  </a:graphic>
                </wp:anchor>
              </w:drawing>
            </w:r>
          </w:p>
        </w:tc>
      </w:tr>
    </w:tbl>
    <w:p w14:paraId="31B22D0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sz w:val="30"/>
          <w:szCs w:val="30"/>
          <w:highlight w:val="none"/>
          <w:lang w:val="en-US" w:eastAsia="zh-CN"/>
        </w:rPr>
      </w:pPr>
    </w:p>
    <w:p w14:paraId="7B3D73AC">
      <w:pPr>
        <w:pStyle w:val="13"/>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sz w:val="30"/>
          <w:szCs w:val="30"/>
          <w:lang w:val="en-US" w:eastAsia="zh-CN"/>
        </w:rPr>
        <w:t>1.报价人必须是在中华</w:t>
      </w:r>
      <w:r>
        <w:rPr>
          <w:rFonts w:hint="eastAsia" w:ascii="仿宋" w:hAnsi="仿宋" w:eastAsia="仿宋" w:cs="仿宋"/>
          <w:sz w:val="30"/>
          <w:szCs w:val="30"/>
          <w:highlight w:val="none"/>
          <w:lang w:val="en-US" w:eastAsia="zh-CN"/>
        </w:rPr>
        <w:t>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63B66B4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4.本项目不接受联合体报价，不接受分包。</w:t>
      </w:r>
    </w:p>
    <w:p w14:paraId="2AD086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w:t>
      </w:r>
      <w:bookmarkStart w:id="6" w:name="OLE_LINK2"/>
      <w:r>
        <w:rPr>
          <w:rFonts w:hint="eastAsia" w:ascii="仿宋" w:hAnsi="仿宋" w:eastAsia="仿宋" w:cs="仿宋"/>
          <w:sz w:val="30"/>
          <w:szCs w:val="30"/>
          <w:highlight w:val="none"/>
          <w:lang w:val="en-US" w:eastAsia="zh-CN"/>
        </w:rPr>
        <w:t>供应商须</w:t>
      </w:r>
      <w:bookmarkEnd w:id="6"/>
      <w:r>
        <w:rPr>
          <w:rFonts w:hint="eastAsia" w:ascii="仿宋" w:hAnsi="仿宋" w:eastAsia="仿宋" w:cs="仿宋"/>
          <w:sz w:val="30"/>
          <w:szCs w:val="30"/>
          <w:highlight w:val="none"/>
          <w:lang w:val="en-US" w:eastAsia="zh-CN"/>
        </w:rPr>
        <w:t>提供2020年1月1日至今至少1个水处理相关设备供货业绩。</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rPr>
      </w:pPr>
      <w:bookmarkStart w:id="7" w:name="_Toc530583922"/>
      <w:bookmarkStart w:id="8" w:name="_Toc530583879"/>
      <w:bookmarkStart w:id="9" w:name="_Toc530583923"/>
      <w:bookmarkStart w:id="10" w:name="_Toc530583880"/>
      <w:r>
        <w:rPr>
          <w:rFonts w:hint="eastAsia" w:ascii="仿宋_GB2312" w:eastAsia="仿宋_GB2312"/>
          <w:b/>
          <w:bCs/>
          <w:sz w:val="30"/>
          <w:szCs w:val="30"/>
          <w:highlight w:val="none"/>
          <w:lang w:eastAsia="zh-CN"/>
        </w:rPr>
        <w:t>三</w:t>
      </w:r>
      <w:r>
        <w:rPr>
          <w:rFonts w:hint="eastAsia" w:ascii="仿宋_GB2312" w:eastAsia="仿宋_GB2312"/>
          <w:b/>
          <w:bCs/>
          <w:sz w:val="30"/>
          <w:szCs w:val="30"/>
          <w:highlight w:val="none"/>
        </w:rPr>
        <w:t>、</w:t>
      </w:r>
      <w:r>
        <w:rPr>
          <w:rFonts w:hint="eastAsia" w:ascii="仿宋_GB2312" w:eastAsia="仿宋_GB2312"/>
          <w:b/>
          <w:bCs/>
          <w:sz w:val="30"/>
          <w:szCs w:val="30"/>
          <w:highlight w:val="none"/>
          <w:lang w:eastAsia="zh-CN"/>
        </w:rPr>
        <w:t>开标</w:t>
      </w:r>
      <w:r>
        <w:rPr>
          <w:rFonts w:hint="eastAsia" w:ascii="仿宋_GB2312" w:eastAsia="仿宋_GB2312"/>
          <w:b/>
          <w:bCs/>
          <w:sz w:val="30"/>
          <w:szCs w:val="30"/>
          <w:highlight w:val="none"/>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时间：202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4月24</w:t>
      </w:r>
      <w:r>
        <w:rPr>
          <w:rFonts w:hint="eastAsia" w:ascii="仿宋_GB2312" w:eastAsia="仿宋_GB2312"/>
          <w:sz w:val="30"/>
          <w:szCs w:val="30"/>
          <w:highlight w:val="none"/>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地点：</w:t>
      </w:r>
      <w:r>
        <w:rPr>
          <w:rFonts w:hint="eastAsia" w:ascii="仿宋_GB2312" w:eastAsia="仿宋_GB2312"/>
          <w:sz w:val="30"/>
          <w:szCs w:val="30"/>
          <w:highlight w:val="none"/>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highlight w:val="none"/>
          <w:lang w:val="en-US" w:eastAsia="zh-CN"/>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lang w:eastAsia="zh-CN"/>
        </w:rPr>
        <w:t>）本次询价开标采用线</w:t>
      </w:r>
      <w:r>
        <w:rPr>
          <w:rFonts w:hint="eastAsia" w:ascii="仿宋_GB2312" w:eastAsia="仿宋_GB2312"/>
          <w:sz w:val="30"/>
          <w:szCs w:val="30"/>
          <w:highlight w:val="none"/>
          <w:lang w:val="en-US" w:eastAsia="zh-CN"/>
        </w:rPr>
        <w:t>下开标</w:t>
      </w:r>
      <w:r>
        <w:rPr>
          <w:rFonts w:hint="eastAsia" w:ascii="仿宋_GB2312" w:eastAsia="仿宋_GB2312"/>
          <w:sz w:val="30"/>
          <w:szCs w:val="30"/>
          <w:highlight w:val="none"/>
          <w:lang w:eastAsia="zh-CN"/>
        </w:rPr>
        <w:t>方式，报价人需在开标时间前将报价文件递交至绍兴市再生能源发展有限公司综合楼一楼投标箱。报价人可</w:t>
      </w:r>
      <w:r>
        <w:rPr>
          <w:rFonts w:hint="eastAsia" w:ascii="仿宋_GB2312" w:eastAsia="仿宋_GB2312"/>
          <w:sz w:val="30"/>
          <w:szCs w:val="30"/>
          <w:highlight w:val="none"/>
        </w:rPr>
        <w:t>现场提交</w:t>
      </w:r>
      <w:r>
        <w:rPr>
          <w:rFonts w:hint="eastAsia" w:ascii="仿宋_GB2312" w:eastAsia="仿宋_GB2312"/>
          <w:sz w:val="30"/>
          <w:szCs w:val="30"/>
          <w:highlight w:val="none"/>
          <w:lang w:eastAsia="zh-CN"/>
        </w:rPr>
        <w:t>报价</w:t>
      </w:r>
      <w:r>
        <w:rPr>
          <w:rFonts w:hint="eastAsia" w:ascii="仿宋_GB2312" w:eastAsia="仿宋_GB2312"/>
          <w:sz w:val="30"/>
          <w:szCs w:val="30"/>
          <w:highlight w:val="none"/>
        </w:rPr>
        <w:t>文件</w:t>
      </w:r>
      <w:r>
        <w:rPr>
          <w:rFonts w:hint="eastAsia" w:ascii="仿宋_GB2312" w:eastAsia="仿宋_GB2312"/>
          <w:sz w:val="30"/>
          <w:szCs w:val="30"/>
          <w:highlight w:val="none"/>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邮寄地址：</w:t>
      </w:r>
      <w:r>
        <w:rPr>
          <w:rFonts w:hint="eastAsia" w:ascii="仿宋_GB2312" w:eastAsia="仿宋_GB2312"/>
          <w:sz w:val="30"/>
          <w:szCs w:val="30"/>
          <w:highlight w:val="none"/>
          <w:lang w:eastAsia="zh-CN"/>
        </w:rPr>
        <w:t>浙江省绍兴市柯桥区钱滨线二线海塘绍兴市再生能源发展有限公司</w:t>
      </w:r>
      <w:r>
        <w:rPr>
          <w:rFonts w:hint="eastAsia" w:ascii="仿宋_GB2312" w:eastAsia="仿宋_GB2312"/>
          <w:sz w:val="30"/>
          <w:szCs w:val="30"/>
          <w:highlight w:val="none"/>
        </w:rPr>
        <w:t>  </w:t>
      </w:r>
      <w:r>
        <w:rPr>
          <w:rFonts w:hint="eastAsia" w:ascii="仿宋_GB2312" w:eastAsia="仿宋_GB2312"/>
          <w:sz w:val="30"/>
          <w:szCs w:val="30"/>
          <w:highlight w:val="none"/>
          <w:lang w:eastAsia="zh-CN"/>
        </w:rPr>
        <w:t xml:space="preserve"> 采购供应部 </w:t>
      </w:r>
      <w:r>
        <w:rPr>
          <w:rFonts w:hint="eastAsia" w:ascii="仿宋_GB2312" w:eastAsia="仿宋_GB2312"/>
          <w:sz w:val="30"/>
          <w:szCs w:val="30"/>
          <w:highlight w:val="none"/>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报价文件邮寄封装要求：供应商除按照文件要求封装报价文件外，还需在快递外包装上醒目注明项目名称、</w:t>
      </w:r>
      <w:r>
        <w:rPr>
          <w:rFonts w:hint="eastAsia" w:ascii="仿宋_GB2312" w:eastAsia="仿宋_GB2312"/>
          <w:sz w:val="30"/>
          <w:szCs w:val="30"/>
          <w:highlight w:val="none"/>
          <w:lang w:eastAsia="zh-CN"/>
        </w:rPr>
        <w:t>询价</w:t>
      </w:r>
      <w:r>
        <w:rPr>
          <w:rFonts w:hint="eastAsia" w:ascii="仿宋_GB2312" w:eastAsia="仿宋_GB2312"/>
          <w:sz w:val="30"/>
          <w:szCs w:val="30"/>
          <w:highlight w:val="none"/>
        </w:rPr>
        <w:t>编号，且注明报价人联系人、联系人电话；快递包装务必牢固可靠，因包装原因出现影响</w:t>
      </w:r>
      <w:r>
        <w:rPr>
          <w:rFonts w:hint="eastAsia" w:ascii="仿宋_GB2312" w:eastAsia="仿宋_GB2312"/>
          <w:sz w:val="30"/>
          <w:szCs w:val="30"/>
          <w:highlight w:val="none"/>
          <w:lang w:val="en-US" w:eastAsia="zh-CN"/>
        </w:rPr>
        <w:t>报价</w:t>
      </w:r>
      <w:r>
        <w:rPr>
          <w:rFonts w:hint="eastAsia" w:ascii="仿宋_GB2312" w:eastAsia="仿宋_GB2312"/>
          <w:sz w:val="30"/>
          <w:szCs w:val="30"/>
          <w:highlight w:val="none"/>
        </w:rPr>
        <w:t>文件完整性、密封性等后果由供应商自行负责。</w:t>
      </w:r>
      <w:r>
        <w:rPr>
          <w:rFonts w:hint="eastAsia" w:ascii="仿宋_GB2312" w:eastAsia="仿宋_GB2312"/>
          <w:color w:val="FF0000"/>
          <w:sz w:val="30"/>
          <w:szCs w:val="30"/>
          <w:highlight w:val="none"/>
          <w:lang w:val="en-US" w:eastAsia="zh-CN"/>
        </w:rPr>
        <w:t>本招标文件内有业绩要求，供应商需另行分装报价资格一览表，封装方式需与报价文件相同，且需在快递包装上醒目注明报价资格表、项目名称、询价编号，报价人联系人、联系人电话。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报价文件邮递递交截止时间：截至202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23</w:t>
      </w:r>
      <w:r>
        <w:rPr>
          <w:rFonts w:hint="eastAsia" w:ascii="仿宋_GB2312" w:eastAsia="仿宋_GB2312"/>
          <w:sz w:val="30"/>
          <w:szCs w:val="30"/>
          <w:highlight w:val="none"/>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highlight w:val="none"/>
          <w:lang w:val="en-US" w:eastAsia="zh-CN"/>
        </w:rPr>
      </w:pPr>
      <w:r>
        <w:rPr>
          <w:rFonts w:hint="eastAsia" w:ascii="仿宋_GB2312" w:hAnsi="Times New Roman" w:eastAsia="仿宋_GB2312" w:cs="Times New Roman"/>
          <w:b/>
          <w:bCs/>
          <w:sz w:val="30"/>
          <w:szCs w:val="30"/>
          <w:highlight w:val="none"/>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2.联系人：</w:t>
      </w:r>
      <w:r>
        <w:rPr>
          <w:rFonts w:hint="eastAsia" w:ascii="仿宋_GB2312" w:eastAsia="仿宋_GB2312" w:cs="Times New Roman"/>
          <w:sz w:val="30"/>
          <w:szCs w:val="30"/>
          <w:highlight w:val="none"/>
          <w:lang w:val="en-US" w:eastAsia="zh-CN"/>
        </w:rPr>
        <w:t>杨</w:t>
      </w:r>
      <w:r>
        <w:rPr>
          <w:rFonts w:hint="eastAsia" w:ascii="仿宋_GB2312" w:hAnsi="Times New Roman" w:eastAsia="仿宋_GB2312" w:cs="Times New Roman"/>
          <w:sz w:val="30"/>
          <w:szCs w:val="30"/>
          <w:highlight w:val="none"/>
          <w:lang w:val="en-US" w:eastAsia="zh-CN"/>
        </w:rPr>
        <w:t>工    联系电话：18</w:t>
      </w:r>
      <w:r>
        <w:rPr>
          <w:rFonts w:hint="eastAsia" w:ascii="仿宋_GB2312" w:eastAsia="仿宋_GB2312" w:cs="Times New Roman"/>
          <w:sz w:val="30"/>
          <w:szCs w:val="30"/>
          <w:highlight w:val="none"/>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rPr>
      </w:pPr>
      <w:r>
        <w:rPr>
          <w:rFonts w:hint="eastAsia" w:ascii="仿宋_GB2312" w:eastAsia="仿宋_GB2312"/>
          <w:b/>
          <w:bCs/>
          <w:sz w:val="30"/>
          <w:szCs w:val="30"/>
          <w:highlight w:val="none"/>
          <w:lang w:eastAsia="zh-CN"/>
        </w:rPr>
        <w:t>五</w:t>
      </w:r>
      <w:r>
        <w:rPr>
          <w:rFonts w:hint="eastAsia" w:ascii="仿宋_GB2312" w:eastAsia="仿宋_GB2312"/>
          <w:b/>
          <w:bCs/>
          <w:sz w:val="30"/>
          <w:szCs w:val="30"/>
          <w:highlight w:val="none"/>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报价人</w:t>
      </w:r>
      <w:r>
        <w:rPr>
          <w:rFonts w:hint="eastAsia" w:ascii="仿宋_GB2312" w:eastAsia="仿宋_GB2312"/>
          <w:sz w:val="30"/>
          <w:szCs w:val="30"/>
          <w:highlight w:val="none"/>
        </w:rPr>
        <w:t>如认为询价文件使自身的合法权益受到损害的，应于自</w:t>
      </w:r>
      <w:r>
        <w:rPr>
          <w:rFonts w:hint="eastAsia" w:ascii="仿宋_GB2312" w:eastAsia="仿宋_GB2312"/>
          <w:sz w:val="30"/>
          <w:szCs w:val="30"/>
          <w:highlight w:val="none"/>
          <w:lang w:eastAsia="zh-CN"/>
        </w:rPr>
        <w:t>公告</w:t>
      </w:r>
      <w:r>
        <w:rPr>
          <w:rFonts w:hint="eastAsia" w:ascii="仿宋_GB2312" w:eastAsia="仿宋_GB2312"/>
          <w:sz w:val="30"/>
          <w:szCs w:val="30"/>
          <w:highlight w:val="none"/>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highlight w:val="none"/>
          <w:lang w:val="en-US" w:eastAsia="zh-CN"/>
        </w:rPr>
      </w:pPr>
      <w:r>
        <w:rPr>
          <w:rFonts w:hint="eastAsia" w:ascii="仿宋_GB2312" w:hAnsi="Times New Roman" w:eastAsia="仿宋_GB2312" w:cs="Times New Roman"/>
          <w:sz w:val="30"/>
          <w:szCs w:val="30"/>
          <w:highlight w:val="none"/>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highlight w:val="none"/>
        </w:rPr>
      </w:pPr>
      <w:r>
        <w:rPr>
          <w:rFonts w:hint="eastAsia" w:ascii="仿宋_GB2312" w:eastAsia="仿宋_GB2312"/>
          <w:b/>
          <w:bCs/>
          <w:sz w:val="30"/>
          <w:szCs w:val="30"/>
          <w:highlight w:val="none"/>
          <w:lang w:eastAsia="zh-CN"/>
        </w:rPr>
        <w:t>七</w:t>
      </w:r>
      <w:r>
        <w:rPr>
          <w:rFonts w:hint="eastAsia" w:ascii="仿宋_GB2312" w:eastAsia="仿宋_GB2312"/>
          <w:b/>
          <w:bCs/>
          <w:sz w:val="30"/>
          <w:szCs w:val="30"/>
          <w:highlight w:val="none"/>
        </w:rPr>
        <w:t>、监督部门</w:t>
      </w:r>
      <w:r>
        <w:rPr>
          <w:rFonts w:hint="eastAsia" w:ascii="仿宋_GB2312" w:eastAsia="仿宋_GB2312"/>
          <w:b/>
          <w:bCs/>
          <w:sz w:val="30"/>
          <w:szCs w:val="30"/>
          <w:highlight w:val="none"/>
          <w:lang w:val="en-US" w:eastAsia="zh-CN"/>
        </w:rPr>
        <w:t xml:space="preserve">  </w:t>
      </w:r>
      <w:r>
        <w:rPr>
          <w:rFonts w:hint="eastAsia" w:ascii="仿宋_GB2312" w:hAnsi="Times New Roman" w:eastAsia="仿宋_GB2312" w:cs="Times New Roman"/>
          <w:sz w:val="30"/>
          <w:szCs w:val="30"/>
          <w:highlight w:val="none"/>
          <w:lang w:val="en-US" w:eastAsia="zh-CN"/>
        </w:rPr>
        <w:t>联系电话：</w:t>
      </w:r>
      <w:r>
        <w:rPr>
          <w:rFonts w:hint="eastAsia" w:ascii="仿宋_GB2312" w:eastAsia="仿宋_GB2312" w:cs="Times New Roman"/>
          <w:sz w:val="30"/>
          <w:szCs w:val="30"/>
          <w:highlight w:val="none"/>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2026</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4月17</w:t>
      </w:r>
      <w:r>
        <w:rPr>
          <w:rFonts w:hint="eastAsia" w:ascii="仿宋_GB2312" w:eastAsia="仿宋_GB2312"/>
          <w:sz w:val="30"/>
          <w:szCs w:val="30"/>
          <w:highlight w:val="none"/>
        </w:rPr>
        <w:t>日</w:t>
      </w:r>
    </w:p>
    <w:p w14:paraId="10E9B901">
      <w:pPr>
        <w:pStyle w:val="13"/>
        <w:rPr>
          <w:rFonts w:hint="eastAsia" w:ascii="仿宋_GB2312" w:eastAsia="仿宋_GB2312"/>
          <w:sz w:val="30"/>
          <w:szCs w:val="30"/>
        </w:rPr>
      </w:pPr>
    </w:p>
    <w:p w14:paraId="3A86D49D">
      <w:pPr>
        <w:pStyle w:val="13"/>
        <w:rPr>
          <w:rFonts w:hint="eastAsia" w:ascii="仿宋_GB2312" w:eastAsia="仿宋_GB2312"/>
          <w:sz w:val="30"/>
          <w:szCs w:val="30"/>
        </w:rPr>
      </w:pPr>
    </w:p>
    <w:p w14:paraId="4EFDF728">
      <w:pPr>
        <w:pStyle w:val="13"/>
        <w:rPr>
          <w:rFonts w:hint="eastAsia" w:ascii="仿宋_GB2312" w:eastAsia="仿宋_GB2312"/>
          <w:sz w:val="30"/>
          <w:szCs w:val="30"/>
        </w:rPr>
      </w:pPr>
    </w:p>
    <w:p w14:paraId="41CF67AE">
      <w:pPr>
        <w:pStyle w:val="13"/>
        <w:rPr>
          <w:rFonts w:hint="eastAsia" w:ascii="仿宋_GB2312" w:eastAsia="仿宋_GB2312"/>
          <w:sz w:val="30"/>
          <w:szCs w:val="30"/>
        </w:rPr>
      </w:pPr>
    </w:p>
    <w:p w14:paraId="1B8DEF0A">
      <w:pPr>
        <w:pStyle w:val="13"/>
        <w:rPr>
          <w:rFonts w:hint="eastAsia" w:ascii="仿宋_GB2312" w:eastAsia="仿宋_GB2312"/>
          <w:sz w:val="30"/>
          <w:szCs w:val="30"/>
        </w:rPr>
      </w:pPr>
    </w:p>
    <w:p w14:paraId="2CCD9DA2">
      <w:pPr>
        <w:pStyle w:val="13"/>
        <w:rPr>
          <w:rFonts w:hint="eastAsia" w:ascii="仿宋_GB2312" w:eastAsia="仿宋_GB2312"/>
          <w:sz w:val="30"/>
          <w:szCs w:val="30"/>
        </w:rPr>
      </w:pPr>
    </w:p>
    <w:p w14:paraId="21F96B9B">
      <w:pPr>
        <w:pStyle w:val="13"/>
        <w:rPr>
          <w:rFonts w:hint="eastAsia" w:ascii="仿宋_GB2312" w:eastAsia="仿宋_GB2312"/>
          <w:sz w:val="30"/>
          <w:szCs w:val="30"/>
        </w:rPr>
      </w:pPr>
    </w:p>
    <w:p w14:paraId="675FFC03">
      <w:pPr>
        <w:pStyle w:val="13"/>
        <w:rPr>
          <w:rFonts w:hint="eastAsia" w:ascii="仿宋_GB2312" w:eastAsia="仿宋_GB2312"/>
          <w:sz w:val="30"/>
          <w:szCs w:val="30"/>
        </w:rPr>
      </w:pPr>
    </w:p>
    <w:p w14:paraId="534B214B">
      <w:pPr>
        <w:pStyle w:val="13"/>
        <w:rPr>
          <w:rFonts w:hint="eastAsia" w:ascii="仿宋_GB2312" w:eastAsia="仿宋_GB2312"/>
          <w:sz w:val="30"/>
          <w:szCs w:val="30"/>
        </w:rPr>
      </w:pPr>
    </w:p>
    <w:p w14:paraId="4ED4FF49">
      <w:pPr>
        <w:pStyle w:val="13"/>
        <w:rPr>
          <w:rFonts w:hint="eastAsia" w:ascii="仿宋_GB2312" w:eastAsia="仿宋_GB2312"/>
          <w:sz w:val="30"/>
          <w:szCs w:val="30"/>
        </w:rPr>
      </w:pPr>
    </w:p>
    <w:p w14:paraId="299DB3C3">
      <w:pPr>
        <w:pStyle w:val="13"/>
        <w:rPr>
          <w:rFonts w:hint="eastAsia" w:ascii="仿宋_GB2312" w:eastAsia="仿宋_GB2312"/>
          <w:sz w:val="30"/>
          <w:szCs w:val="30"/>
        </w:rPr>
      </w:pPr>
    </w:p>
    <w:p w14:paraId="28FFE036">
      <w:pPr>
        <w:pStyle w:val="13"/>
        <w:rPr>
          <w:rFonts w:hint="eastAsia" w:ascii="仿宋_GB2312" w:eastAsia="仿宋_GB2312"/>
          <w:sz w:val="30"/>
          <w:szCs w:val="30"/>
        </w:rPr>
      </w:pPr>
    </w:p>
    <w:p w14:paraId="5A527265">
      <w:pPr>
        <w:pStyle w:val="13"/>
        <w:rPr>
          <w:rFonts w:hint="eastAsia" w:ascii="仿宋_GB2312" w:eastAsia="仿宋_GB2312"/>
          <w:sz w:val="30"/>
          <w:szCs w:val="30"/>
        </w:rPr>
      </w:pPr>
    </w:p>
    <w:p w14:paraId="717D9215">
      <w:pPr>
        <w:pStyle w:val="13"/>
        <w:rPr>
          <w:rFonts w:hint="eastAsia" w:ascii="仿宋_GB2312" w:eastAsia="仿宋_GB2312"/>
          <w:sz w:val="30"/>
          <w:szCs w:val="30"/>
        </w:rPr>
      </w:pPr>
    </w:p>
    <w:p w14:paraId="7C28FCC4">
      <w:pPr>
        <w:pStyle w:val="13"/>
        <w:rPr>
          <w:rFonts w:hint="eastAsia" w:ascii="仿宋_GB2312" w:eastAsia="仿宋_GB2312"/>
          <w:sz w:val="30"/>
          <w:szCs w:val="30"/>
        </w:rPr>
      </w:pPr>
    </w:p>
    <w:p w14:paraId="6BD300D3">
      <w:pPr>
        <w:pStyle w:val="13"/>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3"/>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3"/>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21"/>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3"/>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5"/>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lang w:val="en-US" w:eastAsia="zh-CN"/>
        </w:rPr>
      </w:pPr>
    </w:p>
    <w:p w14:paraId="3B113E72">
      <w:pPr>
        <w:pStyle w:val="3"/>
        <w:numPr>
          <w:ilvl w:val="0"/>
          <w:numId w:val="0"/>
        </w:numPr>
        <w:jc w:val="center"/>
        <w:rPr>
          <w:rFonts w:hint="eastAsia" w:ascii="仿宋" w:hAnsi="仿宋" w:eastAsia="仿宋" w:cs="仿宋"/>
          <w:b w:val="0"/>
          <w:bCs/>
          <w:snapToGrid w:val="0"/>
          <w:sz w:val="44"/>
        </w:rPr>
      </w:pPr>
      <w:bookmarkStart w:id="11" w:name="_Toc16869"/>
      <w:r>
        <w:rPr>
          <w:rFonts w:hint="eastAsia" w:ascii="仿宋" w:hAnsi="仿宋" w:eastAsia="仿宋" w:cs="仿宋"/>
          <w:snapToGrid w:val="0"/>
          <w:sz w:val="44"/>
          <w:szCs w:val="44"/>
        </w:rPr>
        <w:t>第三部分   询价内容</w:t>
      </w:r>
      <w:bookmarkEnd w:id="9"/>
      <w:bookmarkEnd w:id="10"/>
      <w:bookmarkEnd w:id="11"/>
    </w:p>
    <w:p w14:paraId="20F783B5">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本项目总供货及施工周期为30天（自实际进场之日起算）。供货方须在周期内保质保量完成全部工作。具体进场时间待采购人通知后确定，供货方应在收到通知后5日内响应并进场。</w:t>
      </w:r>
    </w:p>
    <w:p w14:paraId="5542679E">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1FABFC5">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自动转为质保金，质保期从验收合格之日起计算，质保金于质保期满且无未决质量争议后无息退还。</w:t>
      </w:r>
    </w:p>
    <w:p w14:paraId="6F94A17B">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w:t>
      </w:r>
      <w:r>
        <w:rPr>
          <w:rFonts w:hint="eastAsia" w:ascii="仿宋" w:hAnsi="仿宋" w:eastAsia="仿宋" w:cs="仿宋"/>
          <w:color w:val="auto"/>
          <w:kern w:val="2"/>
          <w:sz w:val="30"/>
          <w:szCs w:val="30"/>
          <w:highlight w:val="none"/>
        </w:rPr>
        <w:t>进行免费指导解决问题。</w:t>
      </w:r>
    </w:p>
    <w:p w14:paraId="75D194BC">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.采购人不再对任何售后服务进行付费。供应商的派遣人员产生的一切费用由供应商承担。</w:t>
      </w:r>
    </w:p>
    <w:p w14:paraId="42FB0458">
      <w:pPr>
        <w:pStyle w:val="3"/>
        <w:numPr>
          <w:ilvl w:val="0"/>
          <w:numId w:val="0"/>
        </w:numPr>
        <w:jc w:val="center"/>
        <w:outlineLvl w:val="9"/>
        <w:rPr>
          <w:rFonts w:hint="eastAsia" w:ascii="仿宋" w:hAnsi="仿宋" w:eastAsia="仿宋" w:cs="仿宋"/>
          <w:snapToGrid w:val="0"/>
          <w:sz w:val="30"/>
          <w:szCs w:val="30"/>
          <w:highlight w:val="none"/>
        </w:rPr>
      </w:pPr>
      <w:bookmarkStart w:id="12" w:name="_Toc530583924"/>
      <w:r>
        <w:rPr>
          <w:rFonts w:hint="eastAsia" w:ascii="仿宋" w:hAnsi="仿宋" w:eastAsia="仿宋" w:cs="仿宋"/>
          <w:snapToGrid w:val="0"/>
          <w:sz w:val="30"/>
          <w:szCs w:val="30"/>
          <w:highlight w:val="none"/>
        </w:rPr>
        <w:br w:type="page"/>
      </w:r>
    </w:p>
    <w:p w14:paraId="2C38EEF5">
      <w:pPr>
        <w:pStyle w:val="3"/>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3" w:name="_Toc27686"/>
      <w:r>
        <w:rPr>
          <w:rFonts w:hint="eastAsia" w:ascii="仿宋" w:hAnsi="仿宋" w:eastAsia="仿宋" w:cs="仿宋"/>
          <w:snapToGrid w:val="0"/>
          <w:sz w:val="44"/>
          <w:szCs w:val="44"/>
          <w:highlight w:val="none"/>
          <w:lang w:val="en-US" w:eastAsia="zh-CN"/>
        </w:rPr>
        <w:t>合同主要条款</w:t>
      </w:r>
      <w:bookmarkEnd w:id="13"/>
      <w:r>
        <w:rPr>
          <w:rFonts w:hint="eastAsia" w:ascii="仿宋" w:hAnsi="仿宋" w:eastAsia="仿宋" w:cs="仿宋"/>
          <w:snapToGrid w:val="0"/>
          <w:sz w:val="44"/>
          <w:szCs w:val="44"/>
          <w:lang w:val="en-US" w:eastAsia="zh-CN"/>
        </w:rPr>
        <w:t>（供参考）</w:t>
      </w:r>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4"/>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4"/>
        <w:tblW w:w="9571" w:type="dxa"/>
        <w:jc w:val="center"/>
        <w:tblLayout w:type="fixed"/>
        <w:tblCellMar>
          <w:top w:w="0" w:type="dxa"/>
          <w:left w:w="108" w:type="dxa"/>
          <w:bottom w:w="0" w:type="dxa"/>
          <w:right w:w="108" w:type="dxa"/>
        </w:tblCellMar>
      </w:tblPr>
      <w:tblGrid>
        <w:gridCol w:w="751"/>
        <w:gridCol w:w="1439"/>
        <w:gridCol w:w="1711"/>
        <w:gridCol w:w="1242"/>
        <w:gridCol w:w="1168"/>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型号规格</w:t>
            </w:r>
          </w:p>
        </w:tc>
        <w:tc>
          <w:tcPr>
            <w:tcW w:w="1242"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1168"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方正仿宋_GBK" w:hAnsi="方正仿宋_GBK" w:eastAsia="方正仿宋_GBK" w:cs="方正仿宋_GBK"/>
                <w:b/>
                <w:bCs/>
                <w:sz w:val="24"/>
                <w:szCs w:val="24"/>
                <w:highlight w:val="none"/>
                <w:lang w:val="en-US"/>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1242"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1168"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4"/>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652B9D9F">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本项目总供货及施工周期为30天（自实际进场之日起算）。供货方须在周期内保质保量完成全部工作。具体进场时间待采购人通知后确定，供货方应在收到通知后5日内响应并进场。</w:t>
      </w:r>
    </w:p>
    <w:p w14:paraId="15FBED40">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4"/>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1B3FB162">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技术参数及各项指标符合以下要求：</w:t>
      </w:r>
    </w:p>
    <w:p w14:paraId="4DA11968">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《建筑与小区管道直饮水系统技术规程》（CJJ/T 110-2017）</w:t>
      </w:r>
    </w:p>
    <w:p w14:paraId="4D8198F7">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《建筑给水排水设计标准》（GB 50015-2019）</w:t>
      </w:r>
    </w:p>
    <w:p w14:paraId="6898FD19">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《室外排水设计标准》（GB 50014-2021）</w:t>
      </w:r>
    </w:p>
    <w:p w14:paraId="241AFFB7">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《生活饮用水卫生标准》 （GB 5749-2022）</w:t>
      </w:r>
    </w:p>
    <w:p w14:paraId="27C293E8">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《饮用净水水质标准》（CJ 94-2005）</w:t>
      </w:r>
    </w:p>
    <w:p w14:paraId="0A7EBEEA">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《管道直饮水系统技求》（T/CAQI69-2019）</w:t>
      </w:r>
    </w:p>
    <w:p w14:paraId="0BC69920">
      <w:pPr>
        <w:pStyle w:val="24"/>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6"/>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6"/>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自动转为质保金，质保期从验收合格之日起计算，质保金于质保期满且无未决质量争议后无息退还。</w:t>
      </w:r>
    </w:p>
    <w:p w14:paraId="56AA12FF">
      <w:pPr>
        <w:pStyle w:val="36"/>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6"/>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6"/>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6"/>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6"/>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6"/>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6"/>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6"/>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6"/>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6"/>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6"/>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6"/>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6"/>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8701"/>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地磅房加装直饮水管线机项目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6"/>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6"/>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6"/>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6"/>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8"/>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3"/>
        <w:numPr>
          <w:ilvl w:val="0"/>
          <w:numId w:val="0"/>
        </w:numPr>
        <w:jc w:val="center"/>
        <w:rPr>
          <w:rFonts w:hint="eastAsia" w:ascii="仿宋" w:hAnsi="仿宋" w:eastAsia="仿宋" w:cs="仿宋"/>
          <w:snapToGrid w:val="0"/>
          <w:sz w:val="44"/>
          <w:szCs w:val="44"/>
        </w:rPr>
      </w:pPr>
      <w:bookmarkStart w:id="15" w:name="_Toc6714"/>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地磅房加装直饮水管线机项目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SX-CG-GX-2603018</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2"/>
          <w:rFonts w:hint="eastAsia" w:ascii="仿宋" w:hAnsi="仿宋" w:eastAsia="仿宋" w:cs="仿宋"/>
          <w:sz w:val="30"/>
        </w:rPr>
        <w:br w:type="page"/>
      </w:r>
    </w:p>
    <w:p w14:paraId="556D7745">
      <w:pPr>
        <w:adjustRightInd w:val="0"/>
        <w:snapToGrid w:val="0"/>
        <w:spacing w:line="360" w:lineRule="auto"/>
        <w:ind w:right="480"/>
        <w:jc w:val="left"/>
        <w:rPr>
          <w:rStyle w:val="22"/>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2"/>
          <w:rFonts w:hint="eastAsia" w:ascii="仿宋" w:hAnsi="仿宋" w:eastAsia="仿宋" w:cs="仿宋"/>
          <w:sz w:val="30"/>
        </w:rPr>
      </w:pPr>
      <w:bookmarkStart w:id="16" w:name="_Toc32586"/>
      <w:r>
        <w:rPr>
          <w:rStyle w:val="22"/>
          <w:rFonts w:hint="eastAsia" w:ascii="仿宋" w:hAnsi="仿宋" w:eastAsia="仿宋" w:cs="仿宋"/>
          <w:sz w:val="30"/>
        </w:rPr>
        <w:t>附件一：</w:t>
      </w:r>
      <w:bookmarkEnd w:id="16"/>
    </w:p>
    <w:p w14:paraId="7B642CA0">
      <w:pPr>
        <w:jc w:val="left"/>
        <w:outlineLvl w:val="0"/>
        <w:rPr>
          <w:rStyle w:val="22"/>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地磅房加装直饮水管线机 </w:t>
      </w:r>
      <w:r>
        <w:rPr>
          <w:rFonts w:hint="eastAsia" w:ascii="仿宋" w:hAnsi="仿宋" w:eastAsia="仿宋" w:cs="仿宋"/>
          <w:sz w:val="30"/>
          <w:szCs w:val="30"/>
          <w:u w:val="none"/>
          <w:lang w:val="en-US" w:eastAsia="zh-CN"/>
        </w:rPr>
        <w:t>项目。</w:t>
      </w:r>
    </w:p>
    <w:tbl>
      <w:tblPr>
        <w:tblStyle w:val="14"/>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企业业绩要求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业绩要求：</w:t>
            </w:r>
            <w:r>
              <w:rPr>
                <w:rFonts w:hint="eastAsia" w:ascii="仿宋" w:hAnsi="仿宋" w:eastAsia="仿宋" w:cs="仿宋"/>
                <w:b w:val="0"/>
                <w:bCs w:val="0"/>
                <w:i w:val="0"/>
                <w:iCs w:val="0"/>
                <w:color w:val="auto"/>
                <w:sz w:val="24"/>
                <w:szCs w:val="24"/>
                <w:highlight w:val="none"/>
              </w:rPr>
              <w:br w:type="textWrapping"/>
            </w:r>
            <w:r>
              <w:rPr>
                <w:rFonts w:hint="eastAsia" w:ascii="仿宋" w:hAnsi="仿宋" w:eastAsia="仿宋" w:cs="仿宋"/>
                <w:b w:val="0"/>
                <w:bCs w:val="0"/>
                <w:i w:val="0"/>
                <w:iCs w:val="0"/>
                <w:color w:val="auto"/>
                <w:sz w:val="24"/>
                <w:szCs w:val="24"/>
                <w:highlight w:val="none"/>
              </w:rPr>
              <w:t>投标人须提供2020年1月1日至今（以合同签订时间为准）至少1个水处理相关设备供货业绩。</w:t>
            </w:r>
            <w:r>
              <w:rPr>
                <w:rFonts w:hint="eastAsia" w:ascii="仿宋" w:hAnsi="仿宋" w:eastAsia="仿宋" w:cs="仿宋"/>
                <w:b w:val="0"/>
                <w:bCs w:val="0"/>
                <w:i w:val="0"/>
                <w:iCs w:val="0"/>
                <w:color w:val="auto"/>
                <w:sz w:val="24"/>
                <w:szCs w:val="24"/>
                <w:highlight w:val="none"/>
              </w:rPr>
              <w:br w:type="textWrapping"/>
            </w:r>
            <w:r>
              <w:rPr>
                <w:rFonts w:hint="eastAsia" w:ascii="仿宋" w:hAnsi="仿宋" w:eastAsia="仿宋" w:cs="仿宋"/>
                <w:b w:val="0"/>
                <w:bCs w:val="0"/>
                <w:i w:val="0"/>
                <w:iCs w:val="0"/>
                <w:color w:val="auto"/>
                <w:sz w:val="24"/>
                <w:szCs w:val="24"/>
                <w:highlight w:val="none"/>
              </w:rPr>
              <w:t>注：需提供合同复印件（含首页、标的页、签字盖章页）及发票复印件作为证明材料。</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bl>
    <w:p w14:paraId="372744B7">
      <w:pPr>
        <w:pStyle w:val="21"/>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6015513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2"/>
          <w:rFonts w:hint="eastAsia" w:ascii="仿宋" w:hAnsi="仿宋" w:eastAsia="仿宋" w:cs="仿宋"/>
          <w:sz w:val="30"/>
        </w:rPr>
      </w:pPr>
    </w:p>
    <w:p w14:paraId="2E373FF3">
      <w:pPr>
        <w:jc w:val="left"/>
        <w:outlineLvl w:val="0"/>
        <w:rPr>
          <w:rStyle w:val="22"/>
          <w:rFonts w:hint="eastAsia" w:ascii="仿宋" w:hAnsi="仿宋" w:eastAsia="仿宋" w:cs="仿宋"/>
          <w:sz w:val="30"/>
        </w:rPr>
      </w:pPr>
    </w:p>
    <w:p w14:paraId="18A2461C">
      <w:pPr>
        <w:jc w:val="left"/>
        <w:outlineLvl w:val="0"/>
        <w:rPr>
          <w:rStyle w:val="22"/>
          <w:rFonts w:hint="eastAsia" w:ascii="仿宋" w:hAnsi="仿宋" w:eastAsia="仿宋" w:cs="仿宋"/>
          <w:sz w:val="30"/>
        </w:rPr>
      </w:pPr>
    </w:p>
    <w:p w14:paraId="3EC184E0">
      <w:pPr>
        <w:jc w:val="left"/>
        <w:outlineLvl w:val="0"/>
        <w:rPr>
          <w:rStyle w:val="22"/>
          <w:rFonts w:hint="eastAsia" w:ascii="仿宋" w:hAnsi="仿宋" w:eastAsia="仿宋" w:cs="仿宋"/>
          <w:sz w:val="30"/>
        </w:rPr>
      </w:pPr>
    </w:p>
    <w:p w14:paraId="33332D05">
      <w:pPr>
        <w:jc w:val="left"/>
        <w:outlineLvl w:val="0"/>
        <w:rPr>
          <w:rStyle w:val="22"/>
          <w:rFonts w:hint="eastAsia" w:ascii="仿宋" w:hAnsi="仿宋" w:eastAsia="仿宋" w:cs="仿宋"/>
          <w:sz w:val="30"/>
        </w:rPr>
      </w:pPr>
    </w:p>
    <w:p w14:paraId="415CA290">
      <w:pPr>
        <w:jc w:val="left"/>
        <w:outlineLvl w:val="0"/>
        <w:rPr>
          <w:rStyle w:val="22"/>
          <w:rFonts w:hint="eastAsia" w:ascii="仿宋" w:hAnsi="仿宋" w:eastAsia="仿宋" w:cs="仿宋"/>
          <w:sz w:val="30"/>
        </w:rPr>
      </w:pPr>
    </w:p>
    <w:p w14:paraId="65EC0736">
      <w:pPr>
        <w:jc w:val="left"/>
        <w:outlineLvl w:val="0"/>
        <w:rPr>
          <w:rStyle w:val="22"/>
          <w:rFonts w:hint="eastAsia" w:ascii="仿宋" w:hAnsi="仿宋" w:eastAsia="仿宋" w:cs="仿宋"/>
          <w:sz w:val="30"/>
        </w:rPr>
      </w:pPr>
    </w:p>
    <w:p w14:paraId="62D4DF21">
      <w:pPr>
        <w:jc w:val="left"/>
        <w:outlineLvl w:val="0"/>
        <w:rPr>
          <w:rStyle w:val="22"/>
          <w:rFonts w:hint="eastAsia" w:ascii="仿宋" w:hAnsi="仿宋" w:eastAsia="仿宋" w:cs="仿宋"/>
          <w:sz w:val="30"/>
        </w:rPr>
      </w:pPr>
    </w:p>
    <w:p w14:paraId="1BE4301E">
      <w:pPr>
        <w:jc w:val="left"/>
        <w:outlineLvl w:val="0"/>
        <w:rPr>
          <w:rStyle w:val="22"/>
          <w:rFonts w:hint="eastAsia" w:ascii="仿宋" w:hAnsi="仿宋" w:eastAsia="仿宋" w:cs="仿宋"/>
          <w:sz w:val="30"/>
        </w:rPr>
      </w:pPr>
    </w:p>
    <w:p w14:paraId="482C8F7D">
      <w:pPr>
        <w:jc w:val="left"/>
        <w:outlineLvl w:val="0"/>
        <w:rPr>
          <w:rStyle w:val="22"/>
          <w:rFonts w:hint="eastAsia" w:ascii="仿宋" w:hAnsi="仿宋" w:eastAsia="仿宋" w:cs="仿宋"/>
          <w:sz w:val="30"/>
        </w:rPr>
      </w:pPr>
    </w:p>
    <w:p w14:paraId="633509E9">
      <w:pPr>
        <w:jc w:val="left"/>
        <w:outlineLvl w:val="0"/>
        <w:rPr>
          <w:rStyle w:val="22"/>
          <w:rFonts w:hint="eastAsia" w:ascii="仿宋" w:hAnsi="仿宋" w:eastAsia="仿宋" w:cs="仿宋"/>
          <w:sz w:val="30"/>
        </w:rPr>
      </w:pPr>
    </w:p>
    <w:p w14:paraId="2487D119">
      <w:pPr>
        <w:jc w:val="left"/>
        <w:outlineLvl w:val="0"/>
        <w:rPr>
          <w:rStyle w:val="22"/>
          <w:rFonts w:hint="eastAsia" w:ascii="仿宋" w:hAnsi="仿宋" w:eastAsia="仿宋" w:cs="仿宋"/>
          <w:sz w:val="30"/>
        </w:rPr>
      </w:pPr>
    </w:p>
    <w:p w14:paraId="352C31A6">
      <w:pPr>
        <w:jc w:val="left"/>
        <w:outlineLvl w:val="0"/>
        <w:rPr>
          <w:rStyle w:val="22"/>
          <w:rFonts w:hint="eastAsia" w:ascii="仿宋" w:hAnsi="仿宋" w:eastAsia="仿宋" w:cs="仿宋"/>
          <w:sz w:val="30"/>
        </w:rPr>
      </w:pPr>
    </w:p>
    <w:p w14:paraId="11A0137E">
      <w:pPr>
        <w:jc w:val="left"/>
        <w:outlineLvl w:val="0"/>
        <w:rPr>
          <w:rStyle w:val="22"/>
          <w:rFonts w:hint="eastAsia" w:ascii="仿宋" w:hAnsi="仿宋" w:eastAsia="仿宋" w:cs="仿宋"/>
          <w:sz w:val="30"/>
        </w:rPr>
      </w:pPr>
    </w:p>
    <w:p w14:paraId="7973EE12">
      <w:pPr>
        <w:jc w:val="left"/>
        <w:outlineLvl w:val="0"/>
        <w:rPr>
          <w:rStyle w:val="22"/>
          <w:rFonts w:hint="eastAsia" w:ascii="仿宋" w:hAnsi="仿宋" w:eastAsia="仿宋" w:cs="仿宋"/>
          <w:sz w:val="30"/>
        </w:rPr>
      </w:pPr>
    </w:p>
    <w:p w14:paraId="3C9535EA">
      <w:pPr>
        <w:jc w:val="left"/>
        <w:outlineLvl w:val="0"/>
        <w:rPr>
          <w:rStyle w:val="22"/>
          <w:rFonts w:hint="eastAsia" w:ascii="仿宋" w:hAnsi="仿宋" w:eastAsia="仿宋" w:cs="仿宋"/>
          <w:sz w:val="30"/>
        </w:rPr>
      </w:pPr>
    </w:p>
    <w:p w14:paraId="356FB948">
      <w:pPr>
        <w:jc w:val="left"/>
        <w:outlineLvl w:val="0"/>
        <w:rPr>
          <w:rStyle w:val="22"/>
          <w:rFonts w:hint="eastAsia" w:ascii="仿宋" w:hAnsi="仿宋" w:eastAsia="仿宋" w:cs="仿宋"/>
          <w:sz w:val="30"/>
        </w:rPr>
      </w:pPr>
    </w:p>
    <w:p w14:paraId="16E691B0">
      <w:pPr>
        <w:jc w:val="left"/>
        <w:outlineLvl w:val="0"/>
        <w:rPr>
          <w:rStyle w:val="22"/>
          <w:rFonts w:hint="eastAsia" w:ascii="仿宋" w:hAnsi="仿宋" w:eastAsia="仿宋" w:cs="仿宋"/>
          <w:sz w:val="30"/>
        </w:rPr>
      </w:pPr>
    </w:p>
    <w:p w14:paraId="5261EF95">
      <w:pPr>
        <w:jc w:val="left"/>
        <w:outlineLvl w:val="0"/>
        <w:rPr>
          <w:rStyle w:val="22"/>
          <w:rFonts w:hint="eastAsia" w:ascii="仿宋" w:hAnsi="仿宋" w:eastAsia="仿宋" w:cs="仿宋"/>
          <w:sz w:val="30"/>
        </w:rPr>
      </w:pPr>
    </w:p>
    <w:p w14:paraId="6B790D84">
      <w:pPr>
        <w:jc w:val="left"/>
        <w:outlineLvl w:val="0"/>
        <w:rPr>
          <w:rStyle w:val="22"/>
          <w:rFonts w:hint="eastAsia" w:ascii="仿宋" w:hAnsi="仿宋" w:eastAsia="仿宋" w:cs="仿宋"/>
          <w:sz w:val="30"/>
        </w:rPr>
      </w:pPr>
    </w:p>
    <w:p w14:paraId="13CDC74A">
      <w:pPr>
        <w:jc w:val="left"/>
        <w:outlineLvl w:val="0"/>
        <w:rPr>
          <w:rStyle w:val="22"/>
          <w:rFonts w:hint="eastAsia" w:ascii="仿宋" w:hAnsi="仿宋" w:eastAsia="仿宋" w:cs="仿宋"/>
          <w:sz w:val="30"/>
        </w:rPr>
      </w:pPr>
    </w:p>
    <w:p w14:paraId="3484D5F1">
      <w:pPr>
        <w:jc w:val="left"/>
        <w:outlineLvl w:val="0"/>
        <w:rPr>
          <w:rStyle w:val="22"/>
          <w:rFonts w:hint="eastAsia" w:ascii="仿宋" w:hAnsi="仿宋" w:eastAsia="仿宋" w:cs="仿宋"/>
          <w:sz w:val="30"/>
        </w:rPr>
      </w:pPr>
    </w:p>
    <w:p w14:paraId="72F988DB">
      <w:pPr>
        <w:jc w:val="left"/>
        <w:outlineLvl w:val="0"/>
        <w:rPr>
          <w:rStyle w:val="22"/>
          <w:rFonts w:hint="eastAsia" w:ascii="仿宋" w:hAnsi="仿宋" w:eastAsia="仿宋" w:cs="仿宋"/>
          <w:sz w:val="30"/>
        </w:rPr>
      </w:pPr>
    </w:p>
    <w:p w14:paraId="269688BA">
      <w:pPr>
        <w:jc w:val="left"/>
        <w:outlineLvl w:val="0"/>
        <w:rPr>
          <w:rStyle w:val="22"/>
          <w:rFonts w:hint="eastAsia" w:ascii="仿宋" w:hAnsi="仿宋" w:eastAsia="仿宋" w:cs="仿宋"/>
          <w:sz w:val="30"/>
        </w:rPr>
      </w:pPr>
    </w:p>
    <w:p w14:paraId="74D7E92A">
      <w:pPr>
        <w:jc w:val="left"/>
        <w:outlineLvl w:val="0"/>
        <w:rPr>
          <w:rStyle w:val="22"/>
          <w:rFonts w:hint="eastAsia" w:ascii="仿宋" w:hAnsi="仿宋" w:eastAsia="仿宋" w:cs="仿宋"/>
          <w:sz w:val="30"/>
        </w:rPr>
      </w:pPr>
    </w:p>
    <w:p w14:paraId="466B6CCB">
      <w:pPr>
        <w:jc w:val="left"/>
        <w:outlineLvl w:val="0"/>
        <w:rPr>
          <w:rStyle w:val="22"/>
          <w:rFonts w:hint="eastAsia" w:ascii="仿宋" w:hAnsi="仿宋" w:eastAsia="仿宋" w:cs="仿宋"/>
          <w:sz w:val="30"/>
        </w:rPr>
      </w:pPr>
    </w:p>
    <w:p w14:paraId="64F9A5F5">
      <w:pPr>
        <w:jc w:val="left"/>
        <w:outlineLvl w:val="0"/>
        <w:rPr>
          <w:rStyle w:val="22"/>
          <w:rFonts w:hint="eastAsia" w:ascii="仿宋" w:hAnsi="仿宋" w:eastAsia="仿宋" w:cs="仿宋"/>
          <w:sz w:val="30"/>
        </w:rPr>
      </w:pPr>
    </w:p>
    <w:p w14:paraId="14E53D35">
      <w:pPr>
        <w:jc w:val="left"/>
        <w:outlineLvl w:val="0"/>
        <w:rPr>
          <w:rStyle w:val="22"/>
          <w:rFonts w:hint="eastAsia" w:ascii="仿宋" w:hAnsi="仿宋" w:eastAsia="仿宋" w:cs="仿宋"/>
          <w:sz w:val="30"/>
        </w:rPr>
      </w:pPr>
    </w:p>
    <w:p w14:paraId="0F8E1902">
      <w:pPr>
        <w:jc w:val="left"/>
        <w:outlineLvl w:val="0"/>
        <w:rPr>
          <w:rStyle w:val="22"/>
          <w:rFonts w:hint="eastAsia" w:ascii="仿宋" w:hAnsi="仿宋" w:eastAsia="仿宋" w:cs="仿宋"/>
          <w:sz w:val="30"/>
        </w:rPr>
      </w:pPr>
    </w:p>
    <w:p w14:paraId="24260568">
      <w:pPr>
        <w:jc w:val="left"/>
        <w:outlineLvl w:val="0"/>
        <w:rPr>
          <w:rStyle w:val="22"/>
          <w:rFonts w:hint="eastAsia" w:ascii="仿宋" w:hAnsi="仿宋" w:eastAsia="仿宋" w:cs="仿宋"/>
          <w:sz w:val="30"/>
        </w:rPr>
      </w:pPr>
    </w:p>
    <w:p w14:paraId="64CDE1D6">
      <w:pPr>
        <w:jc w:val="left"/>
        <w:outlineLvl w:val="0"/>
        <w:rPr>
          <w:rStyle w:val="22"/>
          <w:rFonts w:hint="eastAsia" w:ascii="仿宋" w:hAnsi="仿宋" w:eastAsia="仿宋" w:cs="仿宋"/>
          <w:sz w:val="30"/>
        </w:rPr>
      </w:pPr>
    </w:p>
    <w:p w14:paraId="743E8D4B">
      <w:pPr>
        <w:jc w:val="left"/>
        <w:outlineLvl w:val="0"/>
        <w:rPr>
          <w:rStyle w:val="22"/>
          <w:rFonts w:hint="eastAsia" w:ascii="仿宋" w:hAnsi="仿宋" w:eastAsia="仿宋" w:cs="仿宋"/>
          <w:sz w:val="30"/>
        </w:rPr>
      </w:pPr>
      <w:bookmarkStart w:id="17" w:name="_Toc21906"/>
      <w:r>
        <w:rPr>
          <w:rStyle w:val="22"/>
          <w:rFonts w:hint="eastAsia" w:ascii="仿宋" w:hAnsi="仿宋" w:eastAsia="仿宋" w:cs="仿宋"/>
          <w:sz w:val="30"/>
        </w:rPr>
        <w:t>附件二：</w:t>
      </w:r>
      <w:bookmarkEnd w:id="17"/>
      <w:r>
        <w:rPr>
          <w:rStyle w:val="22"/>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地磅房加装直饮水管线机 </w:t>
      </w:r>
      <w:r>
        <w:rPr>
          <w:rFonts w:hint="eastAsia" w:ascii="仿宋" w:hAnsi="仿宋" w:eastAsia="仿宋" w:cs="仿宋"/>
          <w:sz w:val="30"/>
          <w:szCs w:val="30"/>
          <w:u w:val="none"/>
          <w:lang w:val="en-US" w:eastAsia="zh-CN"/>
        </w:rPr>
        <w:t>项目。</w:t>
      </w:r>
    </w:p>
    <w:tbl>
      <w:tblPr>
        <w:tblStyle w:val="14"/>
        <w:tblW w:w="4797" w:type="pct"/>
        <w:jc w:val="center"/>
        <w:tblLayout w:type="fixed"/>
        <w:tblCellMar>
          <w:top w:w="0" w:type="dxa"/>
          <w:left w:w="108" w:type="dxa"/>
          <w:bottom w:w="0" w:type="dxa"/>
          <w:right w:w="108" w:type="dxa"/>
        </w:tblCellMar>
      </w:tblPr>
      <w:tblGrid>
        <w:gridCol w:w="696"/>
        <w:gridCol w:w="1461"/>
        <w:gridCol w:w="2803"/>
        <w:gridCol w:w="797"/>
        <w:gridCol w:w="758"/>
        <w:gridCol w:w="1198"/>
        <w:gridCol w:w="1198"/>
      </w:tblGrid>
      <w:tr w14:paraId="544FDDD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7F216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1" w:type="dxa"/>
            <w:tcBorders>
              <w:top w:val="single" w:color="000000" w:sz="4" w:space="0"/>
              <w:left w:val="single" w:color="000000" w:sz="4" w:space="0"/>
              <w:bottom w:val="single" w:color="000000" w:sz="4" w:space="0"/>
              <w:right w:val="single" w:color="000000" w:sz="4" w:space="0"/>
            </w:tcBorders>
            <w:noWrap/>
            <w:vAlign w:val="center"/>
          </w:tcPr>
          <w:p w14:paraId="2186BF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803" w:type="dxa"/>
            <w:tcBorders>
              <w:top w:val="single" w:color="000000" w:sz="4" w:space="0"/>
              <w:left w:val="single" w:color="000000" w:sz="4" w:space="0"/>
              <w:bottom w:val="single" w:color="000000" w:sz="4" w:space="0"/>
              <w:right w:val="single" w:color="000000" w:sz="4" w:space="0"/>
            </w:tcBorders>
            <w:noWrap/>
            <w:vAlign w:val="center"/>
          </w:tcPr>
          <w:p w14:paraId="28EE5BA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8696F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82013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72AEE5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57AB4E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09A86E3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DF7411D">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07CAD382">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kern w:val="0"/>
                <w:sz w:val="24"/>
                <w:szCs w:val="24"/>
              </w:rPr>
              <w:t>管线机</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3C70918E">
            <w:pPr>
              <w:widowControl/>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0.05L/s；包含三档壁挂式管线机，直饮水龙，茶水柜</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24B399C">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5E9CE17">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1E2C4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E568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083EEF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1E7140">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2</w:t>
            </w:r>
          </w:p>
        </w:tc>
        <w:tc>
          <w:tcPr>
            <w:tcW w:w="1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2E8F0">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供水管</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21C76F1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DN25，薄壁不锈钢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4E84D38">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9792A8B">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9BE4F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9960B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0E8D09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8E58C1E">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3</w:t>
            </w:r>
          </w:p>
        </w:tc>
        <w:tc>
          <w:tcPr>
            <w:tcW w:w="1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0901C">
            <w:pPr>
              <w:widowControl/>
              <w:jc w:val="center"/>
              <w:rPr>
                <w:rFonts w:hint="eastAsia" w:ascii="仿宋" w:hAnsi="仿宋" w:eastAsia="仿宋" w:cs="仿宋"/>
                <w:i w:val="0"/>
                <w:iCs w:val="0"/>
                <w:color w:val="000000"/>
                <w:sz w:val="24"/>
                <w:szCs w:val="24"/>
                <w:highlight w:val="none"/>
                <w:u w:val="none"/>
                <w:lang w:eastAsia="zh-CN"/>
              </w:rPr>
            </w:pP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1CFA9489">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DN15，薄壁不锈钢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0DFBBD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03B08D7">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D2C7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C1E99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D7CB17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15A369">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4</w:t>
            </w:r>
          </w:p>
        </w:tc>
        <w:tc>
          <w:tcPr>
            <w:tcW w:w="1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BF77C">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回水管</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3586CE2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DN25，薄壁不锈钢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7C4A2DB">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D48B309">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6E97D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D7884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66167A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025760">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5</w:t>
            </w:r>
          </w:p>
        </w:tc>
        <w:tc>
          <w:tcPr>
            <w:tcW w:w="1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EEA48">
            <w:pPr>
              <w:widowControl/>
              <w:jc w:val="center"/>
              <w:rPr>
                <w:rFonts w:hint="eastAsia" w:ascii="仿宋" w:hAnsi="仿宋" w:eastAsia="仿宋" w:cs="仿宋"/>
                <w:i w:val="0"/>
                <w:iCs w:val="0"/>
                <w:color w:val="000000"/>
                <w:sz w:val="24"/>
                <w:szCs w:val="24"/>
                <w:highlight w:val="none"/>
                <w:u w:val="none"/>
                <w:lang w:eastAsia="zh-CN"/>
              </w:rPr>
            </w:pP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43C85E5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DN15，薄壁不锈钢</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0124A40">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89D55D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81811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53E7F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738881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0EDA35">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6</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5BE69C6A">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电力电缆</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03242DD7">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ZRC-YJV-0.6/1kV-4x4</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22A7A57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68E71A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ACE98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405EE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279EF6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CEA5E3">
            <w:pPr>
              <w:widowControl/>
              <w:adjustRightInd w:val="0"/>
              <w:snapToGrid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zCs w:val="24"/>
              </w:rPr>
              <w:t>7</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40316046">
            <w:pPr>
              <w:widowControl/>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sz w:val="24"/>
                <w:szCs w:val="24"/>
              </w:rPr>
              <w:t>排水管道</w:t>
            </w:r>
          </w:p>
        </w:tc>
        <w:tc>
          <w:tcPr>
            <w:tcW w:w="2803" w:type="dxa"/>
            <w:tcBorders>
              <w:top w:val="single" w:color="000000" w:sz="4" w:space="0"/>
              <w:left w:val="single" w:color="000000" w:sz="4" w:space="0"/>
              <w:bottom w:val="single" w:color="000000" w:sz="4" w:space="0"/>
              <w:right w:val="single" w:color="000000" w:sz="4" w:space="0"/>
            </w:tcBorders>
            <w:noWrap w:val="0"/>
            <w:vAlign w:val="center"/>
          </w:tcPr>
          <w:p w14:paraId="2965BF45">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DN50，UPVC</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50B03D0">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15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E0639E0">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color w:val="000000"/>
                <w:sz w:val="24"/>
                <w:szCs w:val="24"/>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2133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1A7CB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D2AE066">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16517392">
      <w:pPr>
        <w:pStyle w:val="21"/>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2AAE66E4">
      <w:pPr>
        <w:jc w:val="left"/>
        <w:outlineLvl w:val="0"/>
        <w:rPr>
          <w:rStyle w:val="22"/>
          <w:rFonts w:hint="eastAsia" w:ascii="仿宋" w:hAnsi="仿宋" w:eastAsia="仿宋" w:cs="仿宋"/>
          <w:sz w:val="30"/>
        </w:rPr>
      </w:pPr>
      <w:bookmarkStart w:id="18" w:name="_Toc29506"/>
    </w:p>
    <w:p w14:paraId="6DEE082A">
      <w:pPr>
        <w:jc w:val="left"/>
        <w:outlineLvl w:val="0"/>
        <w:rPr>
          <w:rStyle w:val="22"/>
          <w:rFonts w:hint="eastAsia" w:ascii="仿宋" w:hAnsi="仿宋" w:eastAsia="仿宋" w:cs="仿宋"/>
          <w:sz w:val="30"/>
        </w:rPr>
      </w:pPr>
      <w:r>
        <w:rPr>
          <w:rStyle w:val="22"/>
          <w:rFonts w:hint="eastAsia" w:ascii="仿宋" w:hAnsi="仿宋" w:eastAsia="仿宋" w:cs="仿宋"/>
          <w:sz w:val="30"/>
        </w:rPr>
        <w:t>附件</w:t>
      </w:r>
      <w:r>
        <w:rPr>
          <w:rStyle w:val="22"/>
          <w:rFonts w:hint="eastAsia" w:ascii="仿宋" w:hAnsi="仿宋" w:eastAsia="仿宋" w:cs="仿宋"/>
          <w:sz w:val="30"/>
          <w:lang w:val="en-US"/>
        </w:rPr>
        <w:t>三</w:t>
      </w:r>
      <w:r>
        <w:rPr>
          <w:rStyle w:val="22"/>
          <w:rFonts w:hint="eastAsia" w:ascii="仿宋" w:hAnsi="仿宋" w:eastAsia="仿宋" w:cs="仿宋"/>
          <w:sz w:val="30"/>
        </w:rPr>
        <w:t>：</w:t>
      </w:r>
      <w:bookmarkEnd w:id="18"/>
      <w:r>
        <w:rPr>
          <w:rStyle w:val="22"/>
          <w:rFonts w:hint="eastAsia" w:ascii="仿宋" w:hAnsi="仿宋" w:eastAsia="仿宋" w:cs="仿宋"/>
          <w:sz w:val="30"/>
        </w:rPr>
        <w:t xml:space="preserve"> </w:t>
      </w: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地磅房加装直饮水管线机 </w:t>
      </w:r>
      <w:r>
        <w:rPr>
          <w:rFonts w:hint="eastAsia" w:ascii="仿宋" w:hAnsi="仿宋" w:eastAsia="仿宋" w:cs="仿宋"/>
          <w:color w:val="auto"/>
          <w:sz w:val="30"/>
          <w:szCs w:val="30"/>
          <w:u w:val="none"/>
          <w:lang w:val="en-US" w:eastAsia="zh-CN"/>
        </w:rPr>
        <w:t>项目。</w:t>
      </w:r>
    </w:p>
    <w:tbl>
      <w:tblPr>
        <w:tblStyle w:val="14"/>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163CFD95">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2C9D068A">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7153C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供货方提供经双方确认的送货及施工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二年质保，其履约保证金（合同价的5%）到时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5、</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EEC3FAA">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6054"/>
      <w:r>
        <w:rPr>
          <w:rStyle w:val="22"/>
          <w:rFonts w:hint="eastAsia" w:ascii="仿宋" w:hAnsi="仿宋" w:eastAsia="仿宋" w:cs="仿宋"/>
          <w:sz w:val="30"/>
        </w:rPr>
        <w:t>附件</w:t>
      </w:r>
      <w:bookmarkEnd w:id="19"/>
      <w:bookmarkEnd w:id="20"/>
      <w:r>
        <w:rPr>
          <w:rStyle w:val="22"/>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地磅房加装直饮水管线机项目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377A4A13"/>
    <w:multiLevelType w:val="singleLevel"/>
    <w:tmpl w:val="377A4A13"/>
    <w:lvl w:ilvl="0" w:tentative="0">
      <w:start w:val="7"/>
      <w:numFmt w:val="decimal"/>
      <w:suff w:val="nothing"/>
      <w:lvlText w:val="%1、"/>
      <w:lvlJc w:val="left"/>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37778F"/>
    <w:rsid w:val="076328DA"/>
    <w:rsid w:val="08186607"/>
    <w:rsid w:val="08323D9B"/>
    <w:rsid w:val="083A3947"/>
    <w:rsid w:val="08F93082"/>
    <w:rsid w:val="097479E0"/>
    <w:rsid w:val="0A0C6ADD"/>
    <w:rsid w:val="0A32752C"/>
    <w:rsid w:val="0A9D29B8"/>
    <w:rsid w:val="0B237EC8"/>
    <w:rsid w:val="0B2C6C02"/>
    <w:rsid w:val="0BC12699"/>
    <w:rsid w:val="0BCC31F9"/>
    <w:rsid w:val="0C5A16A4"/>
    <w:rsid w:val="0C691C6B"/>
    <w:rsid w:val="0DC35837"/>
    <w:rsid w:val="0DE61498"/>
    <w:rsid w:val="0ED22627"/>
    <w:rsid w:val="0FF5036F"/>
    <w:rsid w:val="10217049"/>
    <w:rsid w:val="10867335"/>
    <w:rsid w:val="110C39D4"/>
    <w:rsid w:val="112F5C45"/>
    <w:rsid w:val="1297576D"/>
    <w:rsid w:val="12BF4C87"/>
    <w:rsid w:val="12E70A09"/>
    <w:rsid w:val="15341747"/>
    <w:rsid w:val="15F7421D"/>
    <w:rsid w:val="163F0F8C"/>
    <w:rsid w:val="164F6705"/>
    <w:rsid w:val="16646293"/>
    <w:rsid w:val="16FE5921"/>
    <w:rsid w:val="17507F90"/>
    <w:rsid w:val="17B042A1"/>
    <w:rsid w:val="1A2B7D96"/>
    <w:rsid w:val="1B25743C"/>
    <w:rsid w:val="1B66485B"/>
    <w:rsid w:val="1BD33B78"/>
    <w:rsid w:val="1BEC2FB3"/>
    <w:rsid w:val="1C540D8D"/>
    <w:rsid w:val="1CDA4664"/>
    <w:rsid w:val="1CE262BC"/>
    <w:rsid w:val="1D6D770B"/>
    <w:rsid w:val="1E1A21EF"/>
    <w:rsid w:val="203B090D"/>
    <w:rsid w:val="20EB72B9"/>
    <w:rsid w:val="21135480"/>
    <w:rsid w:val="212C3971"/>
    <w:rsid w:val="214D7086"/>
    <w:rsid w:val="21BA7E4E"/>
    <w:rsid w:val="2237459C"/>
    <w:rsid w:val="22DF5956"/>
    <w:rsid w:val="22ED7F5E"/>
    <w:rsid w:val="231F50B3"/>
    <w:rsid w:val="24130D0C"/>
    <w:rsid w:val="24937D46"/>
    <w:rsid w:val="24CD5814"/>
    <w:rsid w:val="24EC2F20"/>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0C0799"/>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333E8E"/>
    <w:rsid w:val="3C836BC3"/>
    <w:rsid w:val="3C8719BD"/>
    <w:rsid w:val="3CE46170"/>
    <w:rsid w:val="3D431CCA"/>
    <w:rsid w:val="3D7933CA"/>
    <w:rsid w:val="3DA70031"/>
    <w:rsid w:val="3DAC3CC7"/>
    <w:rsid w:val="3E16524F"/>
    <w:rsid w:val="3EA30F9B"/>
    <w:rsid w:val="3F2D02B4"/>
    <w:rsid w:val="3F4C14EF"/>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A16EC6"/>
    <w:rsid w:val="5CF528AB"/>
    <w:rsid w:val="5D132301"/>
    <w:rsid w:val="5EF258CA"/>
    <w:rsid w:val="5F1E1E73"/>
    <w:rsid w:val="5FAA5441"/>
    <w:rsid w:val="606D4916"/>
    <w:rsid w:val="607E64E9"/>
    <w:rsid w:val="612A3DEE"/>
    <w:rsid w:val="61993E05"/>
    <w:rsid w:val="62B67083"/>
    <w:rsid w:val="63132229"/>
    <w:rsid w:val="63C07045"/>
    <w:rsid w:val="649C599A"/>
    <w:rsid w:val="651B0FEE"/>
    <w:rsid w:val="65305229"/>
    <w:rsid w:val="65DE42D2"/>
    <w:rsid w:val="662D7F1B"/>
    <w:rsid w:val="666E2F33"/>
    <w:rsid w:val="66B027B6"/>
    <w:rsid w:val="671A2875"/>
    <w:rsid w:val="67966EFB"/>
    <w:rsid w:val="67B628F5"/>
    <w:rsid w:val="682119CD"/>
    <w:rsid w:val="68880F5E"/>
    <w:rsid w:val="69A94E0C"/>
    <w:rsid w:val="6A1A0E79"/>
    <w:rsid w:val="6A2F770C"/>
    <w:rsid w:val="6A5C5429"/>
    <w:rsid w:val="6B10403F"/>
    <w:rsid w:val="6B656B47"/>
    <w:rsid w:val="6B7E1643"/>
    <w:rsid w:val="6C714475"/>
    <w:rsid w:val="6CDB032D"/>
    <w:rsid w:val="6DBD736C"/>
    <w:rsid w:val="6DF31CEE"/>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DD72C5"/>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E307C52"/>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7"/>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1"/>
    <w:pPr>
      <w:spacing w:after="120" w:afterLines="0"/>
    </w:pPr>
  </w:style>
  <w:style w:type="paragraph" w:styleId="6">
    <w:name w:val="Body Text Indent"/>
    <w:basedOn w:val="1"/>
    <w:autoRedefine/>
    <w:qFormat/>
    <w:uiPriority w:val="0"/>
    <w:pPr>
      <w:spacing w:line="480" w:lineRule="auto"/>
      <w:ind w:firstLine="600"/>
    </w:pPr>
    <w:rPr>
      <w:sz w:val="28"/>
    </w:rPr>
  </w:style>
  <w:style w:type="paragraph" w:styleId="7">
    <w:name w:val="Balloon Text"/>
    <w:basedOn w:val="1"/>
    <w:link w:val="26"/>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5"/>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Emphasis"/>
    <w:basedOn w:val="16"/>
    <w:qFormat/>
    <w:uiPriority w:val="0"/>
    <w:rPr>
      <w:i/>
    </w:rPr>
  </w:style>
  <w:style w:type="character" w:styleId="19">
    <w:name w:val="Hyperlink"/>
    <w:autoRedefine/>
    <w:qFormat/>
    <w:uiPriority w:val="99"/>
    <w:rPr>
      <w:color w:val="0000FF"/>
      <w:u w:val="single"/>
    </w:rPr>
  </w:style>
  <w:style w:type="character" w:styleId="20">
    <w:name w:val="annotation reference"/>
    <w:basedOn w:val="16"/>
    <w:autoRedefine/>
    <w:qFormat/>
    <w:uiPriority w:val="0"/>
    <w:rPr>
      <w:sz w:val="21"/>
      <w:szCs w:val="21"/>
    </w:rPr>
  </w:style>
  <w:style w:type="paragraph" w:customStyle="1" w:styleId="21">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2">
    <w:name w:val="标题 1 Char Char"/>
    <w:autoRedefine/>
    <w:qFormat/>
    <w:uiPriority w:val="0"/>
    <w:rPr>
      <w:rFonts w:eastAsia="宋体"/>
      <w:b/>
      <w:spacing w:val="-2"/>
      <w:sz w:val="24"/>
      <w:lang w:val="en-US" w:eastAsia="zh-CN"/>
    </w:rPr>
  </w:style>
  <w:style w:type="paragraph" w:customStyle="1" w:styleId="23">
    <w:name w:val="一、标题"/>
    <w:basedOn w:val="1"/>
    <w:autoRedefine/>
    <w:qFormat/>
    <w:uiPriority w:val="0"/>
    <w:rPr>
      <w:b/>
      <w:sz w:val="28"/>
    </w:rPr>
  </w:style>
  <w:style w:type="paragraph" w:styleId="24">
    <w:name w:val="List Paragraph"/>
    <w:basedOn w:val="1"/>
    <w:autoRedefine/>
    <w:qFormat/>
    <w:uiPriority w:val="34"/>
    <w:pPr>
      <w:ind w:firstLine="420" w:firstLineChars="200"/>
    </w:pPr>
  </w:style>
  <w:style w:type="character" w:customStyle="1" w:styleId="25">
    <w:name w:val="页眉 Char"/>
    <w:basedOn w:val="16"/>
    <w:link w:val="9"/>
    <w:autoRedefine/>
    <w:qFormat/>
    <w:uiPriority w:val="0"/>
    <w:rPr>
      <w:kern w:val="2"/>
      <w:sz w:val="18"/>
      <w:szCs w:val="18"/>
    </w:rPr>
  </w:style>
  <w:style w:type="character" w:customStyle="1" w:styleId="26">
    <w:name w:val="批注框文本 Char"/>
    <w:basedOn w:val="16"/>
    <w:link w:val="7"/>
    <w:autoRedefine/>
    <w:qFormat/>
    <w:uiPriority w:val="0"/>
    <w:rPr>
      <w:kern w:val="2"/>
      <w:sz w:val="18"/>
      <w:szCs w:val="18"/>
    </w:rPr>
  </w:style>
  <w:style w:type="character" w:customStyle="1" w:styleId="27">
    <w:name w:val="font31"/>
    <w:basedOn w:val="16"/>
    <w:autoRedefine/>
    <w:qFormat/>
    <w:uiPriority w:val="0"/>
    <w:rPr>
      <w:rFonts w:hint="eastAsia" w:ascii="宋体" w:hAnsi="宋体" w:eastAsia="宋体" w:cs="宋体"/>
      <w:color w:val="000000"/>
      <w:sz w:val="22"/>
      <w:szCs w:val="22"/>
      <w:u w:val="none"/>
    </w:rPr>
  </w:style>
  <w:style w:type="character" w:customStyle="1" w:styleId="28">
    <w:name w:val="font51"/>
    <w:basedOn w:val="16"/>
    <w:autoRedefine/>
    <w:qFormat/>
    <w:uiPriority w:val="0"/>
    <w:rPr>
      <w:rFonts w:hint="default" w:ascii="Times New Roman" w:hAnsi="Times New Roman" w:cs="Times New Roman"/>
      <w:color w:val="000000"/>
      <w:sz w:val="22"/>
      <w:szCs w:val="22"/>
      <w:u w:val="none"/>
    </w:rPr>
  </w:style>
  <w:style w:type="character" w:customStyle="1" w:styleId="29">
    <w:name w:val="font41"/>
    <w:basedOn w:val="16"/>
    <w:autoRedefine/>
    <w:qFormat/>
    <w:uiPriority w:val="0"/>
    <w:rPr>
      <w:rFonts w:ascii="仿宋_GB2312" w:eastAsia="仿宋_GB2312" w:cs="仿宋_GB2312"/>
      <w:color w:val="000000"/>
      <w:sz w:val="22"/>
      <w:szCs w:val="22"/>
      <w:u w:val="none"/>
    </w:rPr>
  </w:style>
  <w:style w:type="character" w:customStyle="1" w:styleId="30">
    <w:name w:val="font21"/>
    <w:basedOn w:val="16"/>
    <w:autoRedefine/>
    <w:qFormat/>
    <w:uiPriority w:val="0"/>
    <w:rPr>
      <w:rFonts w:hint="eastAsia" w:ascii="宋体" w:hAnsi="宋体" w:eastAsia="宋体" w:cs="宋体"/>
      <w:color w:val="000000"/>
      <w:sz w:val="22"/>
      <w:szCs w:val="22"/>
      <w:u w:val="none"/>
      <w:vertAlign w:val="superscript"/>
    </w:rPr>
  </w:style>
  <w:style w:type="character" w:customStyle="1" w:styleId="31">
    <w:name w:val="font01"/>
    <w:basedOn w:val="16"/>
    <w:autoRedefine/>
    <w:qFormat/>
    <w:uiPriority w:val="0"/>
    <w:rPr>
      <w:rFonts w:hint="eastAsia" w:ascii="宋体" w:hAnsi="宋体" w:eastAsia="宋体" w:cs="宋体"/>
      <w:color w:val="000000"/>
      <w:sz w:val="22"/>
      <w:szCs w:val="22"/>
      <w:u w:val="none"/>
    </w:rPr>
  </w:style>
  <w:style w:type="character" w:customStyle="1" w:styleId="32">
    <w:name w:val="font11"/>
    <w:basedOn w:val="16"/>
    <w:autoRedefine/>
    <w:qFormat/>
    <w:uiPriority w:val="0"/>
    <w:rPr>
      <w:rFonts w:hint="eastAsia" w:ascii="宋体" w:hAnsi="宋体" w:eastAsia="宋体" w:cs="宋体"/>
      <w:color w:val="000000"/>
      <w:sz w:val="24"/>
      <w:szCs w:val="24"/>
      <w:u w:val="none"/>
    </w:rPr>
  </w:style>
  <w:style w:type="paragraph" w:customStyle="1" w:styleId="33">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4">
    <w:name w:val="font81"/>
    <w:basedOn w:val="16"/>
    <w:autoRedefine/>
    <w:qFormat/>
    <w:uiPriority w:val="0"/>
    <w:rPr>
      <w:rFonts w:ascii="宋体" w:hAnsi="宋体" w:eastAsia="宋体" w:cs="宋体"/>
      <w:color w:val="000000"/>
      <w:sz w:val="20"/>
      <w:szCs w:val="20"/>
      <w:u w:val="none"/>
    </w:rPr>
  </w:style>
  <w:style w:type="character" w:customStyle="1" w:styleId="35">
    <w:name w:val="font71"/>
    <w:basedOn w:val="16"/>
    <w:autoRedefine/>
    <w:qFormat/>
    <w:uiPriority w:val="0"/>
    <w:rPr>
      <w:rFonts w:hint="eastAsia" w:ascii="仿宋" w:hAnsi="仿宋" w:eastAsia="仿宋" w:cs="仿宋"/>
      <w:color w:val="000000"/>
      <w:sz w:val="22"/>
      <w:szCs w:val="22"/>
      <w:u w:val="none"/>
    </w:rPr>
  </w:style>
  <w:style w:type="paragraph" w:customStyle="1" w:styleId="36">
    <w:name w:val="样式1"/>
    <w:basedOn w:val="1"/>
    <w:autoRedefine/>
    <w:qFormat/>
    <w:uiPriority w:val="0"/>
    <w:pPr>
      <w:spacing w:line="240" w:lineRule="exact"/>
    </w:pPr>
    <w:rPr>
      <w:rFonts w:ascii="宋体" w:hAnsi="宋体" w:eastAsia="宋体"/>
      <w:sz w:val="24"/>
      <w:szCs w:val="24"/>
    </w:rPr>
  </w:style>
  <w:style w:type="character" w:customStyle="1" w:styleId="37">
    <w:name w:val="标题 1 Char"/>
    <w:link w:val="3"/>
    <w:autoRedefine/>
    <w:qFormat/>
    <w:uiPriority w:val="0"/>
    <w:rPr>
      <w:rFonts w:ascii="宋体" w:hAnsi="Arial" w:eastAsia="黑体"/>
      <w:b/>
      <w:color w:val="000000"/>
      <w:kern w:val="44"/>
      <w:sz w:val="36"/>
    </w:rPr>
  </w:style>
  <w:style w:type="paragraph" w:customStyle="1" w:styleId="38">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10553</Words>
  <Characters>11454</Characters>
  <Lines>53</Lines>
  <Paragraphs>15</Paragraphs>
  <TotalTime>0</TotalTime>
  <ScaleCrop>false</ScaleCrop>
  <LinksUpToDate>false</LinksUpToDate>
  <CharactersWithSpaces>12825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2026-04-10T02:14:00Z</cp:lastPrinted>
  <dcterms:modified xsi:type="dcterms:W3CDTF">2026-04-17T02:13:05Z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B4D4A91E3FF140F1A846D40C652BE8E2_13</vt:lpwstr>
  </property>
  <property fmtid="{D5CDD505-2E9C-101B-9397-08002B2CF9AE}" pid="4" name="KSOTemplateDocerSaveRecord">
    <vt:lpwstr>eyJoZGlkIjoiYzUwZDFhNTA3NTBkYjYwNzBmOWEzNGQxZTA1ZTZlYTEiLCJ1c2VySWQiOiI0MTkyNjk4ODkifQ==</vt:lpwstr>
  </property>
</Properties>
</file>