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highlight w:val="none"/>
        </w:rPr>
      </w:pPr>
      <w:bookmarkStart w:id="0" w:name="_Toc28009"/>
      <w:r>
        <w:rPr>
          <w:rFonts w:hint="eastAsia" w:ascii="仿宋_GB2312" w:hAnsi="宋体" w:eastAsia="仿宋_GB2312"/>
          <w:b/>
          <w:sz w:val="52"/>
          <w:szCs w:val="52"/>
          <w:highlight w:val="none"/>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2026年度无水醋酸钠采购项目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CG-WS-2512002 </w:t>
      </w:r>
    </w:p>
    <w:p w14:paraId="6D250556">
      <w:pPr>
        <w:spacing w:line="360" w:lineRule="auto"/>
        <w:ind w:firstLine="80" w:firstLineChars="25"/>
        <w:jc w:val="center"/>
        <w:rPr>
          <w:rFonts w:hint="eastAsia" w:ascii="仿宋" w:hAnsi="仿宋" w:eastAsia="仿宋" w:cs="仿宋"/>
          <w:sz w:val="32"/>
          <w:szCs w:val="32"/>
          <w:u w:val="single"/>
          <w:lang w:val="en-US" w:eastAsia="zh-CN"/>
        </w:rPr>
      </w:pPr>
      <w:bookmarkStart w:id="2" w:name="OLE_LINK52"/>
      <w:bookmarkStart w:id="3" w:name="OLE_LINK53"/>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 xml:space="preserve"> 2026年度无水醋酸钠采购项目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289C425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五</w:t>
      </w:r>
      <w:r>
        <w:rPr>
          <w:rFonts w:hint="eastAsia" w:ascii="仿宋" w:hAnsi="仿宋" w:eastAsia="仿宋" w:cs="仿宋"/>
          <w:sz w:val="32"/>
          <w:szCs w:val="32"/>
        </w:rPr>
        <w:t>年</w:t>
      </w:r>
      <w:r>
        <w:rPr>
          <w:rFonts w:hint="eastAsia" w:ascii="仿宋" w:hAnsi="仿宋" w:eastAsia="仿宋" w:cs="仿宋"/>
          <w:sz w:val="32"/>
          <w:szCs w:val="32"/>
          <w:lang w:val="en-US" w:eastAsia="zh-CN"/>
        </w:rPr>
        <w:t>十二</w:t>
      </w:r>
      <w:r>
        <w:rPr>
          <w:rFonts w:hint="eastAsia" w:ascii="仿宋" w:hAnsi="仿宋" w:eastAsia="仿宋" w:cs="仿宋"/>
          <w:sz w:val="32"/>
          <w:szCs w:val="32"/>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4</w:t>
      </w:r>
      <w:r>
        <w:rPr>
          <w:b w:val="0"/>
          <w:bCs/>
          <w:sz w:val="32"/>
          <w:szCs w:val="28"/>
        </w:rPr>
        <w:fldChar w:fldCharType="end"/>
      </w:r>
      <w:r>
        <w:rPr>
          <w:rFonts w:hint="eastAsia" w:ascii="仿宋" w:hAnsi="仿宋" w:eastAsia="仿宋" w:cs="仿宋"/>
          <w:b w:val="0"/>
          <w:bCs/>
          <w:sz w:val="32"/>
          <w:szCs w:val="28"/>
        </w:rPr>
        <w:fldChar w:fldCharType="end"/>
      </w:r>
    </w:p>
    <w:p w14:paraId="7CF0B99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30C103B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430C28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14:paraId="1B60AEC3">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14:paraId="78A7DB2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3FD4B93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22</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6995"/>
      <w:bookmarkStart w:id="5" w:name="_Toc530583921"/>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 xml:space="preserve"> 2026年度无水醋酸钠采购项目进行招标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SX-CG-WS-2512002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313" w:type="pct"/>
        <w:jc w:val="center"/>
        <w:tblLayout w:type="fixed"/>
        <w:tblCellMar>
          <w:top w:w="0" w:type="dxa"/>
          <w:left w:w="108" w:type="dxa"/>
          <w:bottom w:w="0" w:type="dxa"/>
          <w:right w:w="108" w:type="dxa"/>
        </w:tblCellMar>
      </w:tblPr>
      <w:tblGrid>
        <w:gridCol w:w="750"/>
        <w:gridCol w:w="2921"/>
        <w:gridCol w:w="2493"/>
        <w:gridCol w:w="915"/>
        <w:gridCol w:w="932"/>
      </w:tblGrid>
      <w:tr w14:paraId="6D32D3CC">
        <w:tblPrEx>
          <w:tblCellMar>
            <w:top w:w="0" w:type="dxa"/>
            <w:left w:w="108" w:type="dxa"/>
            <w:bottom w:w="0" w:type="dxa"/>
            <w:right w:w="108" w:type="dxa"/>
          </w:tblCellMar>
        </w:tblPrEx>
        <w:trPr>
          <w:trHeight w:val="467"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921"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493"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预估数量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r>
      <w:tr w14:paraId="60A1A4BA">
        <w:tblPrEx>
          <w:tblCellMar>
            <w:top w:w="0" w:type="dxa"/>
            <w:left w:w="108" w:type="dxa"/>
            <w:bottom w:w="0" w:type="dxa"/>
            <w:right w:w="108" w:type="dxa"/>
          </w:tblCellMar>
        </w:tblPrEx>
        <w:trPr>
          <w:trHeight w:val="1024"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921"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无水醋酸钠（无水乙酸钠）</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2"/>
                <w:szCs w:val="22"/>
                <w:u w:val="none"/>
                <w:lang w:val="en-US" w:eastAsia="zh-CN" w:bidi="ar"/>
              </w:rPr>
              <w:t>浓度≥98%，25kg/包</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5000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公斤</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人民币2.6</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68EAEB19">
      <w:pPr>
        <w:pStyle w:val="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4.技术要求：</w:t>
      </w:r>
    </w:p>
    <w:p w14:paraId="20818EC3">
      <w:pPr>
        <w:pStyle w:val="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①浓度≥98%，25kg/包。</w:t>
      </w:r>
    </w:p>
    <w:p w14:paraId="612A33C4">
      <w:pPr>
        <w:pStyle w:val="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②供货方需提供产品报告。</w:t>
      </w:r>
    </w:p>
    <w:p w14:paraId="5260B29F">
      <w:pPr>
        <w:pStyle w:val="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③供货方所供货物的包装需以吨袋或托盘等经由采购人同意的包装形式，若由于采用不充分或不妥善的防护措施造成货物的任何损坏、腐蚀或变形，采购人有权拒收，供货方应承担由此造成的一切损失。</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0692F0E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23057"/>
      <w:bookmarkStart w:id="8" w:name="_Toc530583922"/>
      <w:bookmarkStart w:id="9" w:name="_Toc530583879"/>
      <w:bookmarkStart w:id="10" w:name="_Toc530583923"/>
      <w:bookmarkStart w:id="11"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5</w:t>
      </w:r>
      <w:r>
        <w:rPr>
          <w:rFonts w:hint="eastAsia" w:ascii="仿宋_GB2312" w:eastAsia="仿宋_GB2312"/>
          <w:sz w:val="30"/>
          <w:szCs w:val="30"/>
        </w:rPr>
        <w:t>年</w:t>
      </w:r>
      <w:r>
        <w:rPr>
          <w:rFonts w:hint="eastAsia" w:ascii="仿宋_GB2312" w:eastAsia="仿宋_GB2312"/>
          <w:sz w:val="30"/>
          <w:szCs w:val="30"/>
          <w:lang w:val="en-US" w:eastAsia="zh-CN"/>
        </w:rPr>
        <w:t>12月19</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报价文件邮递递交截止时间：截至2025年</w:t>
      </w:r>
      <w:r>
        <w:rPr>
          <w:rFonts w:hint="eastAsia" w:ascii="仿宋_GB2312" w:eastAsia="仿宋_GB2312"/>
          <w:sz w:val="30"/>
          <w:szCs w:val="30"/>
          <w:lang w:val="en-US" w:eastAsia="zh-CN"/>
        </w:rPr>
        <w:t>12</w:t>
      </w:r>
      <w:r>
        <w:rPr>
          <w:rFonts w:hint="eastAsia" w:ascii="仿宋_GB2312" w:eastAsia="仿宋_GB2312"/>
          <w:sz w:val="30"/>
          <w:szCs w:val="30"/>
        </w:rPr>
        <w:t>月</w:t>
      </w:r>
      <w:r>
        <w:rPr>
          <w:rFonts w:hint="eastAsia" w:ascii="仿宋_GB2312" w:eastAsia="仿宋_GB2312"/>
          <w:sz w:val="30"/>
          <w:szCs w:val="30"/>
          <w:lang w:val="en-US" w:eastAsia="zh-CN"/>
        </w:rPr>
        <w:t>18</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2025</w:t>
      </w:r>
      <w:r>
        <w:rPr>
          <w:rFonts w:hint="default" w:ascii="仿宋_GB2312" w:eastAsia="仿宋_GB2312"/>
          <w:sz w:val="30"/>
          <w:szCs w:val="30"/>
          <w:lang w:val="en-US"/>
        </w:rPr>
        <w:t>年</w:t>
      </w:r>
      <w:r>
        <w:rPr>
          <w:rFonts w:hint="eastAsia" w:ascii="仿宋_GB2312" w:eastAsia="仿宋_GB2312"/>
          <w:sz w:val="30"/>
          <w:szCs w:val="30"/>
          <w:lang w:val="en-US" w:eastAsia="zh-CN"/>
        </w:rPr>
        <w:t>12月12</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p>
    <w:p w14:paraId="4EFDF728">
      <w:pPr>
        <w:pStyle w:val="2"/>
        <w:rPr>
          <w:rFonts w:hint="eastAsia" w:ascii="仿宋_GB2312" w:eastAsia="仿宋_GB2312"/>
          <w:sz w:val="30"/>
          <w:szCs w:val="30"/>
        </w:rPr>
      </w:pPr>
    </w:p>
    <w:p w14:paraId="41CF67AE">
      <w:pPr>
        <w:pStyle w:val="2"/>
        <w:rPr>
          <w:rFonts w:hint="eastAsia" w:ascii="仿宋_GB2312" w:eastAsia="仿宋_GB2312"/>
          <w:sz w:val="30"/>
          <w:szCs w:val="30"/>
        </w:rPr>
      </w:pPr>
    </w:p>
    <w:p w14:paraId="1B8DEF0A">
      <w:pPr>
        <w:pStyle w:val="2"/>
        <w:rPr>
          <w:rFonts w:hint="eastAsia" w:ascii="仿宋_GB2312" w:eastAsia="仿宋_GB2312"/>
          <w:sz w:val="30"/>
          <w:szCs w:val="30"/>
        </w:rPr>
      </w:pPr>
    </w:p>
    <w:p w14:paraId="2CCD9DA2">
      <w:pPr>
        <w:pStyle w:val="2"/>
        <w:rPr>
          <w:rFonts w:hint="eastAsia" w:ascii="仿宋_GB2312" w:eastAsia="仿宋_GB2312"/>
          <w:sz w:val="30"/>
          <w:szCs w:val="30"/>
        </w:rPr>
      </w:pPr>
    </w:p>
    <w:p w14:paraId="6BD300D3">
      <w:pPr>
        <w:pStyle w:val="2"/>
        <w:rPr>
          <w:rFonts w:hint="eastAsia" w:ascii="仿宋_GB2312" w:eastAsia="仿宋_GB2312"/>
          <w:sz w:val="30"/>
          <w:szCs w:val="30"/>
        </w:rPr>
      </w:pPr>
    </w:p>
    <w:p w14:paraId="55D780DF">
      <w:pPr>
        <w:pStyle w:val="2"/>
        <w:rPr>
          <w:rFonts w:hint="eastAsia" w:ascii="仿宋_GB2312" w:eastAsia="仿宋_GB2312"/>
          <w:sz w:val="30"/>
          <w:szCs w:val="30"/>
        </w:rPr>
      </w:pPr>
    </w:p>
    <w:p w14:paraId="70FC8F71">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bookmarkStart w:id="21" w:name="_GoBack"/>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bookmarkEnd w:id="21"/>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6EC63868">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本项目供货期为一年，根据采购人实际需要，分批次供货，按实际结算。双方签订合同后，供货方接到采购人送货通知后，3个工作日内将货物如数送至采购人指定地点，由供应商负责卸货至指定位置。</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30562440">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每批次送货完成且经由采购人验收合格后，按实际送货量进行结算。供货方提供经双方确认的送货清单及增值税专用发票，采购人自收到准确清单和发票后，于次二月完成货款支付。供货方需提供履约保证金（合同价的5%），合同履约过程中自动转为质保金，于合同到期后无息退还。</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2126"/>
        <w:gridCol w:w="1000"/>
        <w:gridCol w:w="967"/>
        <w:gridCol w:w="1600"/>
        <w:gridCol w:w="1688"/>
      </w:tblGrid>
      <w:tr w14:paraId="0356952B">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63873BE5">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5D0ABF2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产品名称</w:t>
            </w:r>
          </w:p>
        </w:tc>
        <w:tc>
          <w:tcPr>
            <w:tcW w:w="2126" w:type="dxa"/>
            <w:tcBorders>
              <w:top w:val="single" w:color="auto" w:sz="4" w:space="0"/>
              <w:left w:val="nil"/>
              <w:bottom w:val="single" w:color="auto" w:sz="4" w:space="0"/>
              <w:right w:val="single" w:color="auto" w:sz="4" w:space="0"/>
            </w:tcBorders>
            <w:noWrap w:val="0"/>
            <w:vAlign w:val="center"/>
          </w:tcPr>
          <w:p w14:paraId="75AC0A3C">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型号规格</w:t>
            </w:r>
          </w:p>
        </w:tc>
        <w:tc>
          <w:tcPr>
            <w:tcW w:w="1000" w:type="dxa"/>
            <w:tcBorders>
              <w:top w:val="single" w:color="auto" w:sz="4" w:space="0"/>
              <w:left w:val="nil"/>
              <w:bottom w:val="single" w:color="auto" w:sz="4" w:space="0"/>
              <w:right w:val="single" w:color="auto" w:sz="4" w:space="0"/>
            </w:tcBorders>
            <w:noWrap w:val="0"/>
            <w:vAlign w:val="center"/>
          </w:tcPr>
          <w:p w14:paraId="59F18CFE">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数量</w:t>
            </w:r>
          </w:p>
        </w:tc>
        <w:tc>
          <w:tcPr>
            <w:tcW w:w="967" w:type="dxa"/>
            <w:tcBorders>
              <w:top w:val="single" w:color="auto" w:sz="4" w:space="0"/>
              <w:left w:val="nil"/>
              <w:bottom w:val="single" w:color="auto" w:sz="4" w:space="0"/>
              <w:right w:val="single" w:color="auto" w:sz="4" w:space="0"/>
            </w:tcBorders>
            <w:noWrap w:val="0"/>
            <w:vAlign w:val="center"/>
          </w:tcPr>
          <w:p w14:paraId="1827530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单位</w:t>
            </w:r>
          </w:p>
        </w:tc>
        <w:tc>
          <w:tcPr>
            <w:tcW w:w="1600" w:type="dxa"/>
            <w:tcBorders>
              <w:top w:val="single" w:color="auto" w:sz="4" w:space="0"/>
              <w:left w:val="nil"/>
              <w:bottom w:val="single" w:color="auto" w:sz="4" w:space="0"/>
              <w:right w:val="single" w:color="auto" w:sz="4" w:space="0"/>
            </w:tcBorders>
            <w:noWrap w:val="0"/>
            <w:vAlign w:val="center"/>
          </w:tcPr>
          <w:p w14:paraId="16AF9A4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单价（元）</w:t>
            </w:r>
          </w:p>
        </w:tc>
        <w:tc>
          <w:tcPr>
            <w:tcW w:w="1688" w:type="dxa"/>
            <w:tcBorders>
              <w:top w:val="single" w:color="auto" w:sz="4" w:space="0"/>
              <w:left w:val="nil"/>
              <w:bottom w:val="single" w:color="auto" w:sz="4" w:space="0"/>
              <w:right w:val="single" w:color="auto" w:sz="4" w:space="0"/>
            </w:tcBorders>
            <w:noWrap w:val="0"/>
            <w:vAlign w:val="center"/>
          </w:tcPr>
          <w:p w14:paraId="5CD5692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金额（元）</w:t>
            </w:r>
          </w:p>
        </w:tc>
      </w:tr>
      <w:tr w14:paraId="1C0CE292">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20B64838">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3CCC877F">
            <w:pPr>
              <w:adjustRightInd/>
              <w:snapToGrid/>
              <w:spacing w:after="0"/>
              <w:jc w:val="center"/>
              <w:rPr>
                <w:rFonts w:hint="eastAsia" w:ascii="Times New Roman" w:hAnsi="Times New Roman" w:eastAsia="方正仿宋_GBK" w:cs="Times New Roman"/>
                <w:b/>
                <w:bCs/>
                <w:sz w:val="24"/>
                <w:szCs w:val="24"/>
              </w:rPr>
            </w:pPr>
          </w:p>
        </w:tc>
        <w:tc>
          <w:tcPr>
            <w:tcW w:w="2126" w:type="dxa"/>
            <w:tcBorders>
              <w:top w:val="nil"/>
              <w:left w:val="nil"/>
              <w:bottom w:val="single" w:color="auto" w:sz="4" w:space="0"/>
              <w:right w:val="single" w:color="auto" w:sz="4" w:space="0"/>
            </w:tcBorders>
            <w:shd w:val="clear" w:color="000000" w:fill="FFFFFF"/>
            <w:noWrap w:val="0"/>
            <w:vAlign w:val="center"/>
          </w:tcPr>
          <w:p w14:paraId="076C32E8">
            <w:pPr>
              <w:adjustRightInd/>
              <w:snapToGrid/>
              <w:spacing w:after="0"/>
              <w:jc w:val="center"/>
              <w:rPr>
                <w:rFonts w:hint="eastAsia" w:ascii="Times New Roman" w:hAnsi="Times New Roman" w:eastAsia="方正仿宋_GBK" w:cs="Times New Roman"/>
                <w:b/>
                <w:bCs/>
                <w:sz w:val="24"/>
                <w:szCs w:val="24"/>
              </w:rPr>
            </w:pPr>
          </w:p>
        </w:tc>
        <w:tc>
          <w:tcPr>
            <w:tcW w:w="1000" w:type="dxa"/>
            <w:tcBorders>
              <w:top w:val="nil"/>
              <w:left w:val="nil"/>
              <w:bottom w:val="single" w:color="auto" w:sz="4" w:space="0"/>
              <w:right w:val="single" w:color="auto" w:sz="4" w:space="0"/>
            </w:tcBorders>
            <w:shd w:val="clear" w:color="000000" w:fill="FFFFFF"/>
            <w:noWrap w:val="0"/>
            <w:vAlign w:val="center"/>
          </w:tcPr>
          <w:p w14:paraId="09DEB3F6">
            <w:pPr>
              <w:adjustRightInd/>
              <w:snapToGrid/>
              <w:spacing w:after="0"/>
              <w:jc w:val="center"/>
              <w:rPr>
                <w:rFonts w:hint="default" w:ascii="Times New Roman" w:hAnsi="Times New Roman" w:eastAsia="方正仿宋_GBK" w:cs="Times New Roman"/>
                <w:b/>
                <w:bCs/>
                <w:sz w:val="24"/>
                <w:szCs w:val="24"/>
              </w:rPr>
            </w:pPr>
          </w:p>
        </w:tc>
        <w:tc>
          <w:tcPr>
            <w:tcW w:w="967"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1600" w:type="dxa"/>
            <w:tcBorders>
              <w:top w:val="nil"/>
              <w:left w:val="nil"/>
              <w:bottom w:val="single" w:color="auto" w:sz="4" w:space="0"/>
              <w:right w:val="single" w:color="auto" w:sz="4" w:space="0"/>
            </w:tcBorders>
            <w:noWrap w:val="0"/>
            <w:vAlign w:val="center"/>
          </w:tcPr>
          <w:p w14:paraId="21F099A9">
            <w:pPr>
              <w:adjustRightInd/>
              <w:snapToGrid/>
              <w:spacing w:after="0"/>
              <w:jc w:val="center"/>
              <w:rPr>
                <w:rFonts w:hint="default" w:ascii="Times New Roman" w:hAnsi="Times New Roman" w:eastAsia="方正仿宋_GBK" w:cs="Times New Roman"/>
                <w:b/>
                <w:bCs/>
                <w:sz w:val="24"/>
                <w:szCs w:val="24"/>
              </w:rPr>
            </w:pPr>
          </w:p>
        </w:tc>
        <w:tc>
          <w:tcPr>
            <w:tcW w:w="1688" w:type="dxa"/>
            <w:tcBorders>
              <w:top w:val="nil"/>
              <w:left w:val="nil"/>
              <w:bottom w:val="single" w:color="auto" w:sz="4" w:space="0"/>
              <w:right w:val="single" w:color="auto" w:sz="4" w:space="0"/>
            </w:tcBorders>
            <w:noWrap w:val="0"/>
            <w:vAlign w:val="center"/>
          </w:tcPr>
          <w:p w14:paraId="544EFE83">
            <w:pPr>
              <w:adjustRightInd/>
              <w:snapToGrid/>
              <w:spacing w:after="0"/>
              <w:jc w:val="center"/>
              <w:rPr>
                <w:rFonts w:hint="eastAsia" w:ascii="Times New Roman" w:hAnsi="Times New Roman" w:eastAsia="方正仿宋_GBK" w:cs="Times New Roman"/>
                <w:b/>
                <w:bCs/>
                <w:sz w:val="24"/>
                <w:szCs w:val="24"/>
              </w:rPr>
            </w:pPr>
          </w:p>
        </w:tc>
      </w:tr>
      <w:tr w14:paraId="726A83C2">
        <w:tblPrEx>
          <w:tblCellMar>
            <w:top w:w="0" w:type="dxa"/>
            <w:left w:w="108" w:type="dxa"/>
            <w:bottom w:w="0" w:type="dxa"/>
            <w:right w:w="108" w:type="dxa"/>
          </w:tblCellMar>
        </w:tblPrEx>
        <w:trPr>
          <w:trHeight w:val="836" w:hRule="atLeast"/>
          <w:jc w:val="center"/>
        </w:trPr>
        <w:tc>
          <w:tcPr>
            <w:tcW w:w="6283" w:type="dxa"/>
            <w:gridSpan w:val="5"/>
            <w:tcBorders>
              <w:top w:val="nil"/>
              <w:left w:val="single" w:color="auto" w:sz="4" w:space="0"/>
              <w:bottom w:val="single" w:color="auto" w:sz="4" w:space="0"/>
              <w:right w:val="single" w:color="auto" w:sz="4" w:space="0"/>
            </w:tcBorders>
            <w:noWrap w:val="0"/>
            <w:vAlign w:val="center"/>
          </w:tcPr>
          <w:p w14:paraId="36DCC117">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3288" w:type="dxa"/>
            <w:gridSpan w:val="2"/>
            <w:tcBorders>
              <w:top w:val="nil"/>
              <w:left w:val="single" w:color="auto" w:sz="4" w:space="0"/>
              <w:bottom w:val="single" w:color="auto" w:sz="4" w:space="0"/>
              <w:right w:val="single" w:color="auto" w:sz="4" w:space="0"/>
            </w:tcBorders>
            <w:noWrap w:val="0"/>
            <w:vAlign w:val="center"/>
          </w:tcPr>
          <w:p w14:paraId="34AD055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31543C77">
        <w:tblPrEx>
          <w:tblCellMar>
            <w:top w:w="0" w:type="dxa"/>
            <w:left w:w="108" w:type="dxa"/>
            <w:bottom w:w="0" w:type="dxa"/>
            <w:right w:w="108" w:type="dxa"/>
          </w:tblCellMar>
        </w:tblPrEx>
        <w:trPr>
          <w:trHeight w:val="716" w:hRule="atLeast"/>
          <w:jc w:val="center"/>
        </w:trPr>
        <w:tc>
          <w:tcPr>
            <w:tcW w:w="9571" w:type="dxa"/>
            <w:gridSpan w:val="7"/>
            <w:tcBorders>
              <w:top w:val="nil"/>
              <w:left w:val="single" w:color="auto" w:sz="4" w:space="0"/>
              <w:bottom w:val="single" w:color="auto" w:sz="4" w:space="0"/>
              <w:right w:val="single" w:color="auto" w:sz="4" w:space="0"/>
            </w:tcBorders>
            <w:noWrap w:val="0"/>
            <w:vAlign w:val="center"/>
          </w:tcPr>
          <w:p w14:paraId="314EA4C8">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1450F33B">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本项目供货期为一年，根据采购人实际需要，分批次供货，按实际结算。双方签订合同后，供货方接到采购人送货通知后，3个工作日内将货物如数送至采购人指定地点，由供应商负责卸货至指定位置。</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符合现场使用要求。</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w:t>
      </w:r>
      <w:r>
        <w:rPr>
          <w:rFonts w:hint="eastAsia" w:ascii="方正仿宋_GBK" w:hAnsi="方正仿宋_GBK" w:eastAsia="方正仿宋_GBK" w:cs="方正仿宋_GBK"/>
          <w:sz w:val="28"/>
          <w:szCs w:val="28"/>
          <w:highlight w:val="none"/>
        </w:rPr>
        <w:t>定</w:t>
      </w:r>
      <w:r>
        <w:rPr>
          <w:rFonts w:hint="eastAsia" w:ascii="方正仿宋_GBK" w:hAnsi="方正仿宋_GBK" w:eastAsia="方正仿宋_GBK" w:cs="方正仿宋_GBK"/>
          <w:sz w:val="28"/>
          <w:szCs w:val="28"/>
          <w:highlight w:val="none"/>
          <w:lang w:val="en-US" w:eastAsia="zh-CN"/>
        </w:rPr>
        <w:t>单价</w:t>
      </w:r>
      <w:r>
        <w:rPr>
          <w:rFonts w:hint="eastAsia" w:ascii="方正仿宋_GBK" w:hAnsi="方正仿宋_GBK" w:eastAsia="方正仿宋_GBK" w:cs="方正仿宋_GBK"/>
          <w:sz w:val="28"/>
          <w:szCs w:val="28"/>
        </w:rPr>
        <w:t>合同，</w:t>
      </w:r>
      <w:r>
        <w:rPr>
          <w:rFonts w:hint="eastAsia" w:ascii="方正仿宋_GBK" w:hAnsi="方正仿宋_GBK" w:eastAsia="方正仿宋_GBK" w:cs="方正仿宋_GBK"/>
          <w:sz w:val="28"/>
          <w:szCs w:val="28"/>
          <w:lang w:val="en-US" w:eastAsia="zh-CN"/>
        </w:rPr>
        <w:t>按实结算，最终结算价不得超过合同预估总价。</w:t>
      </w:r>
      <w:r>
        <w:rPr>
          <w:rFonts w:hint="eastAsia" w:ascii="方正仿宋_GBK" w:hAnsi="方正仿宋_GBK" w:eastAsia="方正仿宋_GBK" w:cs="方正仿宋_GBK"/>
          <w:sz w:val="28"/>
          <w:szCs w:val="28"/>
        </w:rPr>
        <w:t>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每批次送货完成且经由采购人验收合格后，按实际送货量进行结算。供货方提供经双方确认的送货清单及增值税专用发票，采购人自收到准确清单和发票后，于次二月完成货款支付。供货方需提供履约保证金（合同价的5%），合同履约过程中自动转为质保金，于合同到期后无息退还。</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2026年度无水醋酸钠采购项目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3A8DAFBE">
      <w:pPr>
        <w:jc w:val="left"/>
        <w:outlineLvl w:val="0"/>
        <w:rPr>
          <w:rStyle w:val="20"/>
          <w:rFonts w:hint="eastAsia" w:ascii="仿宋" w:hAnsi="仿宋" w:eastAsia="仿宋" w:cs="仿宋"/>
          <w:sz w:val="30"/>
        </w:rPr>
      </w:pPr>
      <w:bookmarkStart w:id="16" w:name="_Toc22901"/>
      <w:r>
        <w:rPr>
          <w:rStyle w:val="20"/>
          <w:rFonts w:hint="eastAsia" w:ascii="仿宋" w:hAnsi="仿宋" w:eastAsia="仿宋" w:cs="仿宋"/>
          <w:sz w:val="30"/>
        </w:rPr>
        <w:t>附件一：</w:t>
      </w:r>
      <w:bookmarkEnd w:id="16"/>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2026年度无水醋酸钠采购项目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SX-CG-WS-2512002</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5</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1D1EBC58">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7" w:name="_Toc20355"/>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2026年度无水醋酸钠采购 </w:t>
      </w:r>
      <w:r>
        <w:rPr>
          <w:rFonts w:hint="eastAsia" w:ascii="仿宋" w:hAnsi="仿宋" w:eastAsia="仿宋" w:cs="仿宋"/>
          <w:sz w:val="30"/>
          <w:szCs w:val="30"/>
          <w:u w:val="none"/>
          <w:lang w:val="en-US" w:eastAsia="zh-CN"/>
        </w:rPr>
        <w:t>项目。</w:t>
      </w:r>
    </w:p>
    <w:tbl>
      <w:tblPr>
        <w:tblStyle w:val="13"/>
        <w:tblW w:w="5225" w:type="pct"/>
        <w:jc w:val="center"/>
        <w:tblLayout w:type="fixed"/>
        <w:tblCellMar>
          <w:top w:w="0" w:type="dxa"/>
          <w:left w:w="108" w:type="dxa"/>
          <w:bottom w:w="0" w:type="dxa"/>
          <w:right w:w="108" w:type="dxa"/>
        </w:tblCellMar>
      </w:tblPr>
      <w:tblGrid>
        <w:gridCol w:w="631"/>
        <w:gridCol w:w="2561"/>
        <w:gridCol w:w="2493"/>
        <w:gridCol w:w="915"/>
        <w:gridCol w:w="932"/>
        <w:gridCol w:w="1128"/>
        <w:gridCol w:w="1046"/>
      </w:tblGrid>
      <w:tr w14:paraId="061CBD0E">
        <w:tblPrEx>
          <w:tblCellMar>
            <w:top w:w="0" w:type="dxa"/>
            <w:left w:w="108" w:type="dxa"/>
            <w:bottom w:w="0" w:type="dxa"/>
            <w:right w:w="108" w:type="dxa"/>
          </w:tblCellMar>
        </w:tblPrEx>
        <w:trPr>
          <w:trHeight w:val="467"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14:paraId="3E88C1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350" w:type="dxa"/>
            <w:tcBorders>
              <w:top w:val="single" w:color="000000" w:sz="4" w:space="0"/>
              <w:left w:val="single" w:color="000000" w:sz="4" w:space="0"/>
              <w:bottom w:val="single" w:color="000000" w:sz="4" w:space="0"/>
              <w:right w:val="single" w:color="000000" w:sz="4" w:space="0"/>
            </w:tcBorders>
            <w:noWrap/>
            <w:vAlign w:val="center"/>
          </w:tcPr>
          <w:p w14:paraId="569EDF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288" w:type="dxa"/>
            <w:tcBorders>
              <w:top w:val="single" w:color="000000" w:sz="4" w:space="0"/>
              <w:left w:val="single" w:color="000000" w:sz="4" w:space="0"/>
              <w:bottom w:val="single" w:color="000000" w:sz="4" w:space="0"/>
              <w:right w:val="single" w:color="000000" w:sz="4" w:space="0"/>
            </w:tcBorders>
            <w:noWrap/>
            <w:vAlign w:val="center"/>
          </w:tcPr>
          <w:p w14:paraId="7966527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B1F68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预估数量</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BE325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78A964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BD0DC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35ED9246">
        <w:tblPrEx>
          <w:tblCellMar>
            <w:top w:w="0" w:type="dxa"/>
            <w:left w:w="108" w:type="dxa"/>
            <w:bottom w:w="0" w:type="dxa"/>
            <w:right w:w="108" w:type="dxa"/>
          </w:tblCellMar>
        </w:tblPrEx>
        <w:trPr>
          <w:trHeight w:val="1024"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14:paraId="7065CADE">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6BD4E4F6">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无水醋酸钠（无水乙酸钠）</w:t>
            </w:r>
          </w:p>
        </w:tc>
        <w:tc>
          <w:tcPr>
            <w:tcW w:w="2288" w:type="dxa"/>
            <w:tcBorders>
              <w:top w:val="single" w:color="000000" w:sz="4" w:space="0"/>
              <w:left w:val="single" w:color="000000" w:sz="4" w:space="0"/>
              <w:bottom w:val="single" w:color="000000" w:sz="4" w:space="0"/>
              <w:right w:val="single" w:color="000000" w:sz="4" w:space="0"/>
            </w:tcBorders>
            <w:noWrap w:val="0"/>
            <w:vAlign w:val="center"/>
          </w:tcPr>
          <w:p w14:paraId="1AD3CCD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2"/>
                <w:szCs w:val="22"/>
                <w:u w:val="none"/>
                <w:lang w:val="en-US" w:eastAsia="zh-CN" w:bidi="ar"/>
              </w:rPr>
              <w:t>浓度≥98%，25kg/包</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5AA5B0B">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5000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0FF45B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公斤</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40D54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160A0F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5FFE8755">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每批次送货完成且经由采购人验收合格后，按实际送货量进行结算。供货方提供经双方确认的送货清单及增值税专用发票，采购人自收到准确清单和发票后，于次二月完成货款支付。供货方需提供履约保证金（合同价的5%），合同履约过程中自动转为质保金，于合同到期后无息退还。</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相关要求：1、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币2.6</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2、该采购项目履约保证金为合同价的5%。中标人于合同签订前将履约保证金打入招标人指定账户。合同履行完成后，履约保证金转为质保金。质保期满后，招标人退还质保金（无息）。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5</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0AB09EB9">
      <w:pPr>
        <w:spacing w:line="360" w:lineRule="auto"/>
        <w:jc w:val="center"/>
        <w:rPr>
          <w:rFonts w:hint="eastAsia" w:ascii="仿宋" w:hAnsi="仿宋" w:eastAsia="仿宋" w:cs="仿宋"/>
          <w:b/>
          <w:color w:val="auto"/>
          <w:sz w:val="44"/>
          <w:lang w:val="en-US" w:eastAsia="zh-CN"/>
        </w:rPr>
      </w:pPr>
    </w:p>
    <w:p w14:paraId="16F89884">
      <w:pPr>
        <w:spacing w:line="360" w:lineRule="auto"/>
        <w:jc w:val="center"/>
        <w:rPr>
          <w:rFonts w:hint="eastAsia" w:ascii="仿宋" w:hAnsi="仿宋" w:eastAsia="仿宋" w:cs="仿宋"/>
          <w:b/>
          <w:color w:val="auto"/>
          <w:sz w:val="44"/>
          <w:lang w:val="en-US" w:eastAsia="zh-CN"/>
        </w:rPr>
      </w:pPr>
    </w:p>
    <w:p w14:paraId="2BACE096">
      <w:pPr>
        <w:spacing w:line="360" w:lineRule="auto"/>
        <w:jc w:val="center"/>
        <w:rPr>
          <w:rFonts w:hint="eastAsia" w:ascii="仿宋" w:hAnsi="仿宋" w:eastAsia="仿宋" w:cs="仿宋"/>
          <w:b/>
          <w:color w:val="auto"/>
          <w:sz w:val="44"/>
          <w:lang w:val="en-US" w:eastAsia="zh-CN"/>
        </w:rPr>
      </w:pPr>
    </w:p>
    <w:p w14:paraId="1A09CCCD">
      <w:pPr>
        <w:spacing w:line="360" w:lineRule="auto"/>
        <w:jc w:val="center"/>
        <w:rPr>
          <w:rFonts w:hint="eastAsia" w:ascii="仿宋" w:hAnsi="仿宋" w:eastAsia="仿宋" w:cs="仿宋"/>
          <w:b/>
          <w:color w:val="auto"/>
          <w:sz w:val="44"/>
          <w:lang w:val="en-US" w:eastAsia="zh-CN"/>
        </w:rPr>
      </w:pPr>
    </w:p>
    <w:p w14:paraId="67492C28">
      <w:pPr>
        <w:spacing w:line="360" w:lineRule="auto"/>
        <w:jc w:val="both"/>
        <w:rPr>
          <w:rFonts w:hint="eastAsia" w:ascii="仿宋" w:hAnsi="仿宋" w:eastAsia="仿宋" w:cs="仿宋"/>
          <w:b/>
          <w:color w:val="auto"/>
          <w:sz w:val="44"/>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2026年度无水醋酸钠采购 </w:t>
      </w:r>
      <w:r>
        <w:rPr>
          <w:rFonts w:hint="eastAsia" w:ascii="仿宋" w:hAnsi="仿宋" w:eastAsia="仿宋" w:cs="仿宋"/>
          <w:color w:val="auto"/>
          <w:sz w:val="30"/>
          <w:szCs w:val="30"/>
          <w:u w:val="none"/>
          <w:lang w:val="en-US" w:eastAsia="zh-CN"/>
        </w:rPr>
        <w:t>项目。</w:t>
      </w:r>
    </w:p>
    <w:tbl>
      <w:tblPr>
        <w:tblStyle w:val="13"/>
        <w:tblW w:w="5228" w:type="pct"/>
        <w:jc w:val="center"/>
        <w:tblLayout w:type="fixed"/>
        <w:tblCellMar>
          <w:top w:w="0" w:type="dxa"/>
          <w:left w:w="108" w:type="dxa"/>
          <w:bottom w:w="0" w:type="dxa"/>
          <w:right w:w="108" w:type="dxa"/>
        </w:tblCellMar>
      </w:tblPr>
      <w:tblGrid>
        <w:gridCol w:w="758"/>
        <w:gridCol w:w="1460"/>
        <w:gridCol w:w="3398"/>
        <w:gridCol w:w="1211"/>
        <w:gridCol w:w="756"/>
        <w:gridCol w:w="981"/>
        <w:gridCol w:w="1149"/>
      </w:tblGrid>
      <w:tr w14:paraId="21CC8D02">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39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211"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预估数量</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163CFD95">
        <w:tblPrEx>
          <w:tblCellMar>
            <w:top w:w="0" w:type="dxa"/>
            <w:left w:w="108" w:type="dxa"/>
            <w:bottom w:w="0" w:type="dxa"/>
            <w:right w:w="108" w:type="dxa"/>
          </w:tblCellMar>
        </w:tblPrEx>
        <w:trPr>
          <w:trHeight w:val="117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39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F3EE899">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72AECC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每批次送货完成且经由采购人验收合格后，按实际送货量进行结算。供货方提供经双方确认的送货清单及增值税专用发票，采购人自收到准确清单和发票后，于次二月完成货款支付。供货方需提供履约保证金（合同价的5%），合同履约过程中自动转为质保金，于合同到期后无息退还。</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5B350889">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8839328"/>
      <w:bookmarkStart w:id="19" w:name="_Toc10316567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2026年度无水醋酸钠采购项目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6">
    <w:nsid w:val="321BB5C6"/>
    <w:multiLevelType w:val="singleLevel"/>
    <w:tmpl w:val="321BB5C6"/>
    <w:lvl w:ilvl="0" w:tentative="0">
      <w:start w:val="1"/>
      <w:numFmt w:val="decimal"/>
      <w:suff w:val="nothing"/>
      <w:lvlText w:val="%1"/>
      <w:lvlJc w:val="left"/>
      <w:pPr>
        <w:ind w:left="635" w:leftChars="0" w:hanging="425" w:firstLineChars="0"/>
      </w:pPr>
      <w:rPr>
        <w:rFonts w:hint="default"/>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num w:numId="1">
    <w:abstractNumId w:val="3"/>
  </w:num>
  <w:num w:numId="2">
    <w:abstractNumId w:val="5"/>
  </w:num>
  <w:num w:numId="3">
    <w:abstractNumId w:val="7"/>
  </w:num>
  <w:num w:numId="4">
    <w:abstractNumId w:val="2"/>
  </w:num>
  <w:num w:numId="5">
    <w:abstractNumId w:val="4"/>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29396E"/>
    <w:rsid w:val="003A657B"/>
    <w:rsid w:val="003D1171"/>
    <w:rsid w:val="004B4DC0"/>
    <w:rsid w:val="00517D5D"/>
    <w:rsid w:val="005926A3"/>
    <w:rsid w:val="008746A5"/>
    <w:rsid w:val="00B574EC"/>
    <w:rsid w:val="01D22213"/>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6174AB"/>
    <w:rsid w:val="0ED22627"/>
    <w:rsid w:val="0FF5036F"/>
    <w:rsid w:val="10867335"/>
    <w:rsid w:val="110C39D4"/>
    <w:rsid w:val="1297576D"/>
    <w:rsid w:val="12BF4C87"/>
    <w:rsid w:val="12E70A09"/>
    <w:rsid w:val="15341747"/>
    <w:rsid w:val="164F6705"/>
    <w:rsid w:val="16646293"/>
    <w:rsid w:val="16FE5921"/>
    <w:rsid w:val="17507F90"/>
    <w:rsid w:val="17B042A1"/>
    <w:rsid w:val="1A2B7D96"/>
    <w:rsid w:val="1B25743C"/>
    <w:rsid w:val="1BD33B78"/>
    <w:rsid w:val="1BEC2FB3"/>
    <w:rsid w:val="1CDA4664"/>
    <w:rsid w:val="1CE262BC"/>
    <w:rsid w:val="1D6D770B"/>
    <w:rsid w:val="1E1A21EF"/>
    <w:rsid w:val="203B090D"/>
    <w:rsid w:val="21135480"/>
    <w:rsid w:val="212C3971"/>
    <w:rsid w:val="214D7086"/>
    <w:rsid w:val="21BA7E4E"/>
    <w:rsid w:val="2237459C"/>
    <w:rsid w:val="22DF5956"/>
    <w:rsid w:val="22ED7F5E"/>
    <w:rsid w:val="231F50B3"/>
    <w:rsid w:val="24130D0C"/>
    <w:rsid w:val="246E74FA"/>
    <w:rsid w:val="24937D46"/>
    <w:rsid w:val="259E2C64"/>
    <w:rsid w:val="25A54669"/>
    <w:rsid w:val="260706AD"/>
    <w:rsid w:val="26F76768"/>
    <w:rsid w:val="27AC61A6"/>
    <w:rsid w:val="27FE02E6"/>
    <w:rsid w:val="281F51A8"/>
    <w:rsid w:val="28C57566"/>
    <w:rsid w:val="28C820B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89D7311"/>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7112FA"/>
    <w:rsid w:val="42446B53"/>
    <w:rsid w:val="42D57A4D"/>
    <w:rsid w:val="436A096E"/>
    <w:rsid w:val="440E68FF"/>
    <w:rsid w:val="44544A76"/>
    <w:rsid w:val="449544C5"/>
    <w:rsid w:val="44A55070"/>
    <w:rsid w:val="451D6C68"/>
    <w:rsid w:val="45225AF9"/>
    <w:rsid w:val="45530393"/>
    <w:rsid w:val="45750E93"/>
    <w:rsid w:val="45B9308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0EA5CD4"/>
    <w:rsid w:val="51D845E4"/>
    <w:rsid w:val="52341DDD"/>
    <w:rsid w:val="523A017B"/>
    <w:rsid w:val="531111FC"/>
    <w:rsid w:val="532D4FC8"/>
    <w:rsid w:val="533444FB"/>
    <w:rsid w:val="536F3BBC"/>
    <w:rsid w:val="55C54FE9"/>
    <w:rsid w:val="55E07717"/>
    <w:rsid w:val="56397366"/>
    <w:rsid w:val="58080247"/>
    <w:rsid w:val="594A0658"/>
    <w:rsid w:val="5950112B"/>
    <w:rsid w:val="59C3293C"/>
    <w:rsid w:val="5A1C766A"/>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5E1984"/>
    <w:rsid w:val="666E2F33"/>
    <w:rsid w:val="66B027B6"/>
    <w:rsid w:val="671A2875"/>
    <w:rsid w:val="67966EFB"/>
    <w:rsid w:val="67B628F5"/>
    <w:rsid w:val="682119CD"/>
    <w:rsid w:val="69A94E0C"/>
    <w:rsid w:val="6A1A0E79"/>
    <w:rsid w:val="6A2F770C"/>
    <w:rsid w:val="6B046820"/>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8115</Words>
  <Characters>8375</Characters>
  <Lines>53</Lines>
  <Paragraphs>15</Paragraphs>
  <TotalTime>0</TotalTime>
  <ScaleCrop>false</ScaleCrop>
  <LinksUpToDate>false</LinksUpToDate>
  <CharactersWithSpaces>9615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2025-12-12T08:38:54Z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3D2EC641E7A44993B4AB7C0413D1CD1A_13</vt:lpwstr>
  </property>
  <property fmtid="{D5CDD505-2E9C-101B-9397-08002B2CF9AE}" pid="4" name="KSOTemplateDocerSaveRecord">
    <vt:lpwstr>eyJoZGlkIjoiNTVkNzExMmNlZTllZmYzYjIzZDNlN2M3MDhjZjk3N2IiLCJ1c2VySWQiOiI0MTkyNjk4ODkifQ==</vt:lpwstr>
  </property>
</Properties>
</file>