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rPr>
      </w:pPr>
      <w:bookmarkStart w:id="0" w:name="_Toc28009"/>
      <w:r>
        <w:rPr>
          <w:rFonts w:hint="eastAsia" w:ascii="仿宋_GB2312" w:hAnsi="宋体" w:eastAsia="仿宋_GB2312"/>
          <w:b/>
          <w:sz w:val="52"/>
          <w:szCs w:val="52"/>
          <w:lang w:eastAsia="zh-CN"/>
        </w:rPr>
        <w:t>绍兴市再生能源发展有限公司</w:t>
      </w:r>
      <w:bookmarkEnd w:id="0"/>
    </w:p>
    <w:p w14:paraId="543ECF22">
      <w:pPr>
        <w:pStyle w:val="11"/>
        <w:rPr>
          <w:highlight w:val="none"/>
        </w:rPr>
      </w:pPr>
    </w:p>
    <w:p w14:paraId="54EFD54C">
      <w:pPr>
        <w:jc w:val="center"/>
        <w:rPr>
          <w:rFonts w:hint="default" w:ascii="仿宋_GB2312" w:hAnsi="宋体" w:eastAsia="仿宋_GB2312"/>
          <w:b/>
          <w:sz w:val="52"/>
          <w:szCs w:val="52"/>
          <w:highlight w:val="none"/>
          <w:lang w:val="en-US" w:eastAsia="zh-CN"/>
        </w:rPr>
      </w:pPr>
      <w:r>
        <w:rPr>
          <w:rFonts w:hint="default" w:ascii="仿宋_GB2312" w:hAnsi="宋体" w:eastAsia="仿宋_GB2312"/>
          <w:b/>
          <w:sz w:val="52"/>
          <w:szCs w:val="52"/>
          <w:highlight w:val="none"/>
          <w:lang w:val="en-US" w:eastAsia="zh-CN"/>
        </w:rPr>
        <w:t>2026年度钢材采购项目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 xml:space="preserve">CG-GC-2510005 </w:t>
      </w:r>
    </w:p>
    <w:p w14:paraId="6D250556">
      <w:pPr>
        <w:spacing w:line="360" w:lineRule="auto"/>
        <w:ind w:firstLine="80" w:firstLineChars="25"/>
        <w:jc w:val="center"/>
        <w:rPr>
          <w:rFonts w:hint="eastAsia" w:ascii="仿宋" w:hAnsi="仿宋" w:eastAsia="仿宋" w:cs="仿宋"/>
          <w:sz w:val="32"/>
          <w:szCs w:val="32"/>
          <w:u w:val="single"/>
          <w:lang w:val="en-US" w:eastAsia="zh-CN"/>
        </w:rPr>
      </w:pPr>
      <w:bookmarkStart w:id="2" w:name="OLE_LINK53"/>
      <w:bookmarkStart w:id="3" w:name="OLE_LINK52"/>
      <w:r>
        <w:rPr>
          <w:rFonts w:hint="eastAsia" w:ascii="仿宋" w:hAnsi="仿宋" w:eastAsia="仿宋" w:cs="仿宋"/>
          <w:sz w:val="32"/>
          <w:szCs w:val="32"/>
        </w:rPr>
        <w:t>项目名称：</w:t>
      </w:r>
      <w:bookmarkEnd w:id="2"/>
      <w:bookmarkEnd w:id="3"/>
      <w:r>
        <w:rPr>
          <w:rFonts w:hint="eastAsia" w:ascii="仿宋" w:hAnsi="仿宋" w:eastAsia="仿宋" w:cs="仿宋"/>
          <w:sz w:val="32"/>
          <w:szCs w:val="32"/>
          <w:u w:val="single"/>
          <w:lang w:val="en-US" w:eastAsia="zh-CN"/>
        </w:rPr>
        <w:t xml:space="preserve"> 2026年度钢材采购项目</w:t>
      </w:r>
    </w:p>
    <w:p w14:paraId="6A82DF5E">
      <w:pPr>
        <w:spacing w:line="360" w:lineRule="auto"/>
        <w:ind w:firstLine="80" w:firstLineChars="25"/>
        <w:jc w:val="center"/>
        <w:rPr>
          <w:rFonts w:hint="eastAsia" w:ascii="仿宋" w:hAnsi="仿宋" w:eastAsia="仿宋" w:cs="仿宋"/>
          <w:sz w:val="32"/>
          <w:szCs w:val="32"/>
          <w:u w:val="single"/>
          <w:lang w:val="en-US" w:eastAsia="zh-CN"/>
        </w:rPr>
      </w:pPr>
    </w:p>
    <w:p w14:paraId="12F97776">
      <w:pPr>
        <w:rPr>
          <w:rFonts w:hint="eastAsia" w:ascii="仿宋" w:hAnsi="仿宋" w:eastAsia="仿宋" w:cs="仿宋"/>
          <w:sz w:val="84"/>
        </w:rPr>
      </w:pPr>
    </w:p>
    <w:p w14:paraId="297F9618">
      <w:pPr>
        <w:rPr>
          <w:rFonts w:hint="eastAsia" w:ascii="仿宋" w:hAnsi="仿宋" w:eastAsia="仿宋" w:cs="仿宋"/>
          <w:sz w:val="84"/>
        </w:rPr>
      </w:pPr>
    </w:p>
    <w:p w14:paraId="33BAD177">
      <w:pPr>
        <w:rPr>
          <w:rFonts w:hint="eastAsia" w:ascii="仿宋" w:hAnsi="仿宋" w:eastAsia="仿宋" w:cs="仿宋"/>
          <w:sz w:val="84"/>
        </w:rPr>
      </w:pPr>
    </w:p>
    <w:p w14:paraId="1BFEA016">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14:paraId="289C425F">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val="en-US" w:eastAsia="zh-CN"/>
        </w:rPr>
        <w:t>五</w:t>
      </w:r>
      <w:r>
        <w:rPr>
          <w:rFonts w:hint="eastAsia" w:ascii="仿宋" w:hAnsi="仿宋" w:eastAsia="仿宋" w:cs="仿宋"/>
          <w:sz w:val="32"/>
          <w:szCs w:val="32"/>
        </w:rPr>
        <w:t>年</w:t>
      </w:r>
      <w:r>
        <w:rPr>
          <w:rFonts w:hint="eastAsia" w:ascii="仿宋" w:hAnsi="仿宋" w:eastAsia="仿宋" w:cs="仿宋"/>
          <w:sz w:val="32"/>
          <w:szCs w:val="32"/>
          <w:lang w:val="en-US" w:eastAsia="zh-CN"/>
        </w:rPr>
        <w:t>十二</w:t>
      </w:r>
      <w:r>
        <w:rPr>
          <w:rFonts w:hint="eastAsia" w:ascii="仿宋" w:hAnsi="仿宋" w:eastAsia="仿宋" w:cs="仿宋"/>
          <w:sz w:val="32"/>
          <w:szCs w:val="32"/>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69952642">
      <w:pPr>
        <w:pStyle w:val="9"/>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14:paraId="13D0532F">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08ECA06D">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5</w:t>
      </w:r>
      <w:r>
        <w:rPr>
          <w:b w:val="0"/>
          <w:bCs/>
          <w:sz w:val="32"/>
          <w:szCs w:val="28"/>
        </w:rPr>
        <w:fldChar w:fldCharType="end"/>
      </w:r>
      <w:r>
        <w:rPr>
          <w:rFonts w:hint="eastAsia" w:ascii="仿宋" w:hAnsi="仿宋" w:eastAsia="仿宋" w:cs="仿宋"/>
          <w:b w:val="0"/>
          <w:bCs/>
          <w:sz w:val="32"/>
          <w:szCs w:val="28"/>
        </w:rPr>
        <w:fldChar w:fldCharType="end"/>
      </w:r>
    </w:p>
    <w:p w14:paraId="7CF0B990">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12</w:t>
      </w:r>
      <w:r>
        <w:rPr>
          <w:b w:val="0"/>
          <w:bCs/>
          <w:sz w:val="32"/>
          <w:szCs w:val="28"/>
        </w:rPr>
        <w:fldChar w:fldCharType="end"/>
      </w:r>
      <w:r>
        <w:rPr>
          <w:rFonts w:hint="eastAsia" w:ascii="仿宋" w:hAnsi="仿宋" w:eastAsia="仿宋" w:cs="仿宋"/>
          <w:b w:val="0"/>
          <w:bCs/>
          <w:sz w:val="32"/>
          <w:szCs w:val="28"/>
        </w:rPr>
        <w:fldChar w:fldCharType="end"/>
      </w:r>
    </w:p>
    <w:p w14:paraId="30C103BB">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13</w:t>
      </w:r>
      <w:r>
        <w:rPr>
          <w:b w:val="0"/>
          <w:bCs/>
          <w:sz w:val="32"/>
          <w:szCs w:val="28"/>
        </w:rPr>
        <w:fldChar w:fldCharType="end"/>
      </w:r>
      <w:r>
        <w:rPr>
          <w:rFonts w:hint="eastAsia" w:ascii="仿宋" w:hAnsi="仿宋" w:eastAsia="仿宋" w:cs="仿宋"/>
          <w:b w:val="0"/>
          <w:bCs/>
          <w:sz w:val="32"/>
          <w:szCs w:val="28"/>
        </w:rPr>
        <w:fldChar w:fldCharType="end"/>
      </w:r>
    </w:p>
    <w:p w14:paraId="430C286D">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20</w:t>
      </w:r>
      <w:r>
        <w:rPr>
          <w:b w:val="0"/>
          <w:bCs/>
          <w:sz w:val="32"/>
          <w:szCs w:val="28"/>
        </w:rPr>
        <w:fldChar w:fldCharType="end"/>
      </w:r>
      <w:r>
        <w:rPr>
          <w:rFonts w:hint="eastAsia" w:ascii="仿宋" w:hAnsi="仿宋" w:eastAsia="仿宋" w:cs="仿宋"/>
          <w:b w:val="0"/>
          <w:bCs/>
          <w:sz w:val="32"/>
          <w:szCs w:val="28"/>
        </w:rPr>
        <w:fldChar w:fldCharType="end"/>
      </w:r>
    </w:p>
    <w:p w14:paraId="1B60AEC3">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20</w:t>
      </w:r>
      <w:r>
        <w:rPr>
          <w:b w:val="0"/>
          <w:bCs/>
          <w:sz w:val="32"/>
          <w:szCs w:val="28"/>
        </w:rPr>
        <w:fldChar w:fldCharType="end"/>
      </w:r>
      <w:r>
        <w:rPr>
          <w:rFonts w:hint="eastAsia" w:ascii="仿宋" w:hAnsi="仿宋" w:eastAsia="仿宋" w:cs="仿宋"/>
          <w:b w:val="0"/>
          <w:bCs/>
          <w:sz w:val="32"/>
          <w:szCs w:val="28"/>
        </w:rPr>
        <w:fldChar w:fldCharType="end"/>
      </w:r>
    </w:p>
    <w:p w14:paraId="78A7DB2C">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21</w:t>
      </w:r>
      <w:r>
        <w:rPr>
          <w:b w:val="0"/>
          <w:bCs/>
          <w:sz w:val="32"/>
          <w:szCs w:val="28"/>
        </w:rPr>
        <w:fldChar w:fldCharType="end"/>
      </w:r>
      <w:r>
        <w:rPr>
          <w:rFonts w:hint="eastAsia" w:ascii="仿宋" w:hAnsi="仿宋" w:eastAsia="仿宋" w:cs="仿宋"/>
          <w:b w:val="0"/>
          <w:bCs/>
          <w:sz w:val="32"/>
          <w:szCs w:val="28"/>
        </w:rPr>
        <w:fldChar w:fldCharType="end"/>
      </w:r>
    </w:p>
    <w:p w14:paraId="3FD4B93B">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25</w:t>
      </w:r>
      <w:r>
        <w:rPr>
          <w:b w:val="0"/>
          <w:bCs/>
          <w:sz w:val="32"/>
          <w:szCs w:val="28"/>
        </w:rPr>
        <w:fldChar w:fldCharType="end"/>
      </w:r>
      <w:r>
        <w:rPr>
          <w:rFonts w:hint="eastAsia" w:ascii="仿宋" w:hAnsi="仿宋" w:eastAsia="仿宋" w:cs="仿宋"/>
          <w:b w:val="0"/>
          <w:bCs/>
          <w:sz w:val="32"/>
          <w:szCs w:val="28"/>
        </w:rPr>
        <w:fldChar w:fldCharType="end"/>
      </w:r>
    </w:p>
    <w:p w14:paraId="2CB08D88">
      <w:pPr>
        <w:rPr>
          <w:rFonts w:hint="eastAsia" w:ascii="仿宋" w:hAnsi="仿宋" w:eastAsia="仿宋" w:cs="仿宋"/>
          <w:sz w:val="56"/>
          <w:szCs w:val="32"/>
        </w:rPr>
      </w:pPr>
      <w:r>
        <w:rPr>
          <w:rFonts w:hint="eastAsia" w:ascii="仿宋" w:hAnsi="仿宋" w:eastAsia="仿宋" w:cs="仿宋"/>
          <w:b w:val="0"/>
          <w:bCs/>
          <w:sz w:val="32"/>
          <w:szCs w:val="28"/>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530583878"/>
      <w:bookmarkStart w:id="6" w:name="_Toc6995"/>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2026年度钢材采购项目进行招标</w:t>
      </w:r>
      <w:r>
        <w:rPr>
          <w:rFonts w:hint="eastAsia" w:ascii="仿宋" w:hAnsi="仿宋" w:eastAsia="仿宋" w:cs="仿宋"/>
          <w:sz w:val="30"/>
          <w:szCs w:val="30"/>
        </w:rPr>
        <w:t>，欢迎符合要求的供应商积极参与。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SX-CG-GC-2510005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4281" w:type="pct"/>
        <w:jc w:val="center"/>
        <w:tblLayout w:type="fixed"/>
        <w:tblCellMar>
          <w:top w:w="0" w:type="dxa"/>
          <w:left w:w="108" w:type="dxa"/>
          <w:bottom w:w="0" w:type="dxa"/>
          <w:right w:w="108" w:type="dxa"/>
        </w:tblCellMar>
      </w:tblPr>
      <w:tblGrid>
        <w:gridCol w:w="758"/>
        <w:gridCol w:w="2160"/>
        <w:gridCol w:w="3465"/>
        <w:gridCol w:w="784"/>
        <w:gridCol w:w="784"/>
      </w:tblGrid>
      <w:tr w14:paraId="4BC3A33F">
        <w:tblPrEx>
          <w:tblCellMar>
            <w:top w:w="0" w:type="dxa"/>
            <w:left w:w="108" w:type="dxa"/>
            <w:bottom w:w="0" w:type="dxa"/>
            <w:right w:w="108" w:type="dxa"/>
          </w:tblCellMar>
        </w:tblPrEx>
        <w:trPr>
          <w:trHeight w:val="467"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5684E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72232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3465" w:type="dxa"/>
            <w:tcBorders>
              <w:top w:val="single" w:color="000000" w:sz="4" w:space="0"/>
              <w:left w:val="single" w:color="000000" w:sz="4" w:space="0"/>
              <w:bottom w:val="single" w:color="000000" w:sz="4" w:space="0"/>
              <w:right w:val="single" w:color="000000" w:sz="4" w:space="0"/>
            </w:tcBorders>
            <w:noWrap/>
            <w:vAlign w:val="center"/>
          </w:tcPr>
          <w:p w14:paraId="155886A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3C8B27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559633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r>
      <w:tr w14:paraId="646EFF3E">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08AB2BCA">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09ADF1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碳钢板</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6791AE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1500*6000*4mm</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38F8DB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4100B3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块</w:t>
            </w:r>
          </w:p>
        </w:tc>
      </w:tr>
      <w:tr w14:paraId="137C7815">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1C24D77F">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1864E5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碳钢板</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00B1D0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1500*6000*6mm</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59949B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45AEC3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块</w:t>
            </w:r>
          </w:p>
        </w:tc>
      </w:tr>
      <w:tr w14:paraId="1AB9170C">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55DC9077">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D3381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碳钢板</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697B0E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1500*6000*8mm</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3A8726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3FB858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块</w:t>
            </w:r>
          </w:p>
        </w:tc>
      </w:tr>
      <w:tr w14:paraId="0EA9EFC3">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6B6A671F">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0BF8B0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碳钢板</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372A70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1500*6000*10mm</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24137D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632633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块</w:t>
            </w:r>
          </w:p>
        </w:tc>
      </w:tr>
      <w:tr w14:paraId="6A605FA4">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1347FA34">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1644F5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不锈钢板</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5E197F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1500*6000*6mm</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50DC9B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55F37F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块</w:t>
            </w:r>
          </w:p>
        </w:tc>
      </w:tr>
      <w:tr w14:paraId="5AC73A6A">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0C63E887">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AEF6F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NM400耐磨板</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2DC5F2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1500*6000*10mm</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2F6A52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0A41BD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块</w:t>
            </w:r>
          </w:p>
        </w:tc>
      </w:tr>
      <w:tr w14:paraId="5628C666">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071D79D4">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03A84B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铸铁地沟盖板</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04CC17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350*500*30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58BDA3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613A8F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块</w:t>
            </w:r>
          </w:p>
        </w:tc>
      </w:tr>
      <w:tr w14:paraId="6BC77F81">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F8DE5EB">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301E7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铸铁地沟盖板</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728922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500*500*30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57A986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1990FF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块</w:t>
            </w:r>
          </w:p>
        </w:tc>
      </w:tr>
      <w:tr w14:paraId="32336414">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DB2F2B8">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E8967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铸铁地沟盖板</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535DF1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400*500*50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20CA83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43FB57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块</w:t>
            </w:r>
          </w:p>
        </w:tc>
      </w:tr>
      <w:tr w14:paraId="217ABCC0">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2ECBECC0">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C054D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6米脚手架架管</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039948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外径48MM，长6M，壁厚3.5mm</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79DC65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2858CF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r>
      <w:tr w14:paraId="3696BEA8">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30B0907C">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07294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槽钢</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07A2C7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 （6米一根）</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04B441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5C9F9E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r>
      <w:tr w14:paraId="6F07D935">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3E098215">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2E9CF9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槽钢</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6E32F4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12#（6米一根）</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496F3A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20B35C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r>
      <w:tr w14:paraId="6CF676E0">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6662A819">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6B3F8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角铁</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733DC7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8*80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18CFB4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50BB85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r>
      <w:tr w14:paraId="3914877E">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6B493A95">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1C4DA1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角铁</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561C07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5*50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274B27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1A6EB2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r>
      <w:tr w14:paraId="3E231E54">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36ECA203">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20D663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角钢</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529101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4*40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353778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0245077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r>
      <w:tr w14:paraId="2B34DBEA">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123F623">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E2BF5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镀锌角铁</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5ED116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4*40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43C7C4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6B9D28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r>
      <w:tr w14:paraId="6D16348F">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0892D207">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88960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脚手架十字夹</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0E5072B7">
            <w:pPr>
              <w:jc w:val="center"/>
              <w:rPr>
                <w:rFonts w:hint="eastAsia" w:ascii="仿宋" w:hAnsi="仿宋" w:eastAsia="仿宋" w:cs="仿宋"/>
                <w:i w:val="0"/>
                <w:iCs w:val="0"/>
                <w:color w:val="000000"/>
                <w:kern w:val="0"/>
                <w:sz w:val="24"/>
                <w:szCs w:val="24"/>
                <w:u w:val="none"/>
                <w:lang w:val="en-US" w:eastAsia="zh-CN" w:bidi="ar"/>
              </w:rPr>
            </w:pP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16F3C1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2D7751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7ACBC6B6">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BD93452">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F71F0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脚手架活动夹</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6C96CC02">
            <w:pPr>
              <w:jc w:val="center"/>
              <w:rPr>
                <w:rFonts w:hint="eastAsia" w:ascii="仿宋" w:hAnsi="仿宋" w:eastAsia="仿宋" w:cs="仿宋"/>
                <w:i w:val="0"/>
                <w:iCs w:val="0"/>
                <w:color w:val="000000"/>
                <w:kern w:val="0"/>
                <w:sz w:val="24"/>
                <w:szCs w:val="24"/>
                <w:u w:val="none"/>
                <w:lang w:val="en-US" w:eastAsia="zh-CN" w:bidi="ar"/>
              </w:rPr>
            </w:pP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6E8B02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72C514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7852761C">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07A7B235">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0ED16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脚手架直接</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792EB020">
            <w:pPr>
              <w:jc w:val="center"/>
              <w:rPr>
                <w:rFonts w:hint="eastAsia" w:ascii="仿宋" w:hAnsi="仿宋" w:eastAsia="仿宋" w:cs="仿宋"/>
                <w:i w:val="0"/>
                <w:iCs w:val="0"/>
                <w:color w:val="000000"/>
                <w:kern w:val="0"/>
                <w:sz w:val="24"/>
                <w:szCs w:val="24"/>
                <w:u w:val="none"/>
                <w:lang w:val="en-US" w:eastAsia="zh-CN" w:bidi="ar"/>
              </w:rPr>
            </w:pP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688224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1C4AB9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055A3156">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28CF0354">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781B4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无缝管</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351D05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￠25*4</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506CBC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0DD275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r>
      <w:tr w14:paraId="6AB3200A">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1B13665">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45E80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无缝管</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3593EC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￠32*4</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2D6BA7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23ADED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r>
      <w:tr w14:paraId="72630BF1">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003DB0D4">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4C609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304不锈钢管</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6BCC98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DN32*3.5</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143AAC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13EE30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r>
      <w:tr w14:paraId="00F12428">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60847E64">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21999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304不锈钢管</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14734F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DN25*3</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1E84EA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46416B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r>
      <w:tr w14:paraId="4EBB33A6">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2D2328BB">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18661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Q235B碳钢钢板</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524B8D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厚度10毫米，1.51*6米</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18C824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03C91B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r>
      <w:tr w14:paraId="7C04CA78">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140CC858">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4FF5E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碳钢角钢</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385D7D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50*50*3</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71B6FB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5CF694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r>
      <w:tr w14:paraId="24174AD5">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3770875F">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036DEF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304不锈钢法兰</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070374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DN25 PN1.6</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5D8D08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370CEB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片</w:t>
            </w:r>
          </w:p>
        </w:tc>
      </w:tr>
      <w:tr w14:paraId="0DA45AA3">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6337DA91">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41D2C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304不锈钢法兰</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1A5DD8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DN32 PN1.6</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0EA8C5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071E74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片</w:t>
            </w:r>
          </w:p>
        </w:tc>
      </w:tr>
      <w:tr w14:paraId="7398BE07">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5C50ECCA">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BC744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304不锈钢法兰</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7709ED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DN65 PN1.6</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2FB4E0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298C6A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片</w:t>
            </w:r>
          </w:p>
        </w:tc>
      </w:tr>
      <w:tr w14:paraId="561626CF">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0E70158E">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D21EB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304不锈钢法兰</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01D2F1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DN80 pn1.6</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26C952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3D2B18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片</w:t>
            </w:r>
          </w:p>
        </w:tc>
      </w:tr>
      <w:tr w14:paraId="073FE550">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2BCF1CE3">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568E6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304不锈钢法兰</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463ABB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DN100 pn1.6</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276064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2AC9C1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片</w:t>
            </w:r>
          </w:p>
        </w:tc>
      </w:tr>
      <w:tr w14:paraId="66AF6C1F">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0A3E3361">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EDEE0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304不锈钢法兰</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0F9258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DN125 pn1.6</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746200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1C08B1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片</w:t>
            </w:r>
          </w:p>
        </w:tc>
      </w:tr>
      <w:tr w14:paraId="7C41EF8F">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1354B6A7">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01D98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304不锈钢管</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45E952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DN25 PN1.6</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1A068F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1953D5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r>
      <w:tr w14:paraId="5E982808">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31C7898E">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1D824F0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304不锈钢管</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5268EB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DN32 PN1.6</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77138B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3F2601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r>
      <w:tr w14:paraId="16FB0FC0">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22BF078">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2B56AD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碳钢扁铁</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6CC2677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479745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699301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r>
      <w:tr w14:paraId="38D5864A">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0D34C2A">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15C903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角铁</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7E1B87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3AB70B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23901B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r>
      <w:tr w14:paraId="4BC447D4">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377F494">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7995C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镀锌扁铁</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3ACAD4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64B0BB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71F1AE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r>
      <w:tr w14:paraId="43C665D0">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8BB3377">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0AE324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镀锌钢管</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366BF7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DN25   6米/根</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220812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4EC601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r>
    </w:tbl>
    <w:p w14:paraId="47E30BEA">
      <w:pPr>
        <w:pStyle w:val="1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726C6CF1">
      <w:pPr>
        <w:pStyle w:val="12"/>
        <w:numPr>
          <w:ilvl w:val="0"/>
          <w:numId w:val="0"/>
        </w:numPr>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人民币25.1</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p>
    <w:p w14:paraId="5260B29F">
      <w:pPr>
        <w:pStyle w:val="12"/>
        <w:numPr>
          <w:ilvl w:val="0"/>
          <w:numId w:val="0"/>
        </w:numPr>
        <w:snapToGrid/>
        <w:spacing w:line="360" w:lineRule="auto"/>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4.参与本次项目的投标单位需保证产品是全新且质量合格的现货或生产周期能够满足采购人实际使用需求，并提供相关出厂报告及合格证明。</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二、供应商要求。</w:t>
      </w:r>
    </w:p>
    <w:p w14:paraId="58B6F84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1.报价人必须是在中华人民共和国境内注册，具有独立法人资格和独立承担民事责任的能力；投标人经营范围须包含相关的销售资</w:t>
      </w:r>
      <w:r>
        <w:rPr>
          <w:rFonts w:hint="eastAsia" w:ascii="仿宋" w:hAnsi="仿宋" w:eastAsia="仿宋" w:cs="仿宋"/>
          <w:sz w:val="30"/>
          <w:szCs w:val="30"/>
          <w:highlight w:val="none"/>
          <w:lang w:val="en-US" w:eastAsia="zh-CN"/>
        </w:rPr>
        <w:t>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879"/>
      <w:bookmarkStart w:id="8" w:name="_Toc23057"/>
      <w:bookmarkStart w:id="9" w:name="_Toc530583922"/>
      <w:bookmarkStart w:id="10" w:name="_Toc530583923"/>
      <w:bookmarkStart w:id="11"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5</w:t>
      </w:r>
      <w:r>
        <w:rPr>
          <w:rFonts w:hint="eastAsia" w:ascii="仿宋_GB2312" w:eastAsia="仿宋_GB2312"/>
          <w:sz w:val="30"/>
          <w:szCs w:val="30"/>
        </w:rPr>
        <w:t>年</w:t>
      </w:r>
      <w:r>
        <w:rPr>
          <w:rFonts w:hint="eastAsia" w:ascii="仿宋_GB2312" w:eastAsia="仿宋_GB2312"/>
          <w:sz w:val="30"/>
          <w:szCs w:val="30"/>
          <w:lang w:val="en-US" w:eastAsia="zh-CN"/>
        </w:rPr>
        <w:t>12月18</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28DF5BA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报价文件邮递递交截止时间：截至2025年</w:t>
      </w:r>
      <w:r>
        <w:rPr>
          <w:rFonts w:hint="eastAsia" w:ascii="仿宋_GB2312" w:eastAsia="仿宋_GB2312"/>
          <w:sz w:val="30"/>
          <w:szCs w:val="30"/>
          <w:lang w:val="en-US" w:eastAsia="zh-CN"/>
        </w:rPr>
        <w:t>12</w:t>
      </w:r>
      <w:r>
        <w:rPr>
          <w:rFonts w:hint="eastAsia" w:ascii="仿宋_GB2312" w:eastAsia="仿宋_GB2312"/>
          <w:sz w:val="30"/>
          <w:szCs w:val="30"/>
        </w:rPr>
        <w:t>月</w:t>
      </w:r>
      <w:r>
        <w:rPr>
          <w:rFonts w:hint="eastAsia" w:ascii="仿宋_GB2312" w:eastAsia="仿宋_GB2312"/>
          <w:sz w:val="30"/>
          <w:szCs w:val="30"/>
          <w:lang w:val="en-US" w:eastAsia="zh-CN"/>
        </w:rPr>
        <w:t>17</w:t>
      </w:r>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r>
        <w:rPr>
          <w:rFonts w:hint="eastAsia" w:ascii="仿宋_GB2312" w:eastAsia="仿宋_GB2312" w:cs="Times New Roman"/>
          <w:b/>
          <w:bCs/>
          <w:sz w:val="30"/>
          <w:szCs w:val="30"/>
          <w:lang w:val="en-US" w:eastAsia="zh-CN"/>
        </w:rPr>
        <w:t>。</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sz w:val="30"/>
          <w:szCs w:val="30"/>
          <w:lang w:val="en-US" w:eastAsia="zh-CN"/>
        </w:rPr>
        <w:t>0575-85791900</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2025</w:t>
      </w:r>
      <w:r>
        <w:rPr>
          <w:rFonts w:hint="default" w:ascii="仿宋_GB2312" w:eastAsia="仿宋_GB2312"/>
          <w:sz w:val="30"/>
          <w:szCs w:val="30"/>
          <w:lang w:val="en-US"/>
        </w:rPr>
        <w:t>年</w:t>
      </w:r>
      <w:r>
        <w:rPr>
          <w:rFonts w:hint="eastAsia" w:ascii="仿宋_GB2312" w:eastAsia="仿宋_GB2312"/>
          <w:sz w:val="30"/>
          <w:szCs w:val="30"/>
          <w:lang w:val="en-US" w:eastAsia="zh-CN"/>
        </w:rPr>
        <w:t>12月12</w:t>
      </w:r>
      <w:r>
        <w:rPr>
          <w:rFonts w:hint="eastAsia" w:ascii="仿宋_GB2312" w:eastAsia="仿宋_GB2312"/>
          <w:sz w:val="30"/>
          <w:szCs w:val="30"/>
        </w:rPr>
        <w:t>日</w:t>
      </w:r>
    </w:p>
    <w:p w14:paraId="10E9B901">
      <w:pPr>
        <w:pStyle w:val="12"/>
        <w:rPr>
          <w:rFonts w:hint="eastAsia" w:ascii="仿宋_GB2312" w:eastAsia="仿宋_GB2312"/>
          <w:sz w:val="30"/>
          <w:szCs w:val="30"/>
        </w:rPr>
      </w:pPr>
    </w:p>
    <w:p w14:paraId="3A86D49D">
      <w:pPr>
        <w:pStyle w:val="12"/>
        <w:rPr>
          <w:rFonts w:hint="eastAsia" w:ascii="仿宋_GB2312" w:eastAsia="仿宋_GB2312"/>
          <w:sz w:val="30"/>
          <w:szCs w:val="30"/>
        </w:rPr>
      </w:pPr>
    </w:p>
    <w:p w14:paraId="4EFDF728">
      <w:pPr>
        <w:pStyle w:val="12"/>
        <w:rPr>
          <w:rFonts w:hint="eastAsia" w:ascii="仿宋_GB2312" w:eastAsia="仿宋_GB2312"/>
          <w:sz w:val="30"/>
          <w:szCs w:val="30"/>
        </w:rPr>
      </w:pPr>
      <w:bookmarkStart w:id="21" w:name="_GoBack"/>
      <w:bookmarkEnd w:id="21"/>
    </w:p>
    <w:p w14:paraId="70FC8F71">
      <w:pPr>
        <w:pStyle w:val="12"/>
        <w:ind w:left="0" w:leftChars="0" w:firstLine="0" w:firstLineChars="0"/>
        <w:rPr>
          <w:rFonts w:hint="eastAsia" w:ascii="仿宋_GB2312" w:eastAsia="仿宋_GB2312"/>
          <w:sz w:val="30"/>
          <w:szCs w:val="30"/>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bookmarkEnd w:id="9"/>
    </w:p>
    <w:p w14:paraId="5DF30CDF">
      <w:pPr>
        <w:pageBreakBefore w:val="0"/>
        <w:kinsoku/>
        <w:wordWrap/>
        <w:topLinePunct w:val="0"/>
        <w:bidi w:val="0"/>
        <w:snapToGrid w:val="0"/>
        <w:spacing w:line="360" w:lineRule="auto"/>
        <w:ind w:right="-176" w:rightChars="-84" w:firstLine="600"/>
        <w:outlineLvl w:val="1"/>
        <w:rPr>
          <w:rFonts w:hint="eastAsia" w:ascii="仿宋" w:hAnsi="仿宋" w:eastAsia="仿宋" w:cs="仿宋"/>
          <w:b/>
          <w:bCs/>
          <w:sz w:val="30"/>
          <w:szCs w:val="30"/>
        </w:rPr>
      </w:pPr>
      <w:r>
        <w:rPr>
          <w:rFonts w:hint="eastAsia" w:ascii="仿宋" w:hAnsi="仿宋" w:eastAsia="仿宋" w:cs="仿宋"/>
          <w:b/>
          <w:bCs/>
          <w:sz w:val="30"/>
          <w:szCs w:val="30"/>
        </w:rPr>
        <w:t>一、适用范围。</w:t>
      </w:r>
    </w:p>
    <w:p w14:paraId="43837104">
      <w:pPr>
        <w:pageBreakBefore w:val="0"/>
        <w:kinsoku/>
        <w:wordWrap/>
        <w:topLinePunct w:val="0"/>
        <w:bidi w:val="0"/>
        <w:snapToGrid w:val="0"/>
        <w:spacing w:line="360" w:lineRule="auto"/>
        <w:rPr>
          <w:rFonts w:hint="eastAsia" w:ascii="仿宋" w:hAnsi="仿宋" w:eastAsia="仿宋" w:cs="仿宋"/>
          <w:sz w:val="30"/>
          <w:szCs w:val="30"/>
        </w:rPr>
      </w:pPr>
      <w:r>
        <w:rPr>
          <w:rFonts w:hint="eastAsia" w:ascii="仿宋" w:hAnsi="仿宋" w:eastAsia="仿宋" w:cs="仿宋"/>
          <w:sz w:val="30"/>
          <w:szCs w:val="30"/>
        </w:rPr>
        <w:t xml:space="preserve">    仅适用于本次询价采购所叙述的货物和服务。无论询价采购过程和结果如何，</w:t>
      </w:r>
      <w:r>
        <w:rPr>
          <w:rFonts w:hint="eastAsia" w:ascii="仿宋" w:hAnsi="仿宋" w:eastAsia="仿宋" w:cs="仿宋"/>
          <w:sz w:val="30"/>
          <w:szCs w:val="30"/>
          <w:lang w:val="en-US" w:eastAsia="zh-CN"/>
        </w:rPr>
        <w:t>报价人</w:t>
      </w:r>
      <w:r>
        <w:rPr>
          <w:rFonts w:hint="eastAsia" w:ascii="仿宋" w:hAnsi="仿宋" w:eastAsia="仿宋" w:cs="仿宋"/>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 w:hAnsi="仿宋" w:eastAsia="仿宋" w:cs="仿宋"/>
          <w:b/>
          <w:bCs/>
          <w:sz w:val="30"/>
          <w:szCs w:val="30"/>
        </w:rPr>
      </w:pPr>
      <w:r>
        <w:rPr>
          <w:rFonts w:hint="eastAsia" w:ascii="仿宋" w:hAnsi="仿宋" w:eastAsia="仿宋" w:cs="仿宋"/>
          <w:b/>
          <w:bCs/>
          <w:sz w:val="30"/>
          <w:szCs w:val="30"/>
        </w:rPr>
        <w:t>二、定义。</w:t>
      </w:r>
    </w:p>
    <w:p w14:paraId="4007F918">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sz w:val="30"/>
          <w:szCs w:val="30"/>
          <w:lang w:val="en-US" w:eastAsia="zh-CN"/>
        </w:rPr>
        <w:t>采购人</w:t>
      </w:r>
      <w:r>
        <w:rPr>
          <w:rFonts w:hint="eastAsia" w:ascii="仿宋" w:hAnsi="仿宋" w:eastAsia="仿宋" w:cs="仿宋"/>
          <w:sz w:val="30"/>
          <w:szCs w:val="30"/>
        </w:rPr>
        <w:t>”系指</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2BE745B7">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val="en-US" w:eastAsia="zh-CN"/>
        </w:rPr>
        <w:t>报价人</w:t>
      </w:r>
      <w:r>
        <w:rPr>
          <w:rFonts w:hint="eastAsia" w:ascii="仿宋" w:hAnsi="仿宋" w:eastAsia="仿宋" w:cs="仿宋"/>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 w:hAnsi="仿宋" w:eastAsia="仿宋" w:cs="仿宋"/>
          <w:b/>
          <w:bCs/>
          <w:sz w:val="30"/>
          <w:szCs w:val="30"/>
        </w:rPr>
      </w:pPr>
      <w:r>
        <w:rPr>
          <w:rFonts w:hint="eastAsia" w:ascii="仿宋" w:hAnsi="仿宋" w:eastAsia="仿宋" w:cs="仿宋"/>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val="en-US" w:eastAsia="zh-CN"/>
        </w:rPr>
        <w:t>报价人</w:t>
      </w:r>
      <w:r>
        <w:rPr>
          <w:rFonts w:hint="eastAsia" w:ascii="仿宋" w:hAnsi="仿宋" w:eastAsia="仿宋" w:cs="仿宋"/>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w:t>
      </w:r>
      <w:r>
        <w:rPr>
          <w:rFonts w:hint="eastAsia" w:ascii="仿宋" w:hAnsi="仿宋" w:eastAsia="仿宋" w:cs="仿宋"/>
          <w:sz w:val="30"/>
          <w:szCs w:val="30"/>
          <w:lang w:val="en-US" w:eastAsia="zh-CN"/>
        </w:rPr>
        <w:t>报价人</w:t>
      </w:r>
      <w:r>
        <w:rPr>
          <w:rFonts w:hint="eastAsia" w:ascii="仿宋" w:hAnsi="仿宋" w:eastAsia="仿宋" w:cs="仿宋"/>
          <w:sz w:val="30"/>
          <w:szCs w:val="30"/>
        </w:rPr>
        <w:t>报价应为一次性报价。如果出现两个或两个以上报价，则报价无效。</w:t>
      </w:r>
      <w:r>
        <w:rPr>
          <w:rFonts w:hint="eastAsia" w:ascii="仿宋" w:hAnsi="仿宋" w:eastAsia="仿宋" w:cs="仿宋"/>
          <w:sz w:val="30"/>
          <w:szCs w:val="30"/>
          <w:lang w:val="en-US" w:eastAsia="zh-CN"/>
        </w:rPr>
        <w:t>报价人</w:t>
      </w:r>
      <w:r>
        <w:rPr>
          <w:rFonts w:hint="eastAsia" w:ascii="仿宋" w:hAnsi="仿宋" w:eastAsia="仿宋" w:cs="仿宋"/>
          <w:sz w:val="30"/>
          <w:szCs w:val="30"/>
        </w:rPr>
        <w:t>报价超过最高限价的，作无效报价处理。</w:t>
      </w:r>
      <w:r>
        <w:rPr>
          <w:rFonts w:hint="eastAsia" w:ascii="仿宋" w:hAnsi="仿宋" w:eastAsia="仿宋" w:cs="仿宋"/>
          <w:sz w:val="30"/>
          <w:szCs w:val="30"/>
          <w:lang w:val="en-US" w:eastAsia="zh-CN"/>
        </w:rPr>
        <w:t>报价人</w:t>
      </w:r>
      <w:r>
        <w:rPr>
          <w:rFonts w:hint="eastAsia" w:ascii="仿宋" w:hAnsi="仿宋" w:eastAsia="仿宋" w:cs="仿宋"/>
          <w:sz w:val="30"/>
          <w:szCs w:val="30"/>
        </w:rPr>
        <w:t>报价应包括</w:t>
      </w:r>
      <w:r>
        <w:rPr>
          <w:rFonts w:hint="eastAsia" w:ascii="仿宋" w:hAnsi="仿宋" w:eastAsia="仿宋" w:cs="仿宋"/>
          <w:sz w:val="30"/>
          <w:szCs w:val="30"/>
          <w:lang w:val="en-US" w:eastAsia="zh-CN"/>
        </w:rPr>
        <w:t>运输</w:t>
      </w:r>
      <w:r>
        <w:rPr>
          <w:rFonts w:hint="eastAsia" w:ascii="仿宋" w:hAnsi="仿宋" w:eastAsia="仿宋" w:cs="仿宋"/>
          <w:sz w:val="30"/>
          <w:szCs w:val="30"/>
        </w:rPr>
        <w:t>费</w:t>
      </w:r>
      <w:r>
        <w:rPr>
          <w:rFonts w:hint="eastAsia" w:ascii="仿宋" w:hAnsi="仿宋" w:eastAsia="仿宋" w:cs="仿宋"/>
          <w:sz w:val="30"/>
          <w:szCs w:val="30"/>
          <w:lang w:val="en-US" w:eastAsia="zh-CN"/>
        </w:rPr>
        <w:t>和</w:t>
      </w:r>
      <w:r>
        <w:rPr>
          <w:rFonts w:hint="eastAsia" w:ascii="仿宋" w:hAnsi="仿宋" w:eastAsia="仿宋" w:cs="仿宋"/>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 w:hAnsi="仿宋" w:eastAsia="仿宋" w:cs="仿宋"/>
          <w:b/>
          <w:bCs/>
          <w:sz w:val="30"/>
          <w:szCs w:val="30"/>
        </w:rPr>
      </w:pPr>
      <w:r>
        <w:rPr>
          <w:rFonts w:hint="eastAsia" w:ascii="仿宋" w:hAnsi="仿宋" w:eastAsia="仿宋" w:cs="仿宋"/>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（二）特殊情况下，</w:t>
      </w:r>
      <w:r>
        <w:rPr>
          <w:rFonts w:hint="eastAsia" w:ascii="仿宋" w:hAnsi="仿宋" w:eastAsia="仿宋" w:cs="仿宋"/>
          <w:sz w:val="30"/>
          <w:szCs w:val="30"/>
          <w:lang w:val="en-US" w:eastAsia="zh-CN"/>
        </w:rPr>
        <w:t>采购人</w:t>
      </w:r>
      <w:r>
        <w:rPr>
          <w:rFonts w:hint="eastAsia" w:ascii="仿宋" w:hAnsi="仿宋" w:eastAsia="仿宋" w:cs="仿宋"/>
          <w:sz w:val="30"/>
          <w:szCs w:val="30"/>
        </w:rPr>
        <w:t>可与</w:t>
      </w:r>
      <w:r>
        <w:rPr>
          <w:rFonts w:hint="eastAsia" w:ascii="仿宋" w:hAnsi="仿宋" w:eastAsia="仿宋" w:cs="仿宋"/>
          <w:sz w:val="30"/>
          <w:szCs w:val="30"/>
          <w:lang w:val="en-US" w:eastAsia="zh-CN"/>
        </w:rPr>
        <w:t>报价人</w:t>
      </w:r>
      <w:r>
        <w:rPr>
          <w:rFonts w:hint="eastAsia" w:ascii="仿宋" w:hAnsi="仿宋" w:eastAsia="仿宋" w:cs="仿宋"/>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 w:hAnsi="仿宋" w:eastAsia="仿宋" w:cs="仿宋"/>
          <w:b/>
          <w:bCs/>
          <w:sz w:val="30"/>
          <w:szCs w:val="30"/>
        </w:rPr>
      </w:pPr>
      <w:r>
        <w:rPr>
          <w:rFonts w:hint="eastAsia" w:ascii="仿宋" w:hAnsi="仿宋" w:eastAsia="仿宋" w:cs="仿宋"/>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1.报价文件</w:t>
      </w:r>
      <w:r>
        <w:rPr>
          <w:rFonts w:hint="eastAsia" w:ascii="仿宋" w:hAnsi="仿宋" w:eastAsia="仿宋" w:cs="仿宋"/>
          <w:sz w:val="30"/>
          <w:szCs w:val="30"/>
          <w:lang w:eastAsia="zh-CN"/>
        </w:rPr>
        <w:t>密封</w:t>
      </w:r>
      <w:r>
        <w:rPr>
          <w:rFonts w:hint="eastAsia" w:ascii="仿宋" w:hAnsi="仿宋" w:eastAsia="仿宋" w:cs="仿宋"/>
          <w:sz w:val="30"/>
          <w:szCs w:val="30"/>
        </w:rPr>
        <w:t>封面（附件一）；</w:t>
      </w:r>
    </w:p>
    <w:p w14:paraId="7B4BC3DD">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.报价一览表（附件</w:t>
      </w:r>
      <w:r>
        <w:rPr>
          <w:rFonts w:hint="eastAsia" w:ascii="仿宋" w:hAnsi="仿宋" w:eastAsia="仿宋" w:cs="仿宋"/>
          <w:sz w:val="30"/>
          <w:szCs w:val="30"/>
          <w:lang w:eastAsia="zh-CN"/>
        </w:rPr>
        <w:t>二</w:t>
      </w:r>
      <w:r>
        <w:rPr>
          <w:rFonts w:hint="eastAsia" w:ascii="仿宋" w:hAnsi="仿宋" w:eastAsia="仿宋" w:cs="仿宋"/>
          <w:sz w:val="30"/>
          <w:szCs w:val="30"/>
        </w:rPr>
        <w:t>）；</w:t>
      </w:r>
    </w:p>
    <w:p w14:paraId="12D2C136">
      <w:pPr>
        <w:pageBreakBefore w:val="0"/>
        <w:kinsoku/>
        <w:wordWrap/>
        <w:topLinePunct w:val="0"/>
        <w:bidi w:val="0"/>
        <w:snapToGrid w:val="0"/>
        <w:spacing w:line="360" w:lineRule="auto"/>
        <w:ind w:firstLine="600" w:firstLineChars="200"/>
        <w:rPr>
          <w:rFonts w:hint="eastAsia" w:ascii="仿宋" w:hAnsi="仿宋" w:eastAsia="仿宋" w:cs="仿宋"/>
          <w:lang w:val="en-US" w:eastAsia="zh-CN"/>
        </w:rPr>
      </w:pPr>
      <w:r>
        <w:rPr>
          <w:rFonts w:hint="eastAsia" w:ascii="仿宋" w:hAnsi="仿宋" w:eastAsia="仿宋" w:cs="仿宋"/>
          <w:sz w:val="30"/>
          <w:szCs w:val="30"/>
          <w:lang w:val="en-US" w:eastAsia="zh-CN"/>
        </w:rPr>
        <w:t>3</w:t>
      </w:r>
      <w:r>
        <w:rPr>
          <w:rFonts w:hint="eastAsia" w:ascii="仿宋" w:hAnsi="仿宋" w:eastAsia="仿宋" w:cs="仿宋"/>
          <w:sz w:val="30"/>
          <w:szCs w:val="30"/>
        </w:rPr>
        <w:t>.产品质量保证承诺函（附件</w:t>
      </w:r>
      <w:r>
        <w:rPr>
          <w:rFonts w:hint="eastAsia" w:ascii="仿宋" w:hAnsi="仿宋" w:eastAsia="仿宋" w:cs="仿宋"/>
          <w:sz w:val="30"/>
          <w:szCs w:val="30"/>
          <w:lang w:eastAsia="zh-CN"/>
        </w:rPr>
        <w:t>三</w:t>
      </w:r>
      <w:r>
        <w:rPr>
          <w:rFonts w:hint="eastAsia" w:ascii="仿宋" w:hAnsi="仿宋" w:eastAsia="仿宋" w:cs="仿宋"/>
          <w:sz w:val="30"/>
          <w:szCs w:val="30"/>
        </w:rPr>
        <w:t>）；</w:t>
      </w:r>
    </w:p>
    <w:p w14:paraId="12B87EAC">
      <w:pPr>
        <w:pageBreakBefore w:val="0"/>
        <w:kinsoku/>
        <w:wordWrap/>
        <w:topLinePunct w:val="0"/>
        <w:bidi w:val="0"/>
        <w:snapToGrid w:val="0"/>
        <w:spacing w:line="360" w:lineRule="auto"/>
        <w:ind w:firstLine="600" w:firstLineChars="200"/>
        <w:rPr>
          <w:rFonts w:hint="eastAsia" w:ascii="仿宋" w:hAnsi="仿宋" w:eastAsia="仿宋" w:cs="仿宋"/>
          <w:b/>
          <w:bCs/>
          <w:sz w:val="30"/>
          <w:szCs w:val="30"/>
          <w:lang w:eastAsia="zh-CN"/>
        </w:rPr>
      </w:pPr>
      <w:r>
        <w:rPr>
          <w:rFonts w:hint="eastAsia" w:ascii="仿宋" w:hAnsi="仿宋" w:eastAsia="仿宋" w:cs="仿宋"/>
          <w:sz w:val="30"/>
          <w:szCs w:val="30"/>
          <w:lang w:val="en-US" w:eastAsia="zh-CN"/>
        </w:rPr>
        <w:t>4</w:t>
      </w:r>
      <w:r>
        <w:rPr>
          <w:rFonts w:hint="eastAsia" w:ascii="仿宋" w:hAnsi="仿宋" w:eastAsia="仿宋" w:cs="仿宋"/>
          <w:sz w:val="30"/>
          <w:szCs w:val="30"/>
        </w:rPr>
        <w:t>.有效资质证明并加盖公章：通过年检的营业执照复印件。报价文件装订密封，并</w:t>
      </w:r>
      <w:r>
        <w:rPr>
          <w:rFonts w:hint="eastAsia" w:ascii="仿宋" w:hAnsi="仿宋" w:eastAsia="仿宋" w:cs="仿宋"/>
          <w:b/>
          <w:bCs/>
          <w:sz w:val="30"/>
          <w:szCs w:val="30"/>
        </w:rPr>
        <w:t>在封</w:t>
      </w:r>
      <w:r>
        <w:rPr>
          <w:rFonts w:hint="eastAsia" w:ascii="仿宋" w:hAnsi="仿宋" w:eastAsia="仿宋" w:cs="仿宋"/>
          <w:b/>
          <w:bCs/>
          <w:sz w:val="30"/>
          <w:szCs w:val="30"/>
          <w:lang w:eastAsia="zh-CN"/>
        </w:rPr>
        <w:t>面</w:t>
      </w:r>
      <w:r>
        <w:rPr>
          <w:rFonts w:hint="eastAsia" w:ascii="仿宋" w:hAnsi="仿宋" w:eastAsia="仿宋" w:cs="仿宋"/>
          <w:b/>
          <w:bCs/>
          <w:sz w:val="30"/>
          <w:szCs w:val="30"/>
        </w:rPr>
        <w:t>上注明：采购项目名称、采购项目编号、报价单位名称、</w:t>
      </w:r>
      <w:r>
        <w:rPr>
          <w:rFonts w:hint="eastAsia" w:ascii="仿宋" w:hAnsi="仿宋" w:eastAsia="仿宋" w:cs="仿宋"/>
          <w:b/>
          <w:bCs/>
          <w:sz w:val="30"/>
          <w:szCs w:val="30"/>
          <w:lang w:eastAsia="zh-CN"/>
        </w:rPr>
        <w:t>联系人、联系方式；</w:t>
      </w:r>
    </w:p>
    <w:p w14:paraId="1795959B">
      <w:pPr>
        <w:pageBreakBefore w:val="0"/>
        <w:kinsoku/>
        <w:wordWrap/>
        <w:topLinePunct w:val="0"/>
        <w:bidi w:val="0"/>
        <w:snapToGrid w:val="0"/>
        <w:spacing w:line="360" w:lineRule="auto"/>
        <w:ind w:right="-176" w:rightChars="-84" w:firstLine="600"/>
        <w:outlineLvl w:val="1"/>
        <w:rPr>
          <w:rFonts w:hint="eastAsia" w:ascii="仿宋" w:hAnsi="仿宋" w:eastAsia="仿宋" w:cs="仿宋"/>
          <w:b/>
          <w:bCs/>
          <w:sz w:val="30"/>
          <w:szCs w:val="30"/>
        </w:rPr>
      </w:pPr>
      <w:r>
        <w:rPr>
          <w:rFonts w:hint="eastAsia" w:ascii="仿宋" w:hAnsi="仿宋" w:eastAsia="仿宋" w:cs="仿宋"/>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（二）报价文件凡需要盖章处均须由报价单位盖公章，并由法定代表人或</w:t>
      </w:r>
      <w:r>
        <w:rPr>
          <w:rFonts w:hint="eastAsia" w:ascii="仿宋" w:hAnsi="仿宋" w:eastAsia="仿宋" w:cs="仿宋"/>
          <w:sz w:val="30"/>
          <w:szCs w:val="30"/>
          <w:lang w:eastAsia="zh-CN"/>
        </w:rPr>
        <w:t>授权</w:t>
      </w:r>
      <w:r>
        <w:rPr>
          <w:rFonts w:hint="eastAsia" w:ascii="仿宋" w:hAnsi="仿宋" w:eastAsia="仿宋" w:cs="仿宋"/>
          <w:sz w:val="30"/>
          <w:szCs w:val="30"/>
        </w:rPr>
        <w:t>代表签署，</w:t>
      </w:r>
      <w:r>
        <w:rPr>
          <w:rFonts w:hint="eastAsia" w:ascii="仿宋" w:hAnsi="仿宋" w:eastAsia="仿宋" w:cs="仿宋"/>
          <w:sz w:val="30"/>
          <w:szCs w:val="30"/>
          <w:lang w:val="en-US" w:eastAsia="zh-CN"/>
        </w:rPr>
        <w:t>报价人</w:t>
      </w:r>
      <w:r>
        <w:rPr>
          <w:rFonts w:hint="eastAsia" w:ascii="仿宋" w:hAnsi="仿宋" w:eastAsia="仿宋" w:cs="仿宋"/>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 w:hAnsi="仿宋" w:eastAsia="仿宋" w:cs="仿宋"/>
          <w:sz w:val="30"/>
          <w:szCs w:val="30"/>
          <w:lang w:eastAsia="zh-CN"/>
        </w:rPr>
      </w:pPr>
      <w:r>
        <w:rPr>
          <w:rFonts w:hint="eastAsia" w:ascii="仿宋" w:hAnsi="仿宋" w:eastAsia="仿宋" w:cs="仿宋"/>
          <w:sz w:val="30"/>
          <w:szCs w:val="30"/>
        </w:rPr>
        <w:t>（三）</w:t>
      </w:r>
      <w:r>
        <w:rPr>
          <w:rFonts w:hint="eastAsia" w:ascii="仿宋" w:hAnsi="仿宋" w:eastAsia="仿宋" w:cs="仿宋"/>
          <w:sz w:val="30"/>
          <w:szCs w:val="30"/>
          <w:lang w:val="en-US" w:eastAsia="zh-CN"/>
        </w:rPr>
        <w:t>报价人</w:t>
      </w:r>
      <w:r>
        <w:rPr>
          <w:rFonts w:hint="eastAsia" w:ascii="仿宋" w:hAnsi="仿宋" w:eastAsia="仿宋" w:cs="仿宋"/>
          <w:sz w:val="30"/>
          <w:szCs w:val="30"/>
        </w:rPr>
        <w:t>应按照询价文件的格式要求制作报价文件，报价文件正本1份</w:t>
      </w:r>
      <w:r>
        <w:rPr>
          <w:rFonts w:hint="eastAsia" w:ascii="仿宋" w:hAnsi="仿宋" w:eastAsia="仿宋" w:cs="仿宋"/>
          <w:sz w:val="30"/>
          <w:szCs w:val="30"/>
          <w:lang w:eastAsia="zh-CN"/>
        </w:rPr>
        <w:t>，副本</w:t>
      </w:r>
      <w:r>
        <w:rPr>
          <w:rFonts w:hint="eastAsia" w:ascii="仿宋" w:hAnsi="仿宋" w:eastAsia="仿宋" w:cs="仿宋"/>
          <w:sz w:val="30"/>
          <w:szCs w:val="30"/>
          <w:lang w:val="en-US" w:eastAsia="zh-CN"/>
        </w:rPr>
        <w:t>4份</w:t>
      </w:r>
      <w:r>
        <w:rPr>
          <w:rFonts w:hint="eastAsia" w:ascii="仿宋" w:hAnsi="仿宋" w:eastAsia="仿宋" w:cs="仿宋"/>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 w:hAnsi="仿宋" w:eastAsia="仿宋" w:cs="仿宋"/>
          <w:b/>
          <w:bCs/>
          <w:sz w:val="30"/>
          <w:szCs w:val="30"/>
        </w:rPr>
      </w:pPr>
      <w:r>
        <w:rPr>
          <w:rFonts w:hint="eastAsia" w:ascii="仿宋" w:hAnsi="仿宋" w:eastAsia="仿宋" w:cs="仿宋"/>
          <w:b/>
          <w:bCs/>
          <w:sz w:val="30"/>
          <w:szCs w:val="30"/>
        </w:rPr>
        <w:t>七、报价文件的递交。</w:t>
      </w:r>
    </w:p>
    <w:p w14:paraId="0C872476">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（一）如果</w:t>
      </w:r>
      <w:r>
        <w:rPr>
          <w:rFonts w:hint="eastAsia" w:ascii="仿宋" w:hAnsi="仿宋" w:eastAsia="仿宋" w:cs="仿宋"/>
          <w:sz w:val="30"/>
          <w:szCs w:val="30"/>
          <w:lang w:val="en-US" w:eastAsia="zh-CN"/>
        </w:rPr>
        <w:t>报价人</w:t>
      </w:r>
      <w:r>
        <w:rPr>
          <w:rFonts w:hint="eastAsia" w:ascii="仿宋" w:hAnsi="仿宋" w:eastAsia="仿宋" w:cs="仿宋"/>
          <w:sz w:val="30"/>
          <w:szCs w:val="30"/>
        </w:rPr>
        <w:t>未加写标记，</w:t>
      </w:r>
      <w:r>
        <w:rPr>
          <w:rFonts w:hint="eastAsia" w:ascii="仿宋" w:hAnsi="仿宋" w:eastAsia="仿宋" w:cs="仿宋"/>
          <w:sz w:val="30"/>
          <w:szCs w:val="30"/>
          <w:lang w:val="en-US" w:eastAsia="zh-CN"/>
        </w:rPr>
        <w:t>采购人</w:t>
      </w:r>
      <w:r>
        <w:rPr>
          <w:rFonts w:hint="eastAsia" w:ascii="仿宋" w:hAnsi="仿宋" w:eastAsia="仿宋" w:cs="仿宋"/>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val="en-US" w:eastAsia="zh-CN"/>
        </w:rPr>
        <w:t>采购人</w:t>
      </w:r>
      <w:r>
        <w:rPr>
          <w:rFonts w:hint="eastAsia" w:ascii="仿宋" w:hAnsi="仿宋" w:eastAsia="仿宋" w:cs="仿宋"/>
          <w:sz w:val="30"/>
          <w:szCs w:val="30"/>
        </w:rPr>
        <w:t>接受</w:t>
      </w:r>
      <w:r>
        <w:rPr>
          <w:rFonts w:hint="eastAsia" w:ascii="仿宋" w:hAnsi="仿宋" w:eastAsia="仿宋" w:cs="仿宋"/>
          <w:sz w:val="30"/>
          <w:szCs w:val="30"/>
          <w:lang w:val="en-US" w:eastAsia="zh-CN"/>
        </w:rPr>
        <w:t>报价人</w:t>
      </w:r>
      <w:r>
        <w:rPr>
          <w:rFonts w:hint="eastAsia" w:ascii="仿宋" w:hAnsi="仿宋" w:eastAsia="仿宋" w:cs="仿宋"/>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（三）报价截止时间前，</w:t>
      </w:r>
      <w:r>
        <w:rPr>
          <w:rFonts w:hint="eastAsia" w:ascii="仿宋" w:hAnsi="仿宋" w:eastAsia="仿宋" w:cs="仿宋"/>
          <w:sz w:val="30"/>
          <w:szCs w:val="30"/>
          <w:lang w:val="en-US" w:eastAsia="zh-CN"/>
        </w:rPr>
        <w:t>报价人</w:t>
      </w:r>
      <w:r>
        <w:rPr>
          <w:rFonts w:hint="eastAsia" w:ascii="仿宋" w:hAnsi="仿宋" w:eastAsia="仿宋" w:cs="仿宋"/>
          <w:sz w:val="30"/>
          <w:szCs w:val="30"/>
        </w:rPr>
        <w:t>可以书面形式向</w:t>
      </w:r>
      <w:r>
        <w:rPr>
          <w:rFonts w:hint="eastAsia" w:ascii="仿宋" w:hAnsi="仿宋" w:eastAsia="仿宋" w:cs="仿宋"/>
          <w:sz w:val="30"/>
          <w:szCs w:val="30"/>
          <w:lang w:val="en-US" w:eastAsia="zh-CN"/>
        </w:rPr>
        <w:t>采购人</w:t>
      </w:r>
      <w:r>
        <w:rPr>
          <w:rFonts w:hint="eastAsia" w:ascii="仿宋" w:hAnsi="仿宋" w:eastAsia="仿宋" w:cs="仿宋"/>
          <w:sz w:val="30"/>
          <w:szCs w:val="30"/>
        </w:rPr>
        <w:t>已递交的报价文件提出补充和修改，</w:t>
      </w:r>
      <w:r>
        <w:rPr>
          <w:rFonts w:hint="eastAsia" w:ascii="仿宋" w:hAnsi="仿宋" w:eastAsia="仿宋" w:cs="仿宋"/>
          <w:sz w:val="30"/>
          <w:szCs w:val="30"/>
          <w:lang w:val="en-US" w:eastAsia="zh-CN"/>
        </w:rPr>
        <w:t>采购人</w:t>
      </w:r>
      <w:r>
        <w:rPr>
          <w:rFonts w:hint="eastAsia" w:ascii="仿宋" w:hAnsi="仿宋" w:eastAsia="仿宋" w:cs="仿宋"/>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八</w:t>
      </w:r>
      <w:r>
        <w:rPr>
          <w:rFonts w:hint="eastAsia" w:ascii="仿宋" w:hAnsi="仿宋" w:eastAsia="仿宋" w:cs="仿宋"/>
          <w:b/>
          <w:bCs/>
          <w:sz w:val="30"/>
          <w:szCs w:val="30"/>
        </w:rPr>
        <w:t>、无效报价</w:t>
      </w:r>
      <w:r>
        <w:rPr>
          <w:rFonts w:hint="eastAsia" w:ascii="仿宋" w:hAnsi="仿宋" w:eastAsia="仿宋" w:cs="仿宋"/>
          <w:b/>
          <w:bCs/>
          <w:sz w:val="30"/>
          <w:szCs w:val="30"/>
          <w:lang w:eastAsia="zh-CN"/>
        </w:rPr>
        <w:t>。</w:t>
      </w:r>
    </w:p>
    <w:p w14:paraId="7952F743">
      <w:pPr>
        <w:pageBreakBefore w:val="0"/>
        <w:kinsoku/>
        <w:wordWrap/>
        <w:topLinePunct w:val="0"/>
        <w:bidi w:val="0"/>
        <w:snapToGrid w:val="0"/>
        <w:spacing w:line="360" w:lineRule="auto"/>
        <w:ind w:left="1" w:firstLine="771" w:firstLineChars="257"/>
        <w:rPr>
          <w:rFonts w:hint="eastAsia" w:ascii="仿宋" w:hAnsi="仿宋" w:eastAsia="仿宋" w:cs="仿宋"/>
          <w:sz w:val="30"/>
          <w:szCs w:val="30"/>
        </w:rPr>
      </w:pPr>
      <w:r>
        <w:rPr>
          <w:rFonts w:hint="eastAsia" w:ascii="仿宋" w:hAnsi="仿宋" w:eastAsia="仿宋" w:cs="仿宋"/>
          <w:sz w:val="30"/>
          <w:szCs w:val="30"/>
        </w:rPr>
        <w:t>发生下列情况之一的，</w:t>
      </w:r>
      <w:r>
        <w:rPr>
          <w:rFonts w:hint="eastAsia" w:ascii="仿宋" w:hAnsi="仿宋" w:eastAsia="仿宋" w:cs="仿宋"/>
          <w:sz w:val="30"/>
          <w:szCs w:val="30"/>
          <w:lang w:val="en-US" w:eastAsia="zh-CN"/>
        </w:rPr>
        <w:t>采购人</w:t>
      </w:r>
      <w:r>
        <w:rPr>
          <w:rFonts w:hint="eastAsia" w:ascii="仿宋" w:hAnsi="仿宋" w:eastAsia="仿宋" w:cs="仿宋"/>
          <w:sz w:val="30"/>
          <w:szCs w:val="30"/>
        </w:rPr>
        <w:t>可视情况作无效报价处理：</w:t>
      </w:r>
    </w:p>
    <w:p w14:paraId="0EAA2AE1">
      <w:pPr>
        <w:pageBreakBefore w:val="0"/>
        <w:kinsoku/>
        <w:wordWrap/>
        <w:topLinePunct w:val="0"/>
        <w:bidi w:val="0"/>
        <w:snapToGrid w:val="0"/>
        <w:spacing w:line="360" w:lineRule="auto"/>
        <w:ind w:firstLine="612" w:firstLineChars="204"/>
        <w:rPr>
          <w:rFonts w:hint="eastAsia" w:ascii="仿宋" w:hAnsi="仿宋" w:eastAsia="仿宋" w:cs="仿宋"/>
          <w:sz w:val="30"/>
          <w:szCs w:val="30"/>
        </w:rPr>
      </w:pPr>
      <w:r>
        <w:rPr>
          <w:rFonts w:hint="eastAsia" w:ascii="仿宋" w:hAnsi="仿宋" w:eastAsia="仿宋" w:cs="仿宋"/>
          <w:sz w:val="30"/>
          <w:szCs w:val="30"/>
        </w:rPr>
        <w:t>（一）在</w:t>
      </w:r>
      <w:r>
        <w:rPr>
          <w:rFonts w:hint="eastAsia" w:ascii="仿宋" w:hAnsi="仿宋" w:eastAsia="仿宋" w:cs="仿宋"/>
          <w:sz w:val="30"/>
          <w:szCs w:val="30"/>
          <w:lang w:val="en-US" w:eastAsia="zh-CN"/>
        </w:rPr>
        <w:t>采购人</w:t>
      </w:r>
      <w:r>
        <w:rPr>
          <w:rFonts w:hint="eastAsia" w:ascii="仿宋" w:hAnsi="仿宋" w:eastAsia="仿宋" w:cs="仿宋"/>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hint="eastAsia" w:ascii="仿宋" w:hAnsi="仿宋" w:eastAsia="仿宋" w:cs="仿宋"/>
          <w:sz w:val="30"/>
          <w:szCs w:val="30"/>
        </w:rPr>
      </w:pPr>
      <w:r>
        <w:rPr>
          <w:rFonts w:hint="eastAsia" w:ascii="仿宋" w:hAnsi="仿宋" w:eastAsia="仿宋" w:cs="仿宋"/>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rPr>
        <w:t>（三）报价文件应盖公章而未盖公章或盖非公司公章、未装订、</w:t>
      </w:r>
      <w:r>
        <w:rPr>
          <w:rFonts w:hint="eastAsia" w:ascii="仿宋" w:hAnsi="仿宋" w:eastAsia="仿宋" w:cs="仿宋"/>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九、询价过程。</w:t>
      </w:r>
    </w:p>
    <w:p w14:paraId="1CC95567">
      <w:pPr>
        <w:pageBreakBefore w:val="0"/>
        <w:kinsoku/>
        <w:wordWrap/>
        <w:topLinePunct w:val="0"/>
        <w:bidi w:val="0"/>
        <w:snapToGrid w:val="0"/>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    （一）</w:t>
      </w:r>
      <w:r>
        <w:rPr>
          <w:rFonts w:hint="eastAsia" w:ascii="仿宋" w:hAnsi="仿宋" w:eastAsia="仿宋" w:cs="仿宋"/>
          <w:sz w:val="30"/>
          <w:szCs w:val="30"/>
          <w:lang w:val="en-US" w:eastAsia="zh-CN"/>
        </w:rPr>
        <w:t>采购人</w:t>
      </w:r>
      <w:r>
        <w:rPr>
          <w:rFonts w:hint="eastAsia" w:ascii="仿宋" w:hAnsi="仿宋" w:eastAsia="仿宋" w:cs="仿宋"/>
          <w:sz w:val="30"/>
          <w:szCs w:val="30"/>
        </w:rPr>
        <w:t>组织3人</w:t>
      </w:r>
      <w:r>
        <w:rPr>
          <w:rFonts w:hint="eastAsia" w:ascii="仿宋" w:hAnsi="仿宋" w:eastAsia="仿宋" w:cs="仿宋"/>
          <w:sz w:val="30"/>
          <w:szCs w:val="30"/>
          <w:lang w:eastAsia="zh-CN"/>
        </w:rPr>
        <w:t>或</w:t>
      </w:r>
      <w:r>
        <w:rPr>
          <w:rFonts w:hint="eastAsia" w:ascii="仿宋" w:hAnsi="仿宋" w:eastAsia="仿宋" w:cs="仿宋"/>
          <w:sz w:val="30"/>
          <w:szCs w:val="30"/>
          <w:lang w:val="en-US" w:eastAsia="zh-CN"/>
        </w:rPr>
        <w:t>3人以上</w:t>
      </w:r>
      <w:r>
        <w:rPr>
          <w:rFonts w:hint="eastAsia" w:ascii="仿宋" w:hAnsi="仿宋" w:eastAsia="仿宋" w:cs="仿宋"/>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val="en-US" w:eastAsia="zh-CN"/>
        </w:rPr>
        <w:t>采购人</w:t>
      </w:r>
      <w:r>
        <w:rPr>
          <w:rFonts w:hint="eastAsia" w:ascii="仿宋" w:hAnsi="仿宋" w:eastAsia="仿宋" w:cs="仿宋"/>
          <w:sz w:val="30"/>
          <w:szCs w:val="30"/>
        </w:rPr>
        <w:t>在询价文件规定的时间和地点</w:t>
      </w:r>
      <w:r>
        <w:rPr>
          <w:rFonts w:hint="eastAsia" w:ascii="仿宋" w:hAnsi="仿宋" w:eastAsia="仿宋" w:cs="仿宋"/>
          <w:sz w:val="30"/>
          <w:szCs w:val="30"/>
          <w:lang w:eastAsia="zh-CN"/>
        </w:rPr>
        <w:t>进行开标</w:t>
      </w:r>
      <w:r>
        <w:rPr>
          <w:rFonts w:hint="eastAsia" w:ascii="仿宋" w:hAnsi="仿宋" w:eastAsia="仿宋" w:cs="仿宋"/>
          <w:sz w:val="30"/>
          <w:szCs w:val="30"/>
        </w:rPr>
        <w:t>。</w:t>
      </w:r>
    </w:p>
    <w:p w14:paraId="58BE4334">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（三）</w:t>
      </w:r>
      <w:r>
        <w:rPr>
          <w:rFonts w:hint="eastAsia" w:ascii="仿宋" w:hAnsi="仿宋" w:eastAsia="仿宋" w:cs="仿宋"/>
          <w:sz w:val="30"/>
          <w:szCs w:val="30"/>
          <w:lang w:eastAsia="zh-CN"/>
        </w:rPr>
        <w:t>开标</w:t>
      </w:r>
      <w:r>
        <w:rPr>
          <w:rFonts w:hint="eastAsia" w:ascii="仿宋" w:hAnsi="仿宋" w:eastAsia="仿宋" w:cs="仿宋"/>
          <w:sz w:val="30"/>
          <w:szCs w:val="30"/>
        </w:rPr>
        <w:t>时，</w:t>
      </w:r>
      <w:r>
        <w:rPr>
          <w:rFonts w:hint="eastAsia" w:ascii="仿宋" w:hAnsi="仿宋" w:eastAsia="仿宋" w:cs="仿宋"/>
          <w:sz w:val="30"/>
          <w:szCs w:val="30"/>
          <w:lang w:val="en-US" w:eastAsia="zh-CN"/>
        </w:rPr>
        <w:t>采购人</w:t>
      </w:r>
      <w:r>
        <w:rPr>
          <w:rFonts w:hint="eastAsia" w:ascii="仿宋" w:hAnsi="仿宋" w:eastAsia="仿宋" w:cs="仿宋"/>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 w:hAnsi="仿宋" w:eastAsia="仿宋" w:cs="仿宋"/>
          <w:b/>
          <w:bCs/>
          <w:sz w:val="30"/>
          <w:szCs w:val="30"/>
          <w:lang w:eastAsia="zh-CN"/>
        </w:rPr>
      </w:pPr>
      <w:r>
        <w:rPr>
          <w:rFonts w:hint="eastAsia" w:ascii="仿宋" w:hAnsi="仿宋" w:eastAsia="仿宋" w:cs="仿宋"/>
          <w:b/>
          <w:bCs/>
          <w:sz w:val="30"/>
          <w:szCs w:val="30"/>
        </w:rPr>
        <w:t>十、</w:t>
      </w:r>
      <w:r>
        <w:rPr>
          <w:rFonts w:hint="eastAsia" w:ascii="仿宋" w:hAnsi="仿宋" w:eastAsia="仿宋" w:cs="仿宋"/>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eastAsia="zh-CN"/>
        </w:rPr>
        <w:t>十一、</w:t>
      </w:r>
      <w:r>
        <w:rPr>
          <w:rFonts w:hint="eastAsia" w:ascii="仿宋" w:hAnsi="仿宋" w:eastAsia="仿宋" w:cs="仿宋"/>
          <w:b/>
          <w:bCs/>
          <w:color w:val="auto"/>
          <w:sz w:val="30"/>
          <w:szCs w:val="30"/>
          <w:highlight w:val="none"/>
        </w:rPr>
        <w:t>成交原则与</w:t>
      </w:r>
      <w:r>
        <w:rPr>
          <w:rFonts w:hint="eastAsia" w:ascii="仿宋" w:hAnsi="仿宋" w:eastAsia="仿宋" w:cs="仿宋"/>
          <w:b/>
          <w:bCs/>
          <w:color w:val="auto"/>
          <w:sz w:val="30"/>
          <w:szCs w:val="30"/>
          <w:highlight w:val="none"/>
          <w:lang w:val="en-US" w:eastAsia="zh-CN"/>
        </w:rPr>
        <w:t>二次报价</w:t>
      </w:r>
      <w:r>
        <w:rPr>
          <w:rFonts w:hint="eastAsia" w:ascii="仿宋" w:hAnsi="仿宋" w:eastAsia="仿宋" w:cs="仿宋"/>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（一）为保障公司利益最大化，在初次</w:t>
      </w:r>
      <w:r>
        <w:rPr>
          <w:rFonts w:hint="eastAsia" w:ascii="仿宋" w:hAnsi="仿宋" w:eastAsia="仿宋" w:cs="仿宋"/>
          <w:color w:val="auto"/>
          <w:sz w:val="30"/>
          <w:szCs w:val="30"/>
          <w:highlight w:val="none"/>
          <w:lang w:val="en-US" w:eastAsia="zh-CN"/>
        </w:rPr>
        <w:t>报价</w:t>
      </w:r>
      <w:r>
        <w:rPr>
          <w:rFonts w:hint="eastAsia" w:ascii="仿宋" w:hAnsi="仿宋" w:eastAsia="仿宋" w:cs="仿宋"/>
          <w:color w:val="auto"/>
          <w:sz w:val="30"/>
          <w:szCs w:val="30"/>
          <w:highlight w:val="none"/>
        </w:rPr>
        <w:t>基础上，我司将开展二次</w:t>
      </w:r>
      <w:r>
        <w:rPr>
          <w:rFonts w:hint="eastAsia" w:ascii="仿宋" w:hAnsi="仿宋" w:eastAsia="仿宋" w:cs="仿宋"/>
          <w:color w:val="auto"/>
          <w:sz w:val="30"/>
          <w:szCs w:val="30"/>
          <w:highlight w:val="none"/>
          <w:lang w:val="en-US" w:eastAsia="zh-CN"/>
        </w:rPr>
        <w:t>报价</w:t>
      </w:r>
      <w:r>
        <w:rPr>
          <w:rFonts w:hint="eastAsia" w:ascii="仿宋" w:hAnsi="仿宋" w:eastAsia="仿宋" w:cs="仿宋"/>
          <w:color w:val="auto"/>
          <w:sz w:val="30"/>
          <w:szCs w:val="30"/>
          <w:highlight w:val="none"/>
        </w:rPr>
        <w:t>工作。</w:t>
      </w:r>
      <w:r>
        <w:rPr>
          <w:rFonts w:hint="eastAsia" w:ascii="仿宋" w:hAnsi="仿宋" w:eastAsia="仿宋" w:cs="仿宋"/>
          <w:color w:val="auto"/>
          <w:sz w:val="30"/>
          <w:szCs w:val="30"/>
          <w:highlight w:val="none"/>
          <w:lang w:eastAsia="zh-CN"/>
        </w:rPr>
        <w:t>二次</w:t>
      </w:r>
      <w:r>
        <w:rPr>
          <w:rFonts w:hint="eastAsia" w:ascii="仿宋" w:hAnsi="仿宋" w:eastAsia="仿宋" w:cs="仿宋"/>
          <w:color w:val="auto"/>
          <w:sz w:val="30"/>
          <w:szCs w:val="30"/>
          <w:highlight w:val="none"/>
          <w:lang w:val="en-US" w:eastAsia="zh-CN"/>
        </w:rPr>
        <w:t>报价</w:t>
      </w:r>
      <w:r>
        <w:rPr>
          <w:rFonts w:hint="eastAsia" w:ascii="仿宋" w:hAnsi="仿宋" w:eastAsia="仿宋" w:cs="仿宋"/>
          <w:color w:val="auto"/>
          <w:sz w:val="30"/>
          <w:szCs w:val="30"/>
          <w:highlight w:val="none"/>
          <w:lang w:eastAsia="zh-CN"/>
        </w:rPr>
        <w:t>将针对初次</w:t>
      </w:r>
      <w:r>
        <w:rPr>
          <w:rFonts w:hint="eastAsia" w:ascii="仿宋" w:hAnsi="仿宋" w:eastAsia="仿宋" w:cs="仿宋"/>
          <w:color w:val="auto"/>
          <w:sz w:val="30"/>
          <w:szCs w:val="30"/>
          <w:highlight w:val="none"/>
          <w:lang w:val="en-US" w:eastAsia="zh-CN"/>
        </w:rPr>
        <w:t>报价</w:t>
      </w:r>
      <w:r>
        <w:rPr>
          <w:rFonts w:hint="eastAsia" w:ascii="仿宋" w:hAnsi="仿宋" w:eastAsia="仿宋" w:cs="仿宋"/>
          <w:color w:val="auto"/>
          <w:sz w:val="30"/>
          <w:szCs w:val="30"/>
          <w:highlight w:val="none"/>
          <w:lang w:eastAsia="zh-CN"/>
        </w:rPr>
        <w:t>中部分关键条款或价格存在调整空间的物资/服务，</w:t>
      </w:r>
      <w:r>
        <w:rPr>
          <w:rFonts w:hint="eastAsia" w:ascii="仿宋" w:hAnsi="仿宋" w:eastAsia="仿宋" w:cs="仿宋"/>
          <w:color w:val="auto"/>
          <w:sz w:val="30"/>
          <w:szCs w:val="30"/>
          <w:highlight w:val="none"/>
          <w:lang w:val="en-US" w:eastAsia="zh-CN"/>
        </w:rPr>
        <w:t>遵循公平、公正、公开的原则进行。</w:t>
      </w:r>
      <w:r>
        <w:rPr>
          <w:rFonts w:hint="eastAsia" w:ascii="仿宋" w:hAnsi="仿宋" w:eastAsia="仿宋" w:cs="仿宋"/>
          <w:color w:val="auto"/>
          <w:sz w:val="30"/>
          <w:szCs w:val="30"/>
          <w:highlight w:val="none"/>
          <w:lang w:eastAsia="zh-CN"/>
        </w:rPr>
        <w:t>参与二次</w:t>
      </w:r>
      <w:r>
        <w:rPr>
          <w:rFonts w:hint="eastAsia" w:ascii="仿宋" w:hAnsi="仿宋" w:eastAsia="仿宋" w:cs="仿宋"/>
          <w:color w:val="auto"/>
          <w:sz w:val="30"/>
          <w:szCs w:val="30"/>
          <w:highlight w:val="none"/>
          <w:lang w:val="en-US" w:eastAsia="zh-CN"/>
        </w:rPr>
        <w:t>报价</w:t>
      </w:r>
      <w:r>
        <w:rPr>
          <w:rFonts w:hint="eastAsia" w:ascii="仿宋" w:hAnsi="仿宋" w:eastAsia="仿宋" w:cs="仿宋"/>
          <w:color w:val="auto"/>
          <w:sz w:val="30"/>
          <w:szCs w:val="30"/>
          <w:highlight w:val="none"/>
          <w:lang w:eastAsia="zh-CN"/>
        </w:rPr>
        <w:t>的供应商需严格按照</w:t>
      </w:r>
      <w:r>
        <w:rPr>
          <w:rFonts w:hint="eastAsia" w:ascii="仿宋" w:hAnsi="仿宋" w:eastAsia="仿宋" w:cs="仿宋"/>
          <w:color w:val="auto"/>
          <w:sz w:val="30"/>
          <w:szCs w:val="30"/>
          <w:highlight w:val="none"/>
          <w:lang w:val="en-US" w:eastAsia="zh-CN"/>
        </w:rPr>
        <w:t>采购人</w:t>
      </w:r>
      <w:r>
        <w:rPr>
          <w:rFonts w:hint="eastAsia" w:ascii="仿宋" w:hAnsi="仿宋" w:eastAsia="仿宋" w:cs="仿宋"/>
          <w:color w:val="auto"/>
          <w:sz w:val="30"/>
          <w:szCs w:val="30"/>
          <w:highlight w:val="none"/>
          <w:lang w:eastAsia="zh-CN"/>
        </w:rPr>
        <w:t>提供的二次</w:t>
      </w:r>
      <w:r>
        <w:rPr>
          <w:rFonts w:hint="eastAsia" w:ascii="仿宋" w:hAnsi="仿宋" w:eastAsia="仿宋" w:cs="仿宋"/>
          <w:color w:val="auto"/>
          <w:sz w:val="30"/>
          <w:szCs w:val="30"/>
          <w:highlight w:val="none"/>
          <w:lang w:val="en-US" w:eastAsia="zh-CN"/>
        </w:rPr>
        <w:t>报价</w:t>
      </w:r>
      <w:r>
        <w:rPr>
          <w:rFonts w:hint="eastAsia" w:ascii="仿宋" w:hAnsi="仿宋" w:eastAsia="仿宋" w:cs="仿宋"/>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 w:hAnsi="仿宋" w:eastAsia="仿宋" w:cs="仿宋"/>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 w:hAnsi="仿宋" w:eastAsia="仿宋" w:cs="仿宋"/>
          <w:color w:val="auto"/>
          <w:sz w:val="30"/>
          <w:szCs w:val="30"/>
          <w:highlight w:val="none"/>
        </w:rPr>
        <w:t>组织评审小组对各单位的</w:t>
      </w:r>
      <w:r>
        <w:rPr>
          <w:rFonts w:hint="eastAsia" w:ascii="仿宋" w:hAnsi="仿宋" w:eastAsia="仿宋" w:cs="仿宋"/>
          <w:color w:val="auto"/>
          <w:sz w:val="30"/>
          <w:szCs w:val="30"/>
          <w:highlight w:val="none"/>
          <w:lang w:val="en-US" w:eastAsia="zh-CN"/>
        </w:rPr>
        <w:t>二次</w:t>
      </w:r>
      <w:r>
        <w:rPr>
          <w:rFonts w:hint="eastAsia" w:ascii="仿宋" w:hAnsi="仿宋" w:eastAsia="仿宋" w:cs="仿宋"/>
          <w:color w:val="auto"/>
          <w:sz w:val="30"/>
          <w:szCs w:val="30"/>
          <w:highlight w:val="none"/>
        </w:rPr>
        <w:t>报价资料</w:t>
      </w:r>
      <w:r>
        <w:rPr>
          <w:rFonts w:hint="eastAsia" w:ascii="仿宋" w:hAnsi="仿宋" w:eastAsia="仿宋" w:cs="仿宋"/>
          <w:color w:val="auto"/>
          <w:sz w:val="30"/>
          <w:szCs w:val="30"/>
          <w:highlight w:val="none"/>
          <w:lang w:val="en-US" w:eastAsia="zh-CN"/>
        </w:rPr>
        <w:t>当场</w:t>
      </w:r>
      <w:r>
        <w:rPr>
          <w:rFonts w:hint="eastAsia" w:ascii="仿宋" w:hAnsi="仿宋" w:eastAsia="仿宋" w:cs="仿宋"/>
          <w:color w:val="auto"/>
          <w:sz w:val="30"/>
          <w:szCs w:val="30"/>
          <w:highlight w:val="none"/>
        </w:rPr>
        <w:t>进行审核，在满足</w:t>
      </w:r>
      <w:r>
        <w:rPr>
          <w:rFonts w:hint="eastAsia" w:ascii="仿宋" w:hAnsi="仿宋" w:eastAsia="仿宋" w:cs="仿宋"/>
          <w:color w:val="auto"/>
          <w:sz w:val="30"/>
          <w:szCs w:val="30"/>
          <w:highlight w:val="none"/>
          <w:lang w:val="en-US" w:eastAsia="zh-CN"/>
        </w:rPr>
        <w:t>采购人</w:t>
      </w:r>
      <w:r>
        <w:rPr>
          <w:rFonts w:hint="eastAsia" w:ascii="仿宋" w:hAnsi="仿宋" w:eastAsia="仿宋" w:cs="仿宋"/>
          <w:color w:val="auto"/>
          <w:sz w:val="30"/>
          <w:szCs w:val="30"/>
          <w:highlight w:val="none"/>
        </w:rPr>
        <w:t>要求的前提下，</w:t>
      </w:r>
      <w:r>
        <w:rPr>
          <w:rFonts w:hint="eastAsia" w:ascii="仿宋" w:hAnsi="仿宋" w:eastAsia="仿宋" w:cs="仿宋"/>
          <w:color w:val="auto"/>
          <w:sz w:val="30"/>
          <w:szCs w:val="30"/>
          <w:highlight w:val="none"/>
          <w:lang w:eastAsia="zh-CN"/>
        </w:rPr>
        <w:t>以二次报价</w:t>
      </w:r>
      <w:r>
        <w:rPr>
          <w:rFonts w:hint="eastAsia" w:ascii="仿宋" w:hAnsi="仿宋" w:eastAsia="仿宋" w:cs="仿宋"/>
          <w:color w:val="auto"/>
          <w:sz w:val="30"/>
          <w:szCs w:val="30"/>
          <w:highlight w:val="none"/>
        </w:rPr>
        <w:t>金额最低价成交的原则确定</w:t>
      </w:r>
      <w:r>
        <w:rPr>
          <w:rFonts w:hint="eastAsia" w:ascii="仿宋" w:hAnsi="仿宋" w:eastAsia="仿宋" w:cs="仿宋"/>
          <w:color w:val="auto"/>
          <w:sz w:val="30"/>
          <w:szCs w:val="30"/>
          <w:highlight w:val="none"/>
          <w:lang w:val="en-US" w:eastAsia="zh-CN"/>
        </w:rPr>
        <w:t>中标单位，</w:t>
      </w:r>
      <w:r>
        <w:rPr>
          <w:rFonts w:hint="eastAsia" w:ascii="仿宋" w:hAnsi="仿宋" w:eastAsia="仿宋" w:cs="仿宋"/>
          <w:color w:val="auto"/>
          <w:sz w:val="30"/>
          <w:szCs w:val="30"/>
          <w:highlight w:val="none"/>
        </w:rPr>
        <w:t>若出现税率不一致的情况，以除税</w:t>
      </w:r>
      <w:r>
        <w:rPr>
          <w:rFonts w:hint="eastAsia" w:ascii="仿宋" w:hAnsi="仿宋" w:eastAsia="仿宋" w:cs="仿宋"/>
          <w:color w:val="auto"/>
          <w:sz w:val="30"/>
          <w:szCs w:val="30"/>
          <w:highlight w:val="none"/>
          <w:lang w:eastAsia="zh-CN"/>
        </w:rPr>
        <w:t>总金额</w:t>
      </w:r>
      <w:r>
        <w:rPr>
          <w:rFonts w:hint="eastAsia" w:ascii="仿宋" w:hAnsi="仿宋" w:eastAsia="仿宋" w:cs="仿宋"/>
          <w:color w:val="auto"/>
          <w:sz w:val="30"/>
          <w:szCs w:val="30"/>
          <w:highlight w:val="none"/>
        </w:rPr>
        <w:t>相对比。如果出现相同总金额最低报价情况时，总金额最低报价相同的</w:t>
      </w:r>
      <w:r>
        <w:rPr>
          <w:rFonts w:hint="eastAsia" w:ascii="仿宋" w:hAnsi="仿宋" w:eastAsia="仿宋" w:cs="仿宋"/>
          <w:color w:val="auto"/>
          <w:sz w:val="30"/>
          <w:szCs w:val="30"/>
          <w:highlight w:val="none"/>
          <w:lang w:val="en-US" w:eastAsia="zh-CN"/>
        </w:rPr>
        <w:t>报价人</w:t>
      </w:r>
      <w:r>
        <w:rPr>
          <w:rFonts w:hint="eastAsia" w:ascii="仿宋" w:hAnsi="仿宋" w:eastAsia="仿宋" w:cs="仿宋"/>
          <w:color w:val="auto"/>
          <w:sz w:val="30"/>
          <w:szCs w:val="30"/>
          <w:highlight w:val="none"/>
        </w:rPr>
        <w:t>再进行一轮报价。如报价再相同，则由</w:t>
      </w:r>
      <w:r>
        <w:rPr>
          <w:rFonts w:hint="eastAsia" w:ascii="仿宋" w:hAnsi="仿宋" w:eastAsia="仿宋" w:cs="仿宋"/>
          <w:color w:val="auto"/>
          <w:sz w:val="30"/>
          <w:szCs w:val="30"/>
          <w:highlight w:val="none"/>
          <w:lang w:val="en-US" w:eastAsia="zh-CN"/>
        </w:rPr>
        <w:t>采购人</w:t>
      </w:r>
      <w:r>
        <w:rPr>
          <w:rFonts w:hint="eastAsia" w:ascii="仿宋" w:hAnsi="仿宋" w:eastAsia="仿宋" w:cs="仿宋"/>
          <w:color w:val="auto"/>
          <w:sz w:val="30"/>
          <w:szCs w:val="30"/>
          <w:highlight w:val="none"/>
        </w:rPr>
        <w:t>抽签决定</w:t>
      </w:r>
      <w:r>
        <w:rPr>
          <w:rFonts w:hint="eastAsia" w:ascii="仿宋" w:hAnsi="仿宋" w:eastAsia="仿宋" w:cs="仿宋"/>
          <w:color w:val="auto"/>
          <w:sz w:val="30"/>
          <w:szCs w:val="30"/>
          <w:highlight w:val="none"/>
          <w:lang w:val="en-US" w:eastAsia="zh-CN"/>
        </w:rPr>
        <w:t>中标单位。</w:t>
      </w:r>
    </w:p>
    <w:p w14:paraId="4ED82A19">
      <w:pPr>
        <w:pStyle w:val="12"/>
        <w:snapToGrid/>
        <w:spacing w:line="360" w:lineRule="auto"/>
        <w:rPr>
          <w:rFonts w:hint="eastAsia" w:ascii="仿宋" w:hAnsi="仿宋" w:eastAsia="仿宋" w:cs="仿宋"/>
          <w:color w:val="auto"/>
          <w:lang w:eastAsia="zh-CN"/>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二</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12"/>
        <w:snapToGrid/>
        <w:spacing w:line="360" w:lineRule="auto"/>
        <w:ind w:left="0" w:leftChars="0" w:firstLine="600" w:firstLineChars="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hint="eastAsia" w:ascii="仿宋" w:hAnsi="仿宋" w:eastAsia="仿宋" w:cs="仿宋"/>
          <w:color w:val="FF0000"/>
          <w:sz w:val="30"/>
          <w:szCs w:val="30"/>
        </w:rPr>
      </w:pPr>
      <w:r>
        <w:rPr>
          <w:rFonts w:hint="eastAsia" w:ascii="仿宋" w:hAnsi="仿宋" w:eastAsia="仿宋" w:cs="仿宋"/>
          <w:color w:val="auto"/>
          <w:sz w:val="30"/>
          <w:szCs w:val="30"/>
          <w:highlight w:val="none"/>
        </w:rPr>
        <w:t xml:space="preserve">   （</w:t>
      </w:r>
      <w:r>
        <w:rPr>
          <w:rFonts w:hint="eastAsia" w:ascii="仿宋" w:hAnsi="仿宋" w:eastAsia="仿宋" w:cs="仿宋"/>
          <w:color w:val="auto"/>
          <w:sz w:val="30"/>
          <w:szCs w:val="30"/>
          <w:highlight w:val="none"/>
          <w:lang w:val="en-US" w:eastAsia="zh-CN"/>
        </w:rPr>
        <w:t>四</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采购人</w:t>
      </w:r>
      <w:r>
        <w:rPr>
          <w:rFonts w:hint="eastAsia" w:ascii="仿宋" w:hAnsi="仿宋" w:eastAsia="仿宋" w:cs="仿宋"/>
          <w:color w:val="auto"/>
          <w:sz w:val="30"/>
          <w:szCs w:val="30"/>
          <w:highlight w:val="none"/>
        </w:rPr>
        <w:t>不向未</w:t>
      </w:r>
      <w:r>
        <w:rPr>
          <w:rFonts w:hint="eastAsia" w:ascii="仿宋" w:hAnsi="仿宋" w:eastAsia="仿宋" w:cs="仿宋"/>
          <w:color w:val="auto"/>
          <w:sz w:val="30"/>
          <w:szCs w:val="30"/>
          <w:highlight w:val="none"/>
          <w:lang w:val="en-US" w:eastAsia="zh-CN"/>
        </w:rPr>
        <w:t>中标单位</w:t>
      </w:r>
      <w:r>
        <w:rPr>
          <w:rFonts w:hint="eastAsia" w:ascii="仿宋" w:hAnsi="仿宋" w:eastAsia="仿宋" w:cs="仿宋"/>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 w:hAnsi="仿宋" w:eastAsia="仿宋" w:cs="仿宋"/>
          <w:b/>
          <w:bCs/>
          <w:sz w:val="30"/>
          <w:szCs w:val="30"/>
          <w:lang w:eastAsia="zh-CN"/>
        </w:rPr>
      </w:pPr>
      <w:r>
        <w:rPr>
          <w:rFonts w:hint="eastAsia" w:ascii="仿宋" w:hAnsi="仿宋" w:eastAsia="仿宋" w:cs="仿宋"/>
          <w:b/>
          <w:bCs/>
          <w:sz w:val="30"/>
          <w:szCs w:val="30"/>
        </w:rPr>
        <w:t>十</w:t>
      </w:r>
      <w:r>
        <w:rPr>
          <w:rFonts w:hint="eastAsia" w:ascii="仿宋" w:hAnsi="仿宋" w:eastAsia="仿宋" w:cs="仿宋"/>
          <w:b/>
          <w:bCs/>
          <w:sz w:val="30"/>
          <w:szCs w:val="30"/>
          <w:lang w:eastAsia="zh-CN"/>
        </w:rPr>
        <w:t>二</w:t>
      </w:r>
      <w:r>
        <w:rPr>
          <w:rFonts w:hint="eastAsia" w:ascii="仿宋" w:hAnsi="仿宋" w:eastAsia="仿宋" w:cs="仿宋"/>
          <w:b/>
          <w:bCs/>
          <w:sz w:val="30"/>
          <w:szCs w:val="30"/>
        </w:rPr>
        <w:t>、合同</w:t>
      </w:r>
      <w:r>
        <w:rPr>
          <w:rFonts w:hint="eastAsia" w:ascii="仿宋" w:hAnsi="仿宋" w:eastAsia="仿宋" w:cs="仿宋"/>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rPr>
        <w:t>合同签订：</w:t>
      </w:r>
      <w:r>
        <w:rPr>
          <w:rFonts w:hint="eastAsia" w:ascii="仿宋" w:hAnsi="仿宋" w:eastAsia="仿宋" w:cs="仿宋"/>
          <w:sz w:val="30"/>
          <w:szCs w:val="30"/>
          <w:lang w:val="en-US" w:eastAsia="zh-CN"/>
        </w:rPr>
        <w:t>报价人</w:t>
      </w:r>
      <w:r>
        <w:rPr>
          <w:rFonts w:hint="eastAsia" w:ascii="仿宋" w:hAnsi="仿宋" w:eastAsia="仿宋" w:cs="仿宋"/>
          <w:sz w:val="30"/>
          <w:szCs w:val="30"/>
        </w:rPr>
        <w:t>按照上述第十</w:t>
      </w:r>
      <w:r>
        <w:rPr>
          <w:rFonts w:hint="eastAsia" w:ascii="仿宋" w:hAnsi="仿宋" w:eastAsia="仿宋" w:cs="仿宋"/>
          <w:sz w:val="30"/>
          <w:szCs w:val="30"/>
          <w:lang w:eastAsia="zh-CN"/>
        </w:rPr>
        <w:t>一</w:t>
      </w:r>
      <w:r>
        <w:rPr>
          <w:rFonts w:hint="eastAsia" w:ascii="仿宋" w:hAnsi="仿宋" w:eastAsia="仿宋" w:cs="仿宋"/>
          <w:sz w:val="30"/>
          <w:szCs w:val="30"/>
        </w:rPr>
        <w:t>条规定确定</w:t>
      </w:r>
      <w:r>
        <w:rPr>
          <w:rFonts w:hint="eastAsia" w:ascii="仿宋" w:hAnsi="仿宋" w:eastAsia="仿宋" w:cs="仿宋"/>
          <w:sz w:val="30"/>
          <w:szCs w:val="30"/>
          <w:lang w:val="en-US" w:eastAsia="zh-CN"/>
        </w:rPr>
        <w:t>中标单位</w:t>
      </w:r>
      <w:r>
        <w:rPr>
          <w:rFonts w:hint="eastAsia" w:ascii="仿宋" w:hAnsi="仿宋" w:eastAsia="仿宋" w:cs="仿宋"/>
          <w:sz w:val="30"/>
          <w:szCs w:val="30"/>
        </w:rPr>
        <w:t>，并签订采购合同，签约单位为</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。合同履行期间，采购人可根据实际需要，按照成交价格，调整采购数量。</w:t>
      </w:r>
      <w:r>
        <w:rPr>
          <w:rFonts w:hint="eastAsia" w:ascii="仿宋" w:hAnsi="仿宋" w:eastAsia="仿宋" w:cs="仿宋"/>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ascii="仿宋" w:hAnsi="仿宋" w:eastAsia="仿宋" w:cs="仿宋"/>
        </w:rPr>
      </w:pPr>
      <w:r>
        <w:rPr>
          <w:rFonts w:hint="eastAsia" w:ascii="仿宋" w:hAnsi="仿宋" w:eastAsia="仿宋" w:cs="仿宋"/>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2"/>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4"/>
        <w:rPr>
          <w:rFonts w:hint="eastAsia" w:ascii="仿宋" w:hAnsi="仿宋" w:eastAsia="仿宋" w:cs="仿宋"/>
          <w:snapToGrid w:val="0"/>
          <w:sz w:val="44"/>
          <w:szCs w:val="44"/>
        </w:rPr>
      </w:pPr>
    </w:p>
    <w:p w14:paraId="1643322B">
      <w:pPr>
        <w:pStyle w:val="11"/>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5C3B018">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rPr>
      </w:pPr>
    </w:p>
    <w:p w14:paraId="3B113E72">
      <w:pPr>
        <w:pStyle w:val="2"/>
        <w:numPr>
          <w:ilvl w:val="0"/>
          <w:numId w:val="0"/>
        </w:numPr>
        <w:jc w:val="center"/>
        <w:rPr>
          <w:rFonts w:hint="eastAsia" w:ascii="仿宋" w:hAnsi="仿宋" w:eastAsia="仿宋" w:cs="仿宋"/>
          <w:b w:val="0"/>
          <w:bCs/>
          <w:snapToGrid w:val="0"/>
          <w:sz w:val="44"/>
        </w:rPr>
      </w:pPr>
      <w:bookmarkStart w:id="12" w:name="_Toc4053"/>
      <w:r>
        <w:rPr>
          <w:rFonts w:hint="eastAsia" w:ascii="仿宋" w:hAnsi="仿宋" w:eastAsia="仿宋" w:cs="仿宋"/>
          <w:snapToGrid w:val="0"/>
          <w:sz w:val="44"/>
          <w:szCs w:val="44"/>
        </w:rPr>
        <w:t>第三部分   询价内容</w:t>
      </w:r>
      <w:bookmarkEnd w:id="10"/>
      <w:bookmarkEnd w:id="11"/>
      <w:bookmarkEnd w:id="12"/>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444D9E5A">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highlight w:val="none"/>
          <w:lang w:val="en-US" w:eastAsia="zh-CN"/>
        </w:rPr>
        <w:t>本项目供货期为一年，根据采购人实际需要，分批次供货，按实际结算。</w:t>
      </w:r>
      <w:r>
        <w:rPr>
          <w:rFonts w:hint="eastAsia" w:ascii="仿宋" w:hAnsi="仿宋" w:eastAsia="仿宋" w:cs="仿宋"/>
          <w:color w:val="auto"/>
          <w:kern w:val="2"/>
          <w:sz w:val="30"/>
          <w:szCs w:val="30"/>
          <w:highlight w:val="none"/>
        </w:rPr>
        <w:t>供货方接到</w:t>
      </w:r>
      <w:r>
        <w:rPr>
          <w:rFonts w:hint="eastAsia" w:ascii="仿宋" w:hAnsi="仿宋" w:eastAsia="仿宋" w:cs="仿宋"/>
          <w:color w:val="auto"/>
          <w:kern w:val="2"/>
          <w:sz w:val="30"/>
          <w:szCs w:val="30"/>
          <w:highlight w:val="none"/>
          <w:lang w:val="en-US" w:eastAsia="zh-CN"/>
        </w:rPr>
        <w:t>采购</w:t>
      </w:r>
      <w:r>
        <w:rPr>
          <w:rFonts w:hint="eastAsia" w:ascii="仿宋" w:hAnsi="仿宋" w:eastAsia="仿宋" w:cs="仿宋"/>
          <w:color w:val="auto"/>
          <w:kern w:val="2"/>
          <w:sz w:val="30"/>
          <w:szCs w:val="30"/>
          <w:lang w:val="en-US" w:eastAsia="zh-CN"/>
        </w:rPr>
        <w:t>人</w:t>
      </w:r>
      <w:r>
        <w:rPr>
          <w:rFonts w:hint="eastAsia" w:ascii="仿宋" w:hAnsi="仿宋" w:eastAsia="仿宋" w:cs="仿宋"/>
          <w:color w:val="auto"/>
          <w:kern w:val="2"/>
          <w:sz w:val="30"/>
          <w:szCs w:val="30"/>
        </w:rPr>
        <w:t>送货通知后，3个工作日内将货物如数送至</w:t>
      </w:r>
      <w:r>
        <w:rPr>
          <w:rFonts w:hint="eastAsia" w:ascii="仿宋" w:hAnsi="仿宋" w:eastAsia="仿宋" w:cs="仿宋"/>
          <w:color w:val="auto"/>
          <w:kern w:val="2"/>
          <w:sz w:val="30"/>
          <w:szCs w:val="30"/>
          <w:highlight w:val="none"/>
          <w:lang w:val="en-US" w:eastAsia="zh-CN"/>
        </w:rPr>
        <w:t>采购</w:t>
      </w:r>
      <w:r>
        <w:rPr>
          <w:rFonts w:hint="eastAsia" w:ascii="仿宋" w:hAnsi="仿宋" w:eastAsia="仿宋" w:cs="仿宋"/>
          <w:color w:val="auto"/>
          <w:kern w:val="2"/>
          <w:sz w:val="30"/>
          <w:szCs w:val="30"/>
          <w:lang w:val="en-US" w:eastAsia="zh-CN"/>
        </w:rPr>
        <w:t>人</w:t>
      </w:r>
      <w:r>
        <w:rPr>
          <w:rFonts w:hint="eastAsia" w:ascii="仿宋" w:hAnsi="仿宋" w:eastAsia="仿宋" w:cs="仿宋"/>
          <w:color w:val="auto"/>
          <w:kern w:val="2"/>
          <w:sz w:val="30"/>
          <w:szCs w:val="30"/>
        </w:rPr>
        <w:t>指定地点。</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0B42EE5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每批次送货完成且经由采购人验收合格后，按实际送货量进行结算。供货方提供经双方确认的送货清单及增值税专用发票，采购人自收到准确清单和发票后，于次二月完成货款支付。供货方需提供一年质保，其履约保证金（合同价的5%）到时自动转为质保金，于质保期到期后支付，质保期从最后一批货物验收之日起计算。</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42FB0458">
      <w:pPr>
        <w:pStyle w:val="2"/>
        <w:numPr>
          <w:ilvl w:val="0"/>
          <w:numId w:val="0"/>
        </w:numPr>
        <w:jc w:val="center"/>
        <w:outlineLvl w:val="9"/>
        <w:rPr>
          <w:rFonts w:hint="eastAsia" w:ascii="仿宋" w:hAnsi="仿宋" w:eastAsia="仿宋" w:cs="仿宋"/>
          <w:snapToGrid w:val="0"/>
          <w:sz w:val="30"/>
          <w:szCs w:val="30"/>
        </w:rPr>
      </w:pPr>
      <w:bookmarkStart w:id="13" w:name="_Toc530583924"/>
      <w:r>
        <w:rPr>
          <w:rFonts w:hint="eastAsia" w:ascii="仿宋" w:hAnsi="仿宋" w:eastAsia="仿宋" w:cs="仿宋"/>
          <w:snapToGrid w:val="0"/>
          <w:sz w:val="30"/>
          <w:szCs w:val="30"/>
        </w:rPr>
        <w:br w:type="page"/>
      </w:r>
    </w:p>
    <w:p w14:paraId="2C38EEF5">
      <w:pPr>
        <w:pStyle w:val="2"/>
        <w:numPr>
          <w:ilvl w:val="0"/>
          <w:numId w:val="4"/>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4" w:name="_Toc30277"/>
      <w:r>
        <w:rPr>
          <w:rFonts w:hint="eastAsia" w:ascii="仿宋" w:hAnsi="仿宋" w:eastAsia="仿宋" w:cs="仿宋"/>
          <w:snapToGrid w:val="0"/>
          <w:sz w:val="44"/>
          <w:szCs w:val="44"/>
          <w:lang w:val="en-US" w:eastAsia="zh-CN"/>
        </w:rPr>
        <w:t>合同主要条款</w:t>
      </w:r>
      <w:bookmarkEnd w:id="14"/>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eastAsia="zh-CN"/>
        </w:rPr>
        <w:t>供货</w:t>
      </w:r>
      <w:r>
        <w:rPr>
          <w:rFonts w:hint="eastAsia" w:ascii="黑体" w:hAnsi="黑体" w:eastAsia="黑体" w:cs="黑体"/>
          <w:sz w:val="28"/>
          <w:szCs w:val="28"/>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2126"/>
        <w:gridCol w:w="1000"/>
        <w:gridCol w:w="967"/>
        <w:gridCol w:w="1600"/>
        <w:gridCol w:w="1688"/>
      </w:tblGrid>
      <w:tr w14:paraId="4AEB33C1">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5BB6C81E">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序号</w:t>
            </w:r>
          </w:p>
        </w:tc>
        <w:tc>
          <w:tcPr>
            <w:tcW w:w="1439" w:type="dxa"/>
            <w:tcBorders>
              <w:top w:val="single" w:color="auto" w:sz="4" w:space="0"/>
              <w:left w:val="nil"/>
              <w:bottom w:val="single" w:color="auto" w:sz="4" w:space="0"/>
              <w:right w:val="single" w:color="auto" w:sz="4" w:space="0"/>
            </w:tcBorders>
            <w:noWrap w:val="0"/>
            <w:vAlign w:val="center"/>
          </w:tcPr>
          <w:p w14:paraId="4715B216">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产品名称</w:t>
            </w:r>
          </w:p>
        </w:tc>
        <w:tc>
          <w:tcPr>
            <w:tcW w:w="2126" w:type="dxa"/>
            <w:tcBorders>
              <w:top w:val="single" w:color="auto" w:sz="4" w:space="0"/>
              <w:left w:val="nil"/>
              <w:bottom w:val="single" w:color="auto" w:sz="4" w:space="0"/>
              <w:right w:val="single" w:color="auto" w:sz="4" w:space="0"/>
            </w:tcBorders>
            <w:noWrap w:val="0"/>
            <w:vAlign w:val="center"/>
          </w:tcPr>
          <w:p w14:paraId="167B8A6F">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型号规格</w:t>
            </w:r>
          </w:p>
        </w:tc>
        <w:tc>
          <w:tcPr>
            <w:tcW w:w="1000" w:type="dxa"/>
            <w:tcBorders>
              <w:top w:val="single" w:color="auto" w:sz="4" w:space="0"/>
              <w:left w:val="nil"/>
              <w:bottom w:val="single" w:color="auto" w:sz="4" w:space="0"/>
              <w:right w:val="single" w:color="auto" w:sz="4" w:space="0"/>
            </w:tcBorders>
            <w:noWrap w:val="0"/>
            <w:vAlign w:val="center"/>
          </w:tcPr>
          <w:p w14:paraId="074E6095">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数量</w:t>
            </w:r>
          </w:p>
        </w:tc>
        <w:tc>
          <w:tcPr>
            <w:tcW w:w="967" w:type="dxa"/>
            <w:tcBorders>
              <w:top w:val="single" w:color="auto" w:sz="4" w:space="0"/>
              <w:left w:val="nil"/>
              <w:bottom w:val="single" w:color="auto" w:sz="4" w:space="0"/>
              <w:right w:val="single" w:color="auto" w:sz="4" w:space="0"/>
            </w:tcBorders>
            <w:noWrap w:val="0"/>
            <w:vAlign w:val="center"/>
          </w:tcPr>
          <w:p w14:paraId="6C2CF17C">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单位</w:t>
            </w:r>
          </w:p>
        </w:tc>
        <w:tc>
          <w:tcPr>
            <w:tcW w:w="1600" w:type="dxa"/>
            <w:tcBorders>
              <w:top w:val="single" w:color="auto" w:sz="4" w:space="0"/>
              <w:left w:val="nil"/>
              <w:bottom w:val="single" w:color="auto" w:sz="4" w:space="0"/>
              <w:right w:val="single" w:color="auto" w:sz="4" w:space="0"/>
            </w:tcBorders>
            <w:noWrap w:val="0"/>
            <w:vAlign w:val="center"/>
          </w:tcPr>
          <w:p w14:paraId="0DF8B0D2">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单价（元）</w:t>
            </w:r>
          </w:p>
        </w:tc>
        <w:tc>
          <w:tcPr>
            <w:tcW w:w="1688" w:type="dxa"/>
            <w:tcBorders>
              <w:top w:val="single" w:color="auto" w:sz="4" w:space="0"/>
              <w:left w:val="nil"/>
              <w:bottom w:val="single" w:color="auto" w:sz="4" w:space="0"/>
              <w:right w:val="single" w:color="auto" w:sz="4" w:space="0"/>
            </w:tcBorders>
            <w:noWrap w:val="0"/>
            <w:vAlign w:val="center"/>
          </w:tcPr>
          <w:p w14:paraId="7AF57B98">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金额（元）</w:t>
            </w:r>
          </w:p>
        </w:tc>
      </w:tr>
      <w:tr w14:paraId="1C26432E">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74149215">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2D0F1039">
            <w:pPr>
              <w:adjustRightInd/>
              <w:snapToGrid/>
              <w:spacing w:after="0"/>
              <w:jc w:val="center"/>
              <w:rPr>
                <w:rFonts w:hint="eastAsia" w:ascii="Times New Roman" w:hAnsi="Times New Roman" w:eastAsia="方正仿宋_GBK" w:cs="Times New Roman"/>
                <w:b/>
                <w:bCs/>
                <w:sz w:val="24"/>
                <w:szCs w:val="24"/>
              </w:rPr>
            </w:pPr>
          </w:p>
        </w:tc>
        <w:tc>
          <w:tcPr>
            <w:tcW w:w="2126" w:type="dxa"/>
            <w:tcBorders>
              <w:top w:val="nil"/>
              <w:left w:val="nil"/>
              <w:bottom w:val="single" w:color="auto" w:sz="4" w:space="0"/>
              <w:right w:val="single" w:color="auto" w:sz="4" w:space="0"/>
            </w:tcBorders>
            <w:shd w:val="clear" w:color="000000" w:fill="FFFFFF"/>
            <w:noWrap w:val="0"/>
            <w:vAlign w:val="center"/>
          </w:tcPr>
          <w:p w14:paraId="66A5DB42">
            <w:pPr>
              <w:adjustRightInd/>
              <w:snapToGrid/>
              <w:spacing w:after="0"/>
              <w:jc w:val="center"/>
              <w:rPr>
                <w:rFonts w:hint="eastAsia" w:ascii="Times New Roman" w:hAnsi="Times New Roman" w:eastAsia="方正仿宋_GBK" w:cs="Times New Roman"/>
                <w:b/>
                <w:bCs/>
                <w:sz w:val="24"/>
                <w:szCs w:val="24"/>
              </w:rPr>
            </w:pPr>
          </w:p>
        </w:tc>
        <w:tc>
          <w:tcPr>
            <w:tcW w:w="1000" w:type="dxa"/>
            <w:tcBorders>
              <w:top w:val="nil"/>
              <w:left w:val="nil"/>
              <w:bottom w:val="single" w:color="auto" w:sz="4" w:space="0"/>
              <w:right w:val="single" w:color="auto" w:sz="4" w:space="0"/>
            </w:tcBorders>
            <w:shd w:val="clear" w:color="000000" w:fill="FFFFFF"/>
            <w:noWrap w:val="0"/>
            <w:vAlign w:val="center"/>
          </w:tcPr>
          <w:p w14:paraId="101830C7">
            <w:pPr>
              <w:adjustRightInd/>
              <w:snapToGrid/>
              <w:spacing w:after="0"/>
              <w:jc w:val="center"/>
              <w:rPr>
                <w:rFonts w:hint="default" w:ascii="Times New Roman" w:hAnsi="Times New Roman" w:eastAsia="方正仿宋_GBK" w:cs="Times New Roman"/>
                <w:b/>
                <w:bCs/>
                <w:sz w:val="24"/>
                <w:szCs w:val="24"/>
              </w:rPr>
            </w:pPr>
          </w:p>
        </w:tc>
        <w:tc>
          <w:tcPr>
            <w:tcW w:w="967" w:type="dxa"/>
            <w:tcBorders>
              <w:top w:val="nil"/>
              <w:left w:val="nil"/>
              <w:bottom w:val="single" w:color="auto" w:sz="4" w:space="0"/>
              <w:right w:val="single" w:color="auto" w:sz="4" w:space="0"/>
            </w:tcBorders>
            <w:shd w:val="clear" w:color="000000" w:fill="FFFFFF"/>
            <w:noWrap w:val="0"/>
            <w:vAlign w:val="center"/>
          </w:tcPr>
          <w:p w14:paraId="56C90017">
            <w:pPr>
              <w:adjustRightInd/>
              <w:snapToGrid/>
              <w:spacing w:after="0"/>
              <w:jc w:val="center"/>
              <w:rPr>
                <w:rFonts w:hint="default" w:ascii="Times New Roman" w:hAnsi="Times New Roman" w:eastAsia="方正仿宋_GBK" w:cs="Times New Roman"/>
                <w:b/>
                <w:bCs/>
                <w:sz w:val="24"/>
                <w:szCs w:val="24"/>
              </w:rPr>
            </w:pPr>
          </w:p>
        </w:tc>
        <w:tc>
          <w:tcPr>
            <w:tcW w:w="1600" w:type="dxa"/>
            <w:tcBorders>
              <w:top w:val="nil"/>
              <w:left w:val="nil"/>
              <w:bottom w:val="single" w:color="auto" w:sz="4" w:space="0"/>
              <w:right w:val="single" w:color="auto" w:sz="4" w:space="0"/>
            </w:tcBorders>
            <w:noWrap w:val="0"/>
            <w:vAlign w:val="center"/>
          </w:tcPr>
          <w:p w14:paraId="0E5D1712">
            <w:pPr>
              <w:adjustRightInd/>
              <w:snapToGrid/>
              <w:spacing w:after="0"/>
              <w:jc w:val="center"/>
              <w:rPr>
                <w:rFonts w:hint="default" w:ascii="Times New Roman" w:hAnsi="Times New Roman" w:eastAsia="方正仿宋_GBK" w:cs="Times New Roman"/>
                <w:b/>
                <w:bCs/>
                <w:sz w:val="24"/>
                <w:szCs w:val="24"/>
              </w:rPr>
            </w:pPr>
          </w:p>
        </w:tc>
        <w:tc>
          <w:tcPr>
            <w:tcW w:w="1688" w:type="dxa"/>
            <w:tcBorders>
              <w:top w:val="nil"/>
              <w:left w:val="nil"/>
              <w:bottom w:val="single" w:color="auto" w:sz="4" w:space="0"/>
              <w:right w:val="single" w:color="auto" w:sz="4" w:space="0"/>
            </w:tcBorders>
            <w:noWrap w:val="0"/>
            <w:vAlign w:val="center"/>
          </w:tcPr>
          <w:p w14:paraId="0F1771A6">
            <w:pPr>
              <w:adjustRightInd/>
              <w:snapToGrid/>
              <w:spacing w:after="0"/>
              <w:jc w:val="center"/>
              <w:rPr>
                <w:rFonts w:hint="eastAsia" w:ascii="Times New Roman" w:hAnsi="Times New Roman" w:eastAsia="方正仿宋_GBK" w:cs="Times New Roman"/>
                <w:b/>
                <w:bCs/>
                <w:sz w:val="24"/>
                <w:szCs w:val="24"/>
              </w:rPr>
            </w:pPr>
          </w:p>
        </w:tc>
      </w:tr>
      <w:tr w14:paraId="2582FA6A">
        <w:tblPrEx>
          <w:tblCellMar>
            <w:top w:w="0" w:type="dxa"/>
            <w:left w:w="108" w:type="dxa"/>
            <w:bottom w:w="0" w:type="dxa"/>
            <w:right w:w="108" w:type="dxa"/>
          </w:tblCellMar>
        </w:tblPrEx>
        <w:trPr>
          <w:trHeight w:val="836" w:hRule="atLeast"/>
          <w:jc w:val="center"/>
        </w:trPr>
        <w:tc>
          <w:tcPr>
            <w:tcW w:w="6283" w:type="dxa"/>
            <w:gridSpan w:val="5"/>
            <w:tcBorders>
              <w:top w:val="nil"/>
              <w:left w:val="single" w:color="auto" w:sz="4" w:space="0"/>
              <w:bottom w:val="single" w:color="auto" w:sz="4" w:space="0"/>
              <w:right w:val="single" w:color="auto" w:sz="4" w:space="0"/>
            </w:tcBorders>
            <w:noWrap w:val="0"/>
            <w:vAlign w:val="center"/>
          </w:tcPr>
          <w:p w14:paraId="23416E2B">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3288" w:type="dxa"/>
            <w:gridSpan w:val="2"/>
            <w:tcBorders>
              <w:top w:val="nil"/>
              <w:left w:val="single" w:color="auto" w:sz="4" w:space="0"/>
              <w:bottom w:val="single" w:color="auto" w:sz="4" w:space="0"/>
              <w:right w:val="single" w:color="auto" w:sz="4" w:space="0"/>
            </w:tcBorders>
            <w:noWrap w:val="0"/>
            <w:vAlign w:val="center"/>
          </w:tcPr>
          <w:p w14:paraId="5141CC12">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r>
      <w:tr w14:paraId="63128F5D">
        <w:tblPrEx>
          <w:tblCellMar>
            <w:top w:w="0" w:type="dxa"/>
            <w:left w:w="108" w:type="dxa"/>
            <w:bottom w:w="0" w:type="dxa"/>
            <w:right w:w="108" w:type="dxa"/>
          </w:tblCellMar>
        </w:tblPrEx>
        <w:trPr>
          <w:trHeight w:val="716" w:hRule="atLeast"/>
          <w:jc w:val="center"/>
        </w:trPr>
        <w:tc>
          <w:tcPr>
            <w:tcW w:w="9571" w:type="dxa"/>
            <w:gridSpan w:val="7"/>
            <w:tcBorders>
              <w:top w:val="nil"/>
              <w:left w:val="single" w:color="auto" w:sz="4" w:space="0"/>
              <w:bottom w:val="single" w:color="auto" w:sz="4" w:space="0"/>
              <w:right w:val="single" w:color="auto" w:sz="4" w:space="0"/>
            </w:tcBorders>
            <w:noWrap w:val="0"/>
            <w:vAlign w:val="center"/>
          </w:tcPr>
          <w:p w14:paraId="31EDFB8F">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eastAsia="zh-CN"/>
        </w:rPr>
        <w:t>供货</w:t>
      </w:r>
      <w:r>
        <w:rPr>
          <w:rFonts w:hint="eastAsia" w:ascii="黑体" w:hAnsi="黑体" w:eastAsia="黑体" w:cs="黑体"/>
          <w:sz w:val="28"/>
          <w:szCs w:val="28"/>
        </w:rPr>
        <w:t>时间、地点</w:t>
      </w:r>
      <w:r>
        <w:rPr>
          <w:rFonts w:hint="eastAsia" w:ascii="黑体" w:hAnsi="黑体" w:eastAsia="黑体" w:cs="黑体"/>
          <w:sz w:val="28"/>
          <w:szCs w:val="28"/>
          <w:lang w:eastAsia="zh-CN"/>
        </w:rPr>
        <w:t>、要求</w:t>
      </w:r>
    </w:p>
    <w:p w14:paraId="453342D8">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仿宋" w:hAnsi="仿宋" w:eastAsia="仿宋" w:cs="仿宋"/>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时间：</w:t>
      </w:r>
      <w:r>
        <w:rPr>
          <w:rFonts w:hint="eastAsia" w:ascii="方正仿宋_GBK" w:hAnsi="方正仿宋_GBK" w:eastAsia="方正仿宋_GBK" w:cs="方正仿宋_GBK"/>
          <w:sz w:val="28"/>
          <w:szCs w:val="28"/>
          <w:lang w:val="en-US" w:eastAsia="zh-CN"/>
        </w:rPr>
        <w:t>本项目供货期为一年，根据采购人实际需要，分批次供货，按实际结算。</w:t>
      </w:r>
      <w:r>
        <w:rPr>
          <w:rFonts w:hint="eastAsia" w:ascii="方正仿宋_GBK" w:hAnsi="方正仿宋_GBK" w:eastAsia="方正仿宋_GBK" w:cs="方正仿宋_GBK"/>
          <w:sz w:val="28"/>
          <w:szCs w:val="28"/>
        </w:rPr>
        <w:t>供货方接到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送货通知后，3个工作日内将货物如数送至</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指定地点。</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3、供货要求：交货时，应附有相应的装货清单、合格证及相关技术资料。（如有）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第三条 技术要求</w:t>
      </w:r>
    </w:p>
    <w:p w14:paraId="0A7EBEE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yellow"/>
        </w:rPr>
      </w:pPr>
      <w:r>
        <w:rPr>
          <w:rFonts w:hint="eastAsia" w:ascii="方正仿宋_GBK" w:hAnsi="方正仿宋_GBK" w:eastAsia="方正仿宋_GBK" w:cs="方正仿宋_GBK"/>
          <w:sz w:val="28"/>
          <w:szCs w:val="28"/>
          <w:highlight w:val="none"/>
          <w:lang w:val="en-US" w:eastAsia="zh-CN"/>
        </w:rPr>
        <w:t>供货方</w:t>
      </w:r>
      <w:r>
        <w:rPr>
          <w:rFonts w:hint="eastAsia" w:ascii="方正仿宋_GBK" w:hAnsi="方正仿宋_GBK" w:eastAsia="方正仿宋_GBK" w:cs="方正仿宋_GBK"/>
          <w:sz w:val="28"/>
          <w:szCs w:val="28"/>
          <w:highlight w:val="none"/>
        </w:rPr>
        <w:t>所提供的产品必须符合行业的国际标准和我国现行的产品认证制度规定，并</w:t>
      </w:r>
      <w:r>
        <w:rPr>
          <w:rFonts w:hint="eastAsia" w:ascii="方正仿宋_GBK" w:hAnsi="方正仿宋_GBK" w:eastAsia="方正仿宋_GBK" w:cs="方正仿宋_GBK"/>
          <w:sz w:val="28"/>
          <w:szCs w:val="28"/>
          <w:highlight w:val="none"/>
          <w:lang w:val="en-US" w:eastAsia="zh-CN"/>
        </w:rPr>
        <w:t>符合现场使用及安装要求</w:t>
      </w:r>
      <w:r>
        <w:rPr>
          <w:rFonts w:hint="eastAsia" w:ascii="方正仿宋_GBK" w:hAnsi="方正仿宋_GBK" w:eastAsia="方正仿宋_GBK" w:cs="方正仿宋_GBK"/>
          <w:sz w:val="28"/>
          <w:szCs w:val="28"/>
          <w:highlight w:val="none"/>
        </w:rPr>
        <w:t>。</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元整，本合同为固定</w:t>
      </w:r>
      <w:r>
        <w:rPr>
          <w:rFonts w:hint="eastAsia" w:ascii="方正仿宋_GBK" w:hAnsi="方正仿宋_GBK" w:eastAsia="方正仿宋_GBK" w:cs="方正仿宋_GBK"/>
          <w:sz w:val="28"/>
          <w:szCs w:val="28"/>
          <w:lang w:val="en-US" w:eastAsia="zh-CN"/>
        </w:rPr>
        <w:t>单价</w:t>
      </w:r>
      <w:r>
        <w:rPr>
          <w:rFonts w:hint="eastAsia" w:ascii="方正仿宋_GBK" w:hAnsi="方正仿宋_GBK" w:eastAsia="方正仿宋_GBK" w:cs="方正仿宋_GBK"/>
          <w:sz w:val="28"/>
          <w:szCs w:val="28"/>
        </w:rPr>
        <w:t>合同，金额包含包装费、运费、税金、保险费等， 供需双方不能因市场价格变化而调整合同价。</w:t>
      </w:r>
    </w:p>
    <w:p w14:paraId="1BB9B344">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3B51C19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每批次送货完成且经由采购人验收合格后，按实际送货量进行结算。供货方提供经双方确认的送货清单及增值税专用发票，采购人自收到准确清单和发票后，于次二月完成货款支付。供货方需提供一年质保，其履约保证金（合同价的5%）到时自动转为质保金，于质保期到期后支付，质保期从最后一批货物验收之日起计算。</w:t>
      </w:r>
    </w:p>
    <w:p w14:paraId="56AA12FF">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66971CD6">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600" w:firstLineChars="200"/>
        <w:contextualSpacing/>
        <w:jc w:val="both"/>
        <w:textAlignment w:val="auto"/>
      </w:pPr>
      <w:r>
        <w:rPr>
          <w:rFonts w:hint="eastAsia" w:ascii="仿宋" w:hAnsi="仿宋" w:eastAsia="仿宋" w:cs="仿宋"/>
          <w:color w:val="auto"/>
          <w:kern w:val="2"/>
          <w:sz w:val="30"/>
          <w:szCs w:val="30"/>
          <w:highlight w:val="none"/>
          <w:lang w:eastAsia="zh-CN"/>
        </w:rPr>
        <w:t>质保期为</w:t>
      </w:r>
      <w:r>
        <w:rPr>
          <w:rFonts w:hint="eastAsia" w:ascii="仿宋" w:hAnsi="仿宋" w:eastAsia="仿宋" w:cs="仿宋"/>
          <w:color w:val="auto"/>
          <w:kern w:val="2"/>
          <w:sz w:val="30"/>
          <w:szCs w:val="30"/>
          <w:highlight w:val="none"/>
          <w:lang w:val="en-US" w:eastAsia="zh-CN"/>
        </w:rPr>
        <w:t>一</w:t>
      </w:r>
      <w:r>
        <w:rPr>
          <w:rFonts w:hint="eastAsia" w:ascii="仿宋" w:hAnsi="仿宋" w:eastAsia="仿宋" w:cs="仿宋"/>
          <w:color w:val="auto"/>
          <w:kern w:val="2"/>
          <w:sz w:val="30"/>
          <w:szCs w:val="30"/>
          <w:highlight w:val="none"/>
          <w:lang w:eastAsia="zh-CN"/>
        </w:rPr>
        <w:t>年，自验收之日起计算。</w:t>
      </w:r>
      <w:r>
        <w:rPr>
          <w:rFonts w:hint="eastAsia" w:ascii="方正仿宋_GBK" w:hAnsi="方正仿宋_GBK" w:eastAsia="方正仿宋_GBK" w:cs="方正仿宋_GBK"/>
          <w:sz w:val="28"/>
          <w:szCs w:val="28"/>
          <w:highlight w:val="none"/>
        </w:rPr>
        <w:t>供方保</w:t>
      </w:r>
      <w:r>
        <w:rPr>
          <w:rFonts w:hint="eastAsia" w:ascii="方正仿宋_GBK" w:hAnsi="方正仿宋_GBK" w:eastAsia="方正仿宋_GBK" w:cs="方正仿宋_GBK"/>
          <w:sz w:val="28"/>
          <w:szCs w:val="28"/>
        </w:rPr>
        <w:t>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r>
        <w:rPr>
          <w:rFonts w:hint="eastAsia" w:ascii="Times New Roman" w:hAnsi="Times New Roman" w:eastAsia="方正仿宋_GBK" w:cs="Times New Roman"/>
          <w:b/>
          <w:bCs/>
          <w:sz w:val="28"/>
          <w:szCs w:val="28"/>
          <w:highlight w:val="none"/>
          <w:lang w:val="en-US" w:eastAsia="zh-CN"/>
        </w:rPr>
        <w:t>附件：</w:t>
      </w:r>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2026年度钢材采购项目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bookmarkStart w:id="15" w:name="_Toc21167"/>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2"/>
        <w:numPr>
          <w:ilvl w:val="0"/>
          <w:numId w:val="0"/>
        </w:numPr>
        <w:jc w:val="center"/>
        <w:rPr>
          <w:rFonts w:hint="eastAsia" w:ascii="仿宋" w:hAnsi="仿宋" w:eastAsia="仿宋" w:cs="仿宋"/>
          <w:snapToGrid w:val="0"/>
          <w:sz w:val="44"/>
          <w:szCs w:val="44"/>
        </w:rPr>
      </w:pPr>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3"/>
      <w:bookmarkEnd w:id="15"/>
    </w:p>
    <w:p w14:paraId="3A8DAFBE">
      <w:pPr>
        <w:jc w:val="left"/>
        <w:outlineLvl w:val="0"/>
        <w:rPr>
          <w:rStyle w:val="20"/>
          <w:rFonts w:hint="eastAsia" w:ascii="仿宋" w:hAnsi="仿宋" w:eastAsia="仿宋" w:cs="仿宋"/>
          <w:sz w:val="30"/>
        </w:rPr>
      </w:pPr>
      <w:bookmarkStart w:id="16" w:name="_Toc22901"/>
      <w:r>
        <w:rPr>
          <w:rStyle w:val="20"/>
          <w:rFonts w:hint="eastAsia" w:ascii="仿宋" w:hAnsi="仿宋" w:eastAsia="仿宋" w:cs="仿宋"/>
          <w:sz w:val="30"/>
        </w:rPr>
        <w:t>附件一：</w:t>
      </w:r>
      <w:bookmarkEnd w:id="16"/>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2026年度钢材采购项目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SX-CG-GC-2510005</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5</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4B5FDF7F">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743E8D4B">
      <w:pPr>
        <w:jc w:val="left"/>
        <w:outlineLvl w:val="0"/>
        <w:rPr>
          <w:rStyle w:val="20"/>
          <w:rFonts w:hint="eastAsia" w:ascii="仿宋" w:hAnsi="仿宋" w:eastAsia="仿宋" w:cs="仿宋"/>
          <w:sz w:val="30"/>
        </w:rPr>
      </w:pPr>
      <w:bookmarkStart w:id="17" w:name="_Toc20355"/>
      <w:r>
        <w:rPr>
          <w:rStyle w:val="20"/>
          <w:rFonts w:hint="eastAsia" w:ascii="仿宋" w:hAnsi="仿宋" w:eastAsia="仿宋" w:cs="仿宋"/>
          <w:sz w:val="30"/>
        </w:rPr>
        <w:t>附件二</w:t>
      </w:r>
      <w:bookmarkEnd w:id="17"/>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2026年度钢材采购 </w:t>
      </w:r>
      <w:r>
        <w:rPr>
          <w:rFonts w:hint="eastAsia" w:ascii="仿宋" w:hAnsi="仿宋" w:eastAsia="仿宋" w:cs="仿宋"/>
          <w:sz w:val="30"/>
          <w:szCs w:val="30"/>
          <w:u w:val="none"/>
          <w:lang w:val="en-US" w:eastAsia="zh-CN"/>
        </w:rPr>
        <w:t>项目。</w:t>
      </w:r>
    </w:p>
    <w:tbl>
      <w:tblPr>
        <w:tblStyle w:val="13"/>
        <w:tblW w:w="5461" w:type="pct"/>
        <w:jc w:val="center"/>
        <w:tblLayout w:type="fixed"/>
        <w:tblCellMar>
          <w:top w:w="0" w:type="dxa"/>
          <w:left w:w="108" w:type="dxa"/>
          <w:bottom w:w="0" w:type="dxa"/>
          <w:right w:w="108" w:type="dxa"/>
        </w:tblCellMar>
      </w:tblPr>
      <w:tblGrid>
        <w:gridCol w:w="758"/>
        <w:gridCol w:w="2161"/>
        <w:gridCol w:w="3465"/>
        <w:gridCol w:w="785"/>
        <w:gridCol w:w="785"/>
        <w:gridCol w:w="1013"/>
        <w:gridCol w:w="1177"/>
      </w:tblGrid>
      <w:tr w14:paraId="51765D7C">
        <w:tblPrEx>
          <w:tblCellMar>
            <w:top w:w="0" w:type="dxa"/>
            <w:left w:w="108" w:type="dxa"/>
            <w:bottom w:w="0" w:type="dxa"/>
            <w:right w:w="108" w:type="dxa"/>
          </w:tblCellMar>
        </w:tblPrEx>
        <w:trPr>
          <w:trHeight w:val="467"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A55058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983" w:type="dxa"/>
            <w:tcBorders>
              <w:top w:val="single" w:color="000000" w:sz="4" w:space="0"/>
              <w:left w:val="single" w:color="000000" w:sz="4" w:space="0"/>
              <w:bottom w:val="single" w:color="000000" w:sz="4" w:space="0"/>
              <w:right w:val="single" w:color="000000" w:sz="4" w:space="0"/>
            </w:tcBorders>
            <w:noWrap/>
            <w:vAlign w:val="center"/>
          </w:tcPr>
          <w:p w14:paraId="25C40D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3180" w:type="dxa"/>
            <w:tcBorders>
              <w:top w:val="single" w:color="000000" w:sz="4" w:space="0"/>
              <w:left w:val="single" w:color="000000" w:sz="4" w:space="0"/>
              <w:bottom w:val="single" w:color="000000" w:sz="4" w:space="0"/>
              <w:right w:val="single" w:color="000000" w:sz="4" w:space="0"/>
            </w:tcBorders>
            <w:noWrap/>
            <w:vAlign w:val="center"/>
          </w:tcPr>
          <w:p w14:paraId="5982D7C6">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481E89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506AE9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403DC3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3E0BC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w:t>
            </w:r>
          </w:p>
        </w:tc>
      </w:tr>
      <w:tr w14:paraId="50513204">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CCB1331">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3FEAD8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碳钢板</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5F1717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1500*6000*4mm</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6F6AC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B57B9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块</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C32E6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31A5DB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3075C1D">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E434CD4">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050AF7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碳钢板</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6F387B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1500*6000*6mm</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E5312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ED3B2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块</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3A8E5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E157CF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99C1A3F">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B3431AA">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3DB4C6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碳钢板</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7468A5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1500*6000*8mm</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C3411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12C0E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块</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8555B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6B58B5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AF5C1C7">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91B5212">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1F22A47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碳钢板</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39FA7D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1500*6000*10mm</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8B835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A85DA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块</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1C6AD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B97FD1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A2B3B3F">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85A1558">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7F77C6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不锈钢板</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2D7F74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1500*6000*6mm</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49C79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2E060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块</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31B4B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4A546D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966CDA1">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2119F49">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705685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NM400耐磨板</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2F4FDC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1500*6000*10mm</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EAFD7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3A730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块</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4142C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225A2A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B638314">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AA3F5F3">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2F3F80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铸铁地沟盖板</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1A0B75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350*500*30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0E2AA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6B2F6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块</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CBAAA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F56A9D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4F20607">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EEC39D8">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0A659F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铸铁地沟盖板</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36722D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500*500*30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2C02B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46F4C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块</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C49DD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8E59D0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46F4827">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6B223D5">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3DDE2C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铸铁地沟盖板</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0E928D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400*500*50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DA862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2A597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块</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1A842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97AC78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6599B24">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6CE2629">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05A70C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6米脚手架架管</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095331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外径48MM，长6M，壁厚3.5mm</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F73C6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A2AE2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36E88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850700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E6AB44A">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0685013">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109FFF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槽钢</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206FF4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 （6米一根）</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55DF1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4E19F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ED7D6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273916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6CAEF06">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CDA6DA3">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792DE4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槽钢</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0FB40F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12#（6米一根）</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E0809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A351C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BBC788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091A02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BCDDDAC">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871FD2D">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7B929D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角铁</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71EB1E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8*80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3BA11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AD505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CDAE4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918F8A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AF794C8">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8F66917">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1F8D32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角铁</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3320D7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5*50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D15F5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257CF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DE6D5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A6FAC6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4B9ECB9">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08BAA0F">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320F63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角钢</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426E86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4*40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505F2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D6710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08956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0AD171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D7F3001">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998BCCF">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7D74E3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镀锌角铁</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6DF212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4*40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3B9E3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D7CC0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05EB48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814BEC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331BDBC">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396E190">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335EA4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脚手架十字夹</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2F298BA8">
            <w:pPr>
              <w:jc w:val="center"/>
              <w:rPr>
                <w:rFonts w:hint="eastAsia" w:ascii="仿宋" w:hAnsi="仿宋" w:eastAsia="仿宋" w:cs="仿宋"/>
                <w:i w:val="0"/>
                <w:iCs w:val="0"/>
                <w:color w:val="000000"/>
                <w:kern w:val="0"/>
                <w:sz w:val="24"/>
                <w:szCs w:val="24"/>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44C6C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BF9DC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61002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C432AF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B6D30C7">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069F1FB">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52D453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脚手架活动夹</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03A0B4D0">
            <w:pPr>
              <w:jc w:val="center"/>
              <w:rPr>
                <w:rFonts w:hint="eastAsia" w:ascii="仿宋" w:hAnsi="仿宋" w:eastAsia="仿宋" w:cs="仿宋"/>
                <w:i w:val="0"/>
                <w:iCs w:val="0"/>
                <w:color w:val="000000"/>
                <w:kern w:val="0"/>
                <w:sz w:val="24"/>
                <w:szCs w:val="24"/>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13698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51375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AC440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3E3024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1359CF2">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E5E5104">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1FD7CC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脚手架直接</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53488DC6">
            <w:pPr>
              <w:jc w:val="center"/>
              <w:rPr>
                <w:rFonts w:hint="eastAsia" w:ascii="仿宋" w:hAnsi="仿宋" w:eastAsia="仿宋" w:cs="仿宋"/>
                <w:i w:val="0"/>
                <w:iCs w:val="0"/>
                <w:color w:val="000000"/>
                <w:kern w:val="0"/>
                <w:sz w:val="24"/>
                <w:szCs w:val="24"/>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7E0EC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3DE0E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DF63A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8FDD1A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17D27E5">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311925C">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336764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无缝管</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2B9BF0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￠25*4</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71102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4D88E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66799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E58BE7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4D41CE6">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33F0C6C">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252AAA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无缝管</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06E443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￠32*4</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7468CA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5C13F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DFB04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CCE6F7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25285A1">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4EA17EE">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50C722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304不锈钢管</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4B79F67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DN32*3.5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0E94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61723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0F9A1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34DF29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3468C3E">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EE20903">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7C5A37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304不锈钢管</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13B9D5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DN25*3</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7142D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958FA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8367BF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D68795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5665FF5">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288F955">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2887F3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Q235B碳钢钢板</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082EFD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厚度10毫米，1.51*6米</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441F2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B0DDB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20594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D09DB4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85B44A5">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193A62F">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39D7B1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碳钢角钢</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3F2ED2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50*50*3</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DC735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F227D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C1306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F2A2A5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4414E71">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B703A57">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44A005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304不锈钢法兰</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5ED16C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DN25 PN1.6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32810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93D9A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片</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E2935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474E66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C28E4CE">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A92A1F7">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656B5E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304不锈钢法兰</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7846E4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DN32 PN1.6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E4757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5040F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片</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9E3A5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1F73E8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EDF5AB4">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837D068">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0199B1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304不锈钢法兰</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0B16CA0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DN65 PN1.6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58D79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C3FBB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片</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1F190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D73AE1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9DDF0BA">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57AF22B">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4B10E5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304不锈钢法兰</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690F20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DN80 pn1.6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60664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F2F47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片</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1B6476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AF9EA0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C9B095E">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3D4BDB5">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55208B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304不锈钢法兰</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77095B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DN100 pn1.6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8845A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F28AA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片</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17EF8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2FD15B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D402BDB">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778872D">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73641A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304不锈钢法兰</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381D92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DN125 pn1.6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2ADCE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959F1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片</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1EF76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B7E5FB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B702B51">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59A280F">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417FD4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304不锈钢管</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1525E3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DN25 PN1.6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A094C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6BCDE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D0BF4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F5E922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DA1E5F5">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8309CDB">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1D85BE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304不锈钢管</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26C0E3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DN32 PN1.6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79DA4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B77A9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42C39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67AFB9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5D5E2FB">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F49B483">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5B6022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碳钢扁铁</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50931B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C103C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8EE0E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0E51A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8E2771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64C8645">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6311B4A">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2EC661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角铁</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791345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A138F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FEE69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BDEA1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269B3E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258B035">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C7EE64C">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139EC8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镀锌扁铁</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4F4A27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C3AF3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E8269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09E5E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C23FE4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F8DE778">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0329C34">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5E8001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镀锌钢管</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51D39D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DN25   6米/根</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AF026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8CA5A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1FC157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9792CE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5038CB68">
      <w:pPr>
        <w:pStyle w:val="9"/>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57DE78C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每批次送货完成且经由采购人验收合格后，按实际送货量进行结算。供货方提供经双方确认的送货清单及增值税专用发票，采购人自收到准确清单和发票后，于次二月完成货款支付。供货方需提供一年质保，其履约保证金（合同价的5%）到时自动转为质保金，于质保期到期后支付，质保期从最后一批货物验收之日起计算。</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相关要求：1、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币25.1</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2、该采购项目履约保证金为合同价的5%。中标人于合同签订前将履约保证金打入招标人指定账户。合同履行完成后，履约保证金转为质保金。质保期满后，招标人退还质保金（无息）。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3、中标人在合同履行期间出现违约行为，招标人可扣除相应履约保证金/质保金，并向中标人追究相应经济损失。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5</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E06A07D">
      <w:pPr>
        <w:spacing w:line="360" w:lineRule="auto"/>
        <w:jc w:val="center"/>
        <w:rPr>
          <w:rFonts w:hint="eastAsia" w:ascii="仿宋" w:hAnsi="仿宋" w:eastAsia="仿宋" w:cs="仿宋"/>
          <w:b/>
          <w:color w:val="auto"/>
          <w:sz w:val="44"/>
          <w:lang w:val="en-US" w:eastAsia="zh-CN"/>
        </w:rPr>
      </w:pPr>
    </w:p>
    <w:p w14:paraId="73EF7B39">
      <w:pPr>
        <w:spacing w:line="360" w:lineRule="auto"/>
        <w:jc w:val="center"/>
        <w:rPr>
          <w:rFonts w:hint="eastAsia" w:ascii="仿宋" w:hAnsi="仿宋" w:eastAsia="仿宋" w:cs="仿宋"/>
          <w:b/>
          <w:color w:val="auto"/>
          <w:sz w:val="44"/>
          <w:lang w:val="en-US" w:eastAsia="zh-CN"/>
        </w:rPr>
      </w:pPr>
    </w:p>
    <w:p w14:paraId="673A4905">
      <w:pPr>
        <w:spacing w:line="360" w:lineRule="auto"/>
        <w:jc w:val="center"/>
        <w:rPr>
          <w:rFonts w:hint="eastAsia" w:ascii="仿宋" w:hAnsi="仿宋" w:eastAsia="仿宋" w:cs="仿宋"/>
          <w:b/>
          <w:color w:val="auto"/>
          <w:sz w:val="44"/>
          <w:lang w:val="en-US" w:eastAsia="zh-CN"/>
        </w:rPr>
      </w:pPr>
    </w:p>
    <w:p w14:paraId="5C0514F7">
      <w:pPr>
        <w:spacing w:line="360" w:lineRule="auto"/>
        <w:jc w:val="center"/>
        <w:rPr>
          <w:rFonts w:hint="eastAsia" w:ascii="仿宋" w:hAnsi="仿宋" w:eastAsia="仿宋" w:cs="仿宋"/>
          <w:b/>
          <w:color w:val="auto"/>
          <w:sz w:val="44"/>
          <w:lang w:val="en-US" w:eastAsia="zh-CN"/>
        </w:rPr>
      </w:pPr>
    </w:p>
    <w:p w14:paraId="0DD8ABE5">
      <w:pPr>
        <w:spacing w:line="360" w:lineRule="auto"/>
        <w:jc w:val="center"/>
        <w:rPr>
          <w:rFonts w:hint="eastAsia" w:ascii="仿宋" w:hAnsi="仿宋" w:eastAsia="仿宋" w:cs="仿宋"/>
          <w:b/>
          <w:color w:val="auto"/>
          <w:sz w:val="44"/>
          <w:lang w:val="en-US" w:eastAsia="zh-CN"/>
        </w:rPr>
      </w:pPr>
    </w:p>
    <w:p w14:paraId="3C20548E">
      <w:pPr>
        <w:spacing w:line="360" w:lineRule="auto"/>
        <w:jc w:val="center"/>
        <w:rPr>
          <w:rFonts w:hint="eastAsia" w:ascii="仿宋" w:hAnsi="仿宋" w:eastAsia="仿宋" w:cs="仿宋"/>
          <w:b/>
          <w:color w:val="auto"/>
          <w:sz w:val="44"/>
          <w:lang w:val="en-US" w:eastAsia="zh-CN"/>
        </w:rPr>
      </w:pPr>
    </w:p>
    <w:p w14:paraId="67492C28">
      <w:pPr>
        <w:spacing w:line="360" w:lineRule="auto"/>
        <w:jc w:val="both"/>
        <w:rPr>
          <w:rFonts w:hint="eastAsia" w:ascii="仿宋" w:hAnsi="仿宋" w:eastAsia="仿宋" w:cs="仿宋"/>
          <w:b/>
          <w:color w:val="auto"/>
          <w:sz w:val="44"/>
          <w:lang w:val="en-US" w:eastAsia="zh-CN"/>
        </w:rPr>
      </w:pPr>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2026年度钢材采购 </w:t>
      </w:r>
      <w:r>
        <w:rPr>
          <w:rFonts w:hint="eastAsia" w:ascii="仿宋" w:hAnsi="仿宋" w:eastAsia="仿宋" w:cs="仿宋"/>
          <w:color w:val="auto"/>
          <w:sz w:val="30"/>
          <w:szCs w:val="30"/>
          <w:u w:val="none"/>
          <w:lang w:val="en-US" w:eastAsia="zh-CN"/>
        </w:rPr>
        <w:t>项目。</w:t>
      </w:r>
    </w:p>
    <w:tbl>
      <w:tblPr>
        <w:tblStyle w:val="13"/>
        <w:tblW w:w="5229" w:type="pct"/>
        <w:jc w:val="center"/>
        <w:tblLayout w:type="fixed"/>
        <w:tblCellMar>
          <w:top w:w="0" w:type="dxa"/>
          <w:left w:w="108" w:type="dxa"/>
          <w:bottom w:w="0" w:type="dxa"/>
          <w:right w:w="108" w:type="dxa"/>
        </w:tblCellMar>
      </w:tblPr>
      <w:tblGrid>
        <w:gridCol w:w="758"/>
        <w:gridCol w:w="1460"/>
        <w:gridCol w:w="3398"/>
        <w:gridCol w:w="1101"/>
        <w:gridCol w:w="866"/>
        <w:gridCol w:w="981"/>
        <w:gridCol w:w="1149"/>
      </w:tblGrid>
      <w:tr w14:paraId="21CC8D02">
        <w:tblPrEx>
          <w:tblCellMar>
            <w:top w:w="0" w:type="dxa"/>
            <w:left w:w="108" w:type="dxa"/>
            <w:bottom w:w="0" w:type="dxa"/>
            <w:right w:w="108" w:type="dxa"/>
          </w:tblCellMar>
        </w:tblPrEx>
        <w:trPr>
          <w:trHeight w:val="467"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3118"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DE9C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9512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795A7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tc>
      </w:tr>
      <w:tr w14:paraId="163CFD95">
        <w:tblPrEx>
          <w:tblCellMar>
            <w:top w:w="0" w:type="dxa"/>
            <w:left w:w="108" w:type="dxa"/>
            <w:bottom w:w="0" w:type="dxa"/>
            <w:right w:w="108" w:type="dxa"/>
          </w:tblCellMar>
        </w:tblPrEx>
        <w:trPr>
          <w:trHeight w:val="1273"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3118"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3CBF3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1FA0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54" w:type="dxa"/>
            <w:tcBorders>
              <w:top w:val="single" w:color="000000" w:sz="4" w:space="0"/>
              <w:left w:val="single" w:color="000000" w:sz="4" w:space="0"/>
              <w:bottom w:val="single" w:color="000000" w:sz="4" w:space="0"/>
              <w:right w:val="single" w:color="000000" w:sz="4" w:space="0"/>
            </w:tcBorders>
            <w:noWrap w:val="0"/>
            <w:vAlign w:val="center"/>
          </w:tcPr>
          <w:p w14:paraId="666FA9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5FC84774">
      <w:pPr>
        <w:pStyle w:val="9"/>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06523A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yellow"/>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每批次送货完成且经由采购人验收合格后，按实际送货量进行结算。供货方提供经双方确认的送货清单及增值税专用发票，采购人自收到准确清单和发票后，于次二月完成货款支付。供货方需提供一年质保，其履约保证金（合同价的5%）到时自动转为质保金，于质保期到期后支付，质保期从最后一批货物验收之日起计算。</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12853A1B">
      <w:pPr>
        <w:wordWrap w:val="0"/>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8" w:name="_Toc108839328"/>
      <w:bookmarkStart w:id="19" w:name="_Toc103165678"/>
      <w:bookmarkStart w:id="20" w:name="_Toc29413"/>
      <w:r>
        <w:rPr>
          <w:rStyle w:val="20"/>
          <w:rFonts w:hint="eastAsia" w:ascii="仿宋" w:hAnsi="仿宋" w:eastAsia="仿宋" w:cs="仿宋"/>
          <w:sz w:val="30"/>
        </w:rPr>
        <w:t>附件</w:t>
      </w:r>
      <w:bookmarkEnd w:id="18"/>
      <w:bookmarkEnd w:id="19"/>
      <w:r>
        <w:rPr>
          <w:rStyle w:val="20"/>
          <w:rFonts w:hint="eastAsia" w:ascii="仿宋" w:hAnsi="仿宋" w:eastAsia="仿宋" w:cs="仿宋"/>
          <w:sz w:val="30"/>
        </w:rPr>
        <w:t>三</w:t>
      </w:r>
      <w:bookmarkEnd w:id="20"/>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2026年度钢材采购项目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0A9419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五</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1"/>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7"/>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574F2BD"/>
    <w:multiLevelType w:val="singleLevel"/>
    <w:tmpl w:val="8574F2BD"/>
    <w:lvl w:ilvl="0" w:tentative="0">
      <w:start w:val="1"/>
      <w:numFmt w:val="decimal"/>
      <w:suff w:val="nothing"/>
      <w:lvlText w:val="%1"/>
      <w:lvlJc w:val="left"/>
      <w:pPr>
        <w:ind w:left="635" w:leftChars="0" w:hanging="635" w:firstLineChars="0"/>
      </w:pPr>
      <w:rPr>
        <w:rFonts w:hint="default"/>
      </w:rPr>
    </w:lvl>
  </w:abstractNum>
  <w:abstractNum w:abstractNumId="2">
    <w:nsid w:val="8C79575F"/>
    <w:multiLevelType w:val="singleLevel"/>
    <w:tmpl w:val="8C79575F"/>
    <w:lvl w:ilvl="0" w:tentative="0">
      <w:start w:val="12"/>
      <w:numFmt w:val="chineseCounting"/>
      <w:suff w:val="space"/>
      <w:lvlText w:val="第%1条"/>
      <w:lvlJc w:val="left"/>
      <w:rPr>
        <w:rFonts w:hint="eastAsia"/>
      </w:rPr>
    </w:lvl>
  </w:abstractNum>
  <w:abstractNum w:abstractNumId="3">
    <w:nsid w:val="A1F56A14"/>
    <w:multiLevelType w:val="singleLevel"/>
    <w:tmpl w:val="A1F56A14"/>
    <w:lvl w:ilvl="0" w:tentative="0">
      <w:start w:val="1"/>
      <w:numFmt w:val="decimal"/>
      <w:suff w:val="nothing"/>
      <w:lvlText w:val="%1"/>
      <w:lvlJc w:val="left"/>
      <w:pPr>
        <w:ind w:left="635" w:leftChars="0" w:hanging="635" w:firstLineChars="0"/>
      </w:pPr>
      <w:rPr>
        <w:rFonts w:hint="default"/>
      </w:rPr>
    </w:lvl>
  </w:abstractNum>
  <w:abstractNum w:abstractNumId="4">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5">
    <w:nsid w:val="00000020"/>
    <w:multiLevelType w:val="multilevel"/>
    <w:tmpl w:val="00000020"/>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5AF6242"/>
    <w:multiLevelType w:val="singleLevel"/>
    <w:tmpl w:val="05AF6242"/>
    <w:lvl w:ilvl="0" w:tentative="0">
      <w:start w:val="5"/>
      <w:numFmt w:val="chineseCounting"/>
      <w:suff w:val="space"/>
      <w:lvlText w:val="第%1条"/>
      <w:lvlJc w:val="left"/>
      <w:rPr>
        <w:rFonts w:hint="eastAsia"/>
      </w:rPr>
    </w:lvl>
  </w:abstractNum>
  <w:abstractNum w:abstractNumId="7">
    <w:nsid w:val="4CC8527C"/>
    <w:multiLevelType w:val="singleLevel"/>
    <w:tmpl w:val="4CC8527C"/>
    <w:lvl w:ilvl="0" w:tentative="0">
      <w:start w:val="6"/>
      <w:numFmt w:val="chineseCounting"/>
      <w:suff w:val="nothing"/>
      <w:lvlText w:val="%1、"/>
      <w:lvlJc w:val="left"/>
      <w:rPr>
        <w:rFonts w:hint="eastAsia"/>
      </w:rPr>
    </w:lvl>
  </w:abstractNum>
  <w:num w:numId="1">
    <w:abstractNumId w:val="5"/>
  </w:num>
  <w:num w:numId="2">
    <w:abstractNumId w:val="3"/>
  </w:num>
  <w:num w:numId="3">
    <w:abstractNumId w:val="7"/>
  </w:num>
  <w:num w:numId="4">
    <w:abstractNumId w:val="4"/>
  </w:num>
  <w:num w:numId="5">
    <w:abstractNumId w:val="6"/>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29396E"/>
    <w:rsid w:val="003A657B"/>
    <w:rsid w:val="003D1171"/>
    <w:rsid w:val="004B4DC0"/>
    <w:rsid w:val="00517D5D"/>
    <w:rsid w:val="005926A3"/>
    <w:rsid w:val="008746A5"/>
    <w:rsid w:val="00B574EC"/>
    <w:rsid w:val="01D22213"/>
    <w:rsid w:val="02834D04"/>
    <w:rsid w:val="02EE03A8"/>
    <w:rsid w:val="038D5656"/>
    <w:rsid w:val="04464BDF"/>
    <w:rsid w:val="04605697"/>
    <w:rsid w:val="05D22118"/>
    <w:rsid w:val="05EC05B3"/>
    <w:rsid w:val="06057AB3"/>
    <w:rsid w:val="067A3460"/>
    <w:rsid w:val="076328DA"/>
    <w:rsid w:val="08186607"/>
    <w:rsid w:val="08323D9B"/>
    <w:rsid w:val="083A3947"/>
    <w:rsid w:val="08F93082"/>
    <w:rsid w:val="097479E0"/>
    <w:rsid w:val="0A0C6ADD"/>
    <w:rsid w:val="0A32752C"/>
    <w:rsid w:val="0A9D29B8"/>
    <w:rsid w:val="0B237EC8"/>
    <w:rsid w:val="0B2C6C02"/>
    <w:rsid w:val="0B4C4B83"/>
    <w:rsid w:val="0BC12699"/>
    <w:rsid w:val="0BCC31F9"/>
    <w:rsid w:val="0C5A16A4"/>
    <w:rsid w:val="0DC35837"/>
    <w:rsid w:val="0DE61498"/>
    <w:rsid w:val="0ED22627"/>
    <w:rsid w:val="0FF5036F"/>
    <w:rsid w:val="10867335"/>
    <w:rsid w:val="10DE54AD"/>
    <w:rsid w:val="110C39D4"/>
    <w:rsid w:val="1297576D"/>
    <w:rsid w:val="12BF4C87"/>
    <w:rsid w:val="12E70A09"/>
    <w:rsid w:val="15341747"/>
    <w:rsid w:val="164F6705"/>
    <w:rsid w:val="16646293"/>
    <w:rsid w:val="16FE5921"/>
    <w:rsid w:val="17507F90"/>
    <w:rsid w:val="17B042A1"/>
    <w:rsid w:val="1A2B7D96"/>
    <w:rsid w:val="1B25743C"/>
    <w:rsid w:val="1BD33B78"/>
    <w:rsid w:val="1BEC2FB3"/>
    <w:rsid w:val="1CDA4664"/>
    <w:rsid w:val="1CE262BC"/>
    <w:rsid w:val="1D6D770B"/>
    <w:rsid w:val="1E1A21EF"/>
    <w:rsid w:val="203B090D"/>
    <w:rsid w:val="21135480"/>
    <w:rsid w:val="212C3971"/>
    <w:rsid w:val="214D7086"/>
    <w:rsid w:val="21BA7E4E"/>
    <w:rsid w:val="2237459C"/>
    <w:rsid w:val="22497AF0"/>
    <w:rsid w:val="22DF5956"/>
    <w:rsid w:val="22ED7F5E"/>
    <w:rsid w:val="231F50B3"/>
    <w:rsid w:val="232304AB"/>
    <w:rsid w:val="24130D0C"/>
    <w:rsid w:val="24937D46"/>
    <w:rsid w:val="259E2C64"/>
    <w:rsid w:val="260706AD"/>
    <w:rsid w:val="26F76768"/>
    <w:rsid w:val="27AC61A6"/>
    <w:rsid w:val="27FE02E6"/>
    <w:rsid w:val="281F51A8"/>
    <w:rsid w:val="28C57566"/>
    <w:rsid w:val="28C820B6"/>
    <w:rsid w:val="29084622"/>
    <w:rsid w:val="29F704EF"/>
    <w:rsid w:val="2AC220DE"/>
    <w:rsid w:val="2ADB5E21"/>
    <w:rsid w:val="2ADF08BA"/>
    <w:rsid w:val="2B603075"/>
    <w:rsid w:val="2C305EB2"/>
    <w:rsid w:val="2C547C73"/>
    <w:rsid w:val="2CD9238D"/>
    <w:rsid w:val="2E003054"/>
    <w:rsid w:val="2E012585"/>
    <w:rsid w:val="2E5E02F5"/>
    <w:rsid w:val="2EB2531B"/>
    <w:rsid w:val="2F28513F"/>
    <w:rsid w:val="2F3D045F"/>
    <w:rsid w:val="2F6F3EAC"/>
    <w:rsid w:val="2F7D3F84"/>
    <w:rsid w:val="2F844FB7"/>
    <w:rsid w:val="30030652"/>
    <w:rsid w:val="30256074"/>
    <w:rsid w:val="302C4175"/>
    <w:rsid w:val="304A1F48"/>
    <w:rsid w:val="30852A77"/>
    <w:rsid w:val="31713FF6"/>
    <w:rsid w:val="32B04D2F"/>
    <w:rsid w:val="33862CBD"/>
    <w:rsid w:val="338F6EF0"/>
    <w:rsid w:val="33A35EAC"/>
    <w:rsid w:val="345077FD"/>
    <w:rsid w:val="3464504B"/>
    <w:rsid w:val="34E00D83"/>
    <w:rsid w:val="34E40873"/>
    <w:rsid w:val="36216F0D"/>
    <w:rsid w:val="36316A75"/>
    <w:rsid w:val="36C14165"/>
    <w:rsid w:val="36ED02B2"/>
    <w:rsid w:val="37DB73A7"/>
    <w:rsid w:val="389D7311"/>
    <w:rsid w:val="398E418A"/>
    <w:rsid w:val="3996009B"/>
    <w:rsid w:val="3997709B"/>
    <w:rsid w:val="39A55AE7"/>
    <w:rsid w:val="3A351BE0"/>
    <w:rsid w:val="3AFB2B32"/>
    <w:rsid w:val="3B0953A4"/>
    <w:rsid w:val="3C0B0C04"/>
    <w:rsid w:val="3C302F1C"/>
    <w:rsid w:val="3C8719BD"/>
    <w:rsid w:val="3CE46170"/>
    <w:rsid w:val="3D431CCA"/>
    <w:rsid w:val="3D7933CA"/>
    <w:rsid w:val="3DA70031"/>
    <w:rsid w:val="3DAC3CC7"/>
    <w:rsid w:val="3E16524F"/>
    <w:rsid w:val="3EA30F9B"/>
    <w:rsid w:val="3F2D02B4"/>
    <w:rsid w:val="3F7C50B1"/>
    <w:rsid w:val="40543C97"/>
    <w:rsid w:val="406B2371"/>
    <w:rsid w:val="407E15A7"/>
    <w:rsid w:val="408548B8"/>
    <w:rsid w:val="40AA3B81"/>
    <w:rsid w:val="411C5733"/>
    <w:rsid w:val="417112FA"/>
    <w:rsid w:val="42446B53"/>
    <w:rsid w:val="42D57A4D"/>
    <w:rsid w:val="436A096E"/>
    <w:rsid w:val="440E68FF"/>
    <w:rsid w:val="44544A76"/>
    <w:rsid w:val="449544C5"/>
    <w:rsid w:val="44A55070"/>
    <w:rsid w:val="45225AF9"/>
    <w:rsid w:val="45530393"/>
    <w:rsid w:val="45750E93"/>
    <w:rsid w:val="45B93083"/>
    <w:rsid w:val="469F7AF8"/>
    <w:rsid w:val="475812CD"/>
    <w:rsid w:val="475D1115"/>
    <w:rsid w:val="478F3581"/>
    <w:rsid w:val="47B96D86"/>
    <w:rsid w:val="47D615F1"/>
    <w:rsid w:val="47D93555"/>
    <w:rsid w:val="48034DA7"/>
    <w:rsid w:val="486F4BB5"/>
    <w:rsid w:val="48A60514"/>
    <w:rsid w:val="48DA768F"/>
    <w:rsid w:val="48E14418"/>
    <w:rsid w:val="48FB790A"/>
    <w:rsid w:val="491635D4"/>
    <w:rsid w:val="492A0748"/>
    <w:rsid w:val="49E7480F"/>
    <w:rsid w:val="4A3A7820"/>
    <w:rsid w:val="4AD818E7"/>
    <w:rsid w:val="4AF173EE"/>
    <w:rsid w:val="4BEA681C"/>
    <w:rsid w:val="4C2F1B9C"/>
    <w:rsid w:val="4C870D35"/>
    <w:rsid w:val="4D2832EB"/>
    <w:rsid w:val="4D4A7F11"/>
    <w:rsid w:val="4DB81983"/>
    <w:rsid w:val="4DF66F25"/>
    <w:rsid w:val="4E376DB9"/>
    <w:rsid w:val="4E716394"/>
    <w:rsid w:val="4ECC39F8"/>
    <w:rsid w:val="4F0A3ECF"/>
    <w:rsid w:val="4F595384"/>
    <w:rsid w:val="4F65461E"/>
    <w:rsid w:val="4F7F3CCA"/>
    <w:rsid w:val="502844C8"/>
    <w:rsid w:val="51D845E4"/>
    <w:rsid w:val="52341DDD"/>
    <w:rsid w:val="523A017B"/>
    <w:rsid w:val="531111FC"/>
    <w:rsid w:val="532D4FC8"/>
    <w:rsid w:val="533444FB"/>
    <w:rsid w:val="536F3BBC"/>
    <w:rsid w:val="55365C81"/>
    <w:rsid w:val="55C54FE9"/>
    <w:rsid w:val="55E07717"/>
    <w:rsid w:val="56397366"/>
    <w:rsid w:val="58080247"/>
    <w:rsid w:val="594A0658"/>
    <w:rsid w:val="5950112B"/>
    <w:rsid w:val="59C3293C"/>
    <w:rsid w:val="5A1C766A"/>
    <w:rsid w:val="5CF528AB"/>
    <w:rsid w:val="5D132301"/>
    <w:rsid w:val="5EF258CA"/>
    <w:rsid w:val="5F1D2623"/>
    <w:rsid w:val="5F1E1E73"/>
    <w:rsid w:val="606D4916"/>
    <w:rsid w:val="607E64E9"/>
    <w:rsid w:val="612A3DEE"/>
    <w:rsid w:val="61993E05"/>
    <w:rsid w:val="62B67083"/>
    <w:rsid w:val="63132229"/>
    <w:rsid w:val="63C07045"/>
    <w:rsid w:val="649C599A"/>
    <w:rsid w:val="64C9109F"/>
    <w:rsid w:val="651B0FEE"/>
    <w:rsid w:val="65305229"/>
    <w:rsid w:val="662D7F1B"/>
    <w:rsid w:val="666E2F33"/>
    <w:rsid w:val="66B027B6"/>
    <w:rsid w:val="671A2875"/>
    <w:rsid w:val="67966EFB"/>
    <w:rsid w:val="67B2192C"/>
    <w:rsid w:val="67B628F5"/>
    <w:rsid w:val="682119CD"/>
    <w:rsid w:val="69A94E0C"/>
    <w:rsid w:val="6A1A0E79"/>
    <w:rsid w:val="6A2F770C"/>
    <w:rsid w:val="6B10403F"/>
    <w:rsid w:val="6B656B47"/>
    <w:rsid w:val="6B7E1643"/>
    <w:rsid w:val="6C714475"/>
    <w:rsid w:val="6CDB032D"/>
    <w:rsid w:val="6DBD736C"/>
    <w:rsid w:val="6DF45A5A"/>
    <w:rsid w:val="6E160DB8"/>
    <w:rsid w:val="6E5526FF"/>
    <w:rsid w:val="6F2B1820"/>
    <w:rsid w:val="6F2E0DB9"/>
    <w:rsid w:val="6F412F7A"/>
    <w:rsid w:val="6FD1108A"/>
    <w:rsid w:val="707E74C2"/>
    <w:rsid w:val="710D0440"/>
    <w:rsid w:val="716B6D0A"/>
    <w:rsid w:val="71C5585F"/>
    <w:rsid w:val="7207789C"/>
    <w:rsid w:val="720E79AF"/>
    <w:rsid w:val="73A1381E"/>
    <w:rsid w:val="7459468D"/>
    <w:rsid w:val="749131D7"/>
    <w:rsid w:val="756F240E"/>
    <w:rsid w:val="767955ED"/>
    <w:rsid w:val="768B4404"/>
    <w:rsid w:val="779817DA"/>
    <w:rsid w:val="77D476E8"/>
    <w:rsid w:val="77EA1879"/>
    <w:rsid w:val="782A7918"/>
    <w:rsid w:val="79715756"/>
    <w:rsid w:val="7A500C84"/>
    <w:rsid w:val="7A7B08FF"/>
    <w:rsid w:val="7AA165B7"/>
    <w:rsid w:val="7AE21E9E"/>
    <w:rsid w:val="7B09318D"/>
    <w:rsid w:val="7B6004E6"/>
    <w:rsid w:val="7BE14791"/>
    <w:rsid w:val="7C15025C"/>
    <w:rsid w:val="7C4C470C"/>
    <w:rsid w:val="7CD03426"/>
    <w:rsid w:val="7DFA5FDE"/>
    <w:rsid w:val="7E0B3994"/>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1"/>
    <w:pPr>
      <w:spacing w:after="120" w:afterLines="0"/>
    </w:pPr>
  </w:style>
  <w:style w:type="paragraph" w:styleId="5">
    <w:name w:val="Body Text Indent"/>
    <w:basedOn w:val="1"/>
    <w:autoRedefine/>
    <w:qFormat/>
    <w:uiPriority w:val="0"/>
    <w:pPr>
      <w:spacing w:line="480" w:lineRule="auto"/>
      <w:ind w:firstLine="600"/>
    </w:pPr>
    <w:rPr>
      <w:sz w:val="28"/>
    </w:rPr>
  </w:style>
  <w:style w:type="paragraph" w:styleId="6">
    <w:name w:val="Balloon Text"/>
    <w:basedOn w:val="1"/>
    <w:link w:val="24"/>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qFormat/>
    <w:uiPriority w:val="39"/>
    <w:pPr>
      <w:jc w:val="left"/>
    </w:pPr>
    <w:rPr>
      <w:b/>
      <w:caps/>
    </w:rPr>
  </w:style>
  <w:style w:type="paragraph" w:styleId="10">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1">
    <w:name w:val="Body Text First Indent"/>
    <w:basedOn w:val="4"/>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paragraph" w:styleId="12">
    <w:name w:val="Body Text First Indent 2"/>
    <w:basedOn w:val="5"/>
    <w:autoRedefine/>
    <w:qFormat/>
    <w:uiPriority w:val="0"/>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8"/>
    <w:autoRedefine/>
    <w:qFormat/>
    <w:uiPriority w:val="0"/>
    <w:rPr>
      <w:kern w:val="2"/>
      <w:sz w:val="18"/>
      <w:szCs w:val="18"/>
    </w:rPr>
  </w:style>
  <w:style w:type="character" w:customStyle="1" w:styleId="24">
    <w:name w:val="批注框文本 Char"/>
    <w:basedOn w:val="15"/>
    <w:link w:val="6"/>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2"/>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25</Pages>
  <Words>8660</Words>
  <Characters>9474</Characters>
  <Lines>53</Lines>
  <Paragraphs>15</Paragraphs>
  <TotalTime>3</TotalTime>
  <ScaleCrop>false</ScaleCrop>
  <LinksUpToDate>false</LinksUpToDate>
  <CharactersWithSpaces>10738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2025-12-10T10:12:00Z</cp:lastPrinted>
  <dcterms:modified xsi:type="dcterms:W3CDTF">2025-12-12T08:17:19Z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C459A4B17C6546F9ADD0AA98F4323328_13</vt:lpwstr>
  </property>
  <property fmtid="{D5CDD505-2E9C-101B-9397-08002B2CF9AE}" pid="4" name="KSOTemplateDocerSaveRecord">
    <vt:lpwstr>eyJoZGlkIjoiNTVkNzExMmNlZTllZmYzYjIzZDNlN2M3MDhjZjk3N2IiLCJ1c2VySWQiOiI0MTkyNjk4ODkifQ==</vt:lpwstr>
  </property>
</Properties>
</file>