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EB419">
      <w:pPr>
        <w:jc w:val="center"/>
        <w:rPr>
          <w:rFonts w:hint="eastAsia" w:ascii="仿宋" w:hAnsi="仿宋" w:eastAsia="仿宋" w:cs="仿宋"/>
          <w:sz w:val="72"/>
        </w:rPr>
      </w:pPr>
    </w:p>
    <w:p w14:paraId="23668EBA">
      <w:pPr>
        <w:jc w:val="center"/>
        <w:rPr>
          <w:rFonts w:hint="eastAsia" w:ascii="仿宋" w:hAnsi="仿宋" w:eastAsia="仿宋" w:cs="仿宋"/>
          <w:sz w:val="72"/>
        </w:rPr>
      </w:pPr>
    </w:p>
    <w:p w14:paraId="34ECD07E">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543ECF22">
      <w:pPr>
        <w:pStyle w:val="11"/>
        <w:rPr>
          <w:highlight w:val="none"/>
        </w:rPr>
      </w:pPr>
    </w:p>
    <w:p w14:paraId="54EFD54C">
      <w:pPr>
        <w:jc w:val="center"/>
        <w:rPr>
          <w:rFonts w:hint="default" w:ascii="仿宋_GB2312" w:hAnsi="宋体" w:eastAsia="仿宋_GB2312"/>
          <w:b/>
          <w:sz w:val="52"/>
          <w:szCs w:val="52"/>
          <w:highlight w:val="none"/>
          <w:lang w:val="en-US" w:eastAsia="zh-CN"/>
        </w:rPr>
      </w:pPr>
      <w:r>
        <w:rPr>
          <w:rFonts w:hint="default" w:ascii="仿宋_GB2312" w:hAnsi="宋体" w:eastAsia="仿宋_GB2312"/>
          <w:b/>
          <w:sz w:val="52"/>
          <w:szCs w:val="52"/>
          <w:highlight w:val="none"/>
          <w:lang w:val="en-US" w:eastAsia="zh-CN"/>
        </w:rPr>
        <w:t>年度液碱采购项目</w:t>
      </w:r>
    </w:p>
    <w:p w14:paraId="6F730390">
      <w:pPr>
        <w:jc w:val="center"/>
        <w:rPr>
          <w:rFonts w:hint="eastAsia" w:ascii="仿宋_GB2312" w:hAnsi="宋体" w:eastAsia="仿宋_GB2312"/>
          <w:b/>
          <w:sz w:val="52"/>
          <w:szCs w:val="52"/>
          <w:highlight w:val="none"/>
          <w:lang w:eastAsia="zh-CN"/>
        </w:rPr>
      </w:pPr>
      <w:r>
        <w:rPr>
          <w:rFonts w:hint="eastAsia" w:ascii="仿宋_GB2312" w:hAnsi="宋体" w:eastAsia="仿宋_GB2312"/>
          <w:b/>
          <w:sz w:val="52"/>
          <w:szCs w:val="52"/>
          <w:highlight w:val="none"/>
          <w:lang w:eastAsia="zh-CN"/>
        </w:rPr>
        <w:t>挂网</w:t>
      </w:r>
      <w:r>
        <w:rPr>
          <w:rFonts w:hint="eastAsia" w:ascii="仿宋_GB2312" w:hAnsi="宋体" w:eastAsia="仿宋_GB2312"/>
          <w:b/>
          <w:sz w:val="52"/>
          <w:szCs w:val="52"/>
          <w:highlight w:val="none"/>
        </w:rPr>
        <w:t>文件</w:t>
      </w:r>
    </w:p>
    <w:p w14:paraId="7C1F7162">
      <w:pPr>
        <w:jc w:val="center"/>
        <w:rPr>
          <w:rFonts w:hint="eastAsia" w:ascii="仿宋" w:hAnsi="仿宋" w:eastAsia="仿宋" w:cs="仿宋"/>
          <w:b/>
          <w:sz w:val="48"/>
          <w:szCs w:val="48"/>
          <w:highlight w:val="none"/>
        </w:rPr>
      </w:pPr>
    </w:p>
    <w:p w14:paraId="6778471B">
      <w:pPr>
        <w:spacing w:line="360" w:lineRule="auto"/>
        <w:rPr>
          <w:rFonts w:hint="eastAsia" w:ascii="仿宋" w:hAnsi="仿宋" w:eastAsia="仿宋" w:cs="仿宋"/>
          <w:sz w:val="40"/>
          <w:szCs w:val="48"/>
          <w:highlight w:val="none"/>
        </w:rPr>
      </w:pPr>
    </w:p>
    <w:p w14:paraId="45CFA879">
      <w:pPr>
        <w:spacing w:line="360" w:lineRule="auto"/>
        <w:rPr>
          <w:rFonts w:hint="eastAsia" w:ascii="仿宋" w:hAnsi="仿宋" w:eastAsia="仿宋" w:cs="仿宋"/>
          <w:sz w:val="40"/>
          <w:szCs w:val="48"/>
          <w:highlight w:val="none"/>
        </w:rPr>
      </w:pPr>
    </w:p>
    <w:p w14:paraId="4EE1A441">
      <w:pPr>
        <w:spacing w:line="360" w:lineRule="auto"/>
        <w:rPr>
          <w:rFonts w:hint="eastAsia" w:ascii="仿宋" w:hAnsi="仿宋" w:eastAsia="仿宋" w:cs="仿宋"/>
          <w:sz w:val="40"/>
          <w:szCs w:val="48"/>
          <w:highlight w:val="none"/>
        </w:rPr>
      </w:pPr>
    </w:p>
    <w:p w14:paraId="36405B2A">
      <w:pPr>
        <w:spacing w:line="360" w:lineRule="auto"/>
        <w:jc w:val="center"/>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rPr>
        <w:t>采购编号：</w:t>
      </w:r>
      <w:r>
        <w:rPr>
          <w:rFonts w:hint="eastAsia" w:ascii="仿宋" w:hAnsi="仿宋" w:eastAsia="仿宋" w:cs="仿宋"/>
          <w:sz w:val="32"/>
          <w:szCs w:val="32"/>
          <w:highlight w:val="none"/>
          <w:u w:val="single"/>
          <w:lang w:val="en-US" w:eastAsia="zh-CN"/>
        </w:rPr>
        <w:t xml:space="preserve"> </w:t>
      </w:r>
      <w:bookmarkStart w:id="1" w:name="OLE_LINK1"/>
      <w:r>
        <w:rPr>
          <w:rFonts w:hint="eastAsia" w:ascii="仿宋" w:hAnsi="仿宋" w:eastAsia="仿宋" w:cs="仿宋"/>
          <w:sz w:val="32"/>
          <w:szCs w:val="32"/>
          <w:highlight w:val="none"/>
          <w:u w:val="single"/>
          <w:lang w:val="en-US" w:eastAsia="zh-CN"/>
        </w:rPr>
        <w:t>SX-</w:t>
      </w:r>
      <w:bookmarkEnd w:id="1"/>
      <w:r>
        <w:rPr>
          <w:rFonts w:hint="eastAsia" w:ascii="仿宋" w:hAnsi="仿宋" w:eastAsia="仿宋" w:cs="仿宋"/>
          <w:sz w:val="32"/>
          <w:szCs w:val="32"/>
          <w:highlight w:val="none"/>
          <w:u w:val="single"/>
          <w:lang w:val="en-US" w:eastAsia="zh-CN"/>
        </w:rPr>
        <w:t xml:space="preserve">CG-YJ-2509008 </w:t>
      </w:r>
    </w:p>
    <w:p w14:paraId="6D250556">
      <w:pPr>
        <w:spacing w:line="360" w:lineRule="auto"/>
        <w:ind w:firstLine="80" w:firstLineChars="25"/>
        <w:jc w:val="center"/>
        <w:rPr>
          <w:rFonts w:hint="eastAsia"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 xml:space="preserve"> 年度液碱采购项目</w:t>
      </w:r>
    </w:p>
    <w:p w14:paraId="6A82DF5E">
      <w:pPr>
        <w:spacing w:line="360" w:lineRule="auto"/>
        <w:ind w:firstLine="80" w:firstLineChars="25"/>
        <w:jc w:val="center"/>
        <w:rPr>
          <w:rFonts w:hint="eastAsia" w:ascii="仿宋" w:hAnsi="仿宋" w:eastAsia="仿宋" w:cs="仿宋"/>
          <w:sz w:val="32"/>
          <w:szCs w:val="32"/>
          <w:u w:val="single"/>
          <w:lang w:val="en-US" w:eastAsia="zh-CN"/>
        </w:rPr>
      </w:pPr>
    </w:p>
    <w:p w14:paraId="12F97776">
      <w:pPr>
        <w:rPr>
          <w:rFonts w:hint="eastAsia" w:ascii="仿宋" w:hAnsi="仿宋" w:eastAsia="仿宋" w:cs="仿宋"/>
          <w:sz w:val="84"/>
        </w:rPr>
      </w:pPr>
    </w:p>
    <w:p w14:paraId="297F9618">
      <w:pPr>
        <w:rPr>
          <w:rFonts w:hint="eastAsia" w:ascii="仿宋" w:hAnsi="仿宋" w:eastAsia="仿宋" w:cs="仿宋"/>
          <w:sz w:val="84"/>
        </w:rPr>
      </w:pPr>
    </w:p>
    <w:p w14:paraId="33BAD177">
      <w:pPr>
        <w:rPr>
          <w:rFonts w:hint="eastAsia" w:ascii="仿宋" w:hAnsi="仿宋" w:eastAsia="仿宋" w:cs="仿宋"/>
          <w:sz w:val="84"/>
        </w:rPr>
      </w:pPr>
    </w:p>
    <w:p w14:paraId="1BFEA016">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289C425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九</w:t>
      </w:r>
      <w:r>
        <w:rPr>
          <w:rFonts w:hint="eastAsia" w:ascii="仿宋" w:hAnsi="仿宋" w:eastAsia="仿宋" w:cs="仿宋"/>
          <w:sz w:val="32"/>
          <w:szCs w:val="32"/>
        </w:rPr>
        <w:t>月</w:t>
      </w:r>
    </w:p>
    <w:p w14:paraId="1B2C013F">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69952642">
      <w:pPr>
        <w:pStyle w:val="9"/>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13D0532F">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08ECA06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4</w:t>
      </w:r>
      <w:r>
        <w:rPr>
          <w:b w:val="0"/>
          <w:bCs/>
          <w:sz w:val="32"/>
          <w:szCs w:val="28"/>
        </w:rPr>
        <w:fldChar w:fldCharType="end"/>
      </w:r>
      <w:r>
        <w:rPr>
          <w:rFonts w:hint="eastAsia" w:ascii="仿宋" w:hAnsi="仿宋" w:eastAsia="仿宋" w:cs="仿宋"/>
          <w:b w:val="0"/>
          <w:bCs/>
          <w:sz w:val="32"/>
          <w:szCs w:val="28"/>
        </w:rPr>
        <w:fldChar w:fldCharType="end"/>
      </w:r>
    </w:p>
    <w:p w14:paraId="7CF0B990">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14:paraId="30C103BB">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430C286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1B60AEC3">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78A7DB2C">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3FD4B93B">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2CB08D88">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7D54F6DE">
      <w:pPr>
        <w:rPr>
          <w:rFonts w:hint="eastAsia" w:ascii="仿宋" w:hAnsi="仿宋" w:eastAsia="仿宋" w:cs="仿宋"/>
          <w:sz w:val="36"/>
        </w:rPr>
      </w:pPr>
    </w:p>
    <w:p w14:paraId="624240EE">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6995"/>
      <w:bookmarkStart w:id="6" w:name="_Toc530583921"/>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42A9A8C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年度液碱采购项目进行招标</w:t>
      </w:r>
      <w:r>
        <w:rPr>
          <w:rFonts w:hint="eastAsia" w:ascii="仿宋" w:hAnsi="仿宋" w:eastAsia="仿宋" w:cs="仿宋"/>
          <w:sz w:val="30"/>
          <w:szCs w:val="30"/>
        </w:rPr>
        <w:t>，欢迎符合要求的供应商积极参与。</w:t>
      </w:r>
    </w:p>
    <w:p w14:paraId="429406B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3B61172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SX-CG-YJ-2509008  </w:t>
      </w:r>
    </w:p>
    <w:p w14:paraId="4EB00A9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3"/>
        <w:tblW w:w="4682" w:type="pct"/>
        <w:jc w:val="center"/>
        <w:tblLayout w:type="fixed"/>
        <w:tblCellMar>
          <w:top w:w="0" w:type="dxa"/>
          <w:left w:w="108" w:type="dxa"/>
          <w:bottom w:w="0" w:type="dxa"/>
          <w:right w:w="108" w:type="dxa"/>
        </w:tblCellMar>
      </w:tblPr>
      <w:tblGrid>
        <w:gridCol w:w="758"/>
        <w:gridCol w:w="1460"/>
        <w:gridCol w:w="2140"/>
        <w:gridCol w:w="1470"/>
        <w:gridCol w:w="871"/>
        <w:gridCol w:w="1998"/>
      </w:tblGrid>
      <w:tr w14:paraId="24345D97">
        <w:tblPrEx>
          <w:tblCellMar>
            <w:top w:w="0" w:type="dxa"/>
            <w:left w:w="108" w:type="dxa"/>
            <w:bottom w:w="0" w:type="dxa"/>
            <w:right w:w="108" w:type="dxa"/>
          </w:tblCellMar>
        </w:tblPrEx>
        <w:trPr>
          <w:trHeight w:val="467"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09E82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4547F8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22F790">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FCACF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59C43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E4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14:paraId="3451946A">
        <w:tblPrEx>
          <w:tblCellMar>
            <w:top w:w="0" w:type="dxa"/>
            <w:left w:w="108" w:type="dxa"/>
            <w:bottom w:w="0" w:type="dxa"/>
            <w:right w:w="108" w:type="dxa"/>
          </w:tblCellMar>
        </w:tblPrEx>
        <w:trPr>
          <w:trHeight w:val="1623"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405F7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FE64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液碱</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68D0D2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浓度32%，槽罐车罐装（GBT209-2018）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87DF06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约120吨，按实际使用量结算</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18EBC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吨</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4B9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每次送货量约15-20吨左右，送货时间每次由采购人提前通知，金额按具体使用量进行结算</w:t>
            </w:r>
          </w:p>
        </w:tc>
      </w:tr>
    </w:tbl>
    <w:p w14:paraId="47E30BEA">
      <w:pPr>
        <w:pStyle w:val="12"/>
        <w:snapToGrid/>
        <w:spacing w:line="360" w:lineRule="auto"/>
        <w:ind w:left="0" w:leftChars="0"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w:t>
      </w:r>
    </w:p>
    <w:p w14:paraId="726C6CF1">
      <w:pPr>
        <w:pStyle w:val="12"/>
        <w:numPr>
          <w:ilvl w:val="0"/>
          <w:numId w:val="0"/>
        </w:numPr>
        <w:snapToGrid/>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本项目采购总金额限价为</w:t>
      </w:r>
      <w:r>
        <w:rPr>
          <w:rFonts w:hint="eastAsia" w:ascii="仿宋" w:hAnsi="仿宋" w:eastAsia="仿宋" w:cs="仿宋"/>
          <w:sz w:val="30"/>
          <w:szCs w:val="30"/>
          <w:highlight w:val="none"/>
          <w:lang w:eastAsia="zh-CN"/>
        </w:rPr>
        <w:t>人民币15.3</w:t>
      </w:r>
      <w:r>
        <w:rPr>
          <w:rFonts w:hint="eastAsia" w:ascii="仿宋" w:hAnsi="仿宋" w:eastAsia="仿宋" w:cs="仿宋"/>
          <w:sz w:val="30"/>
          <w:szCs w:val="30"/>
          <w:highlight w:val="none"/>
          <w:lang w:val="en-US" w:eastAsia="zh-CN"/>
        </w:rPr>
        <w:t>万</w:t>
      </w:r>
      <w:r>
        <w:rPr>
          <w:rFonts w:hint="eastAsia" w:ascii="仿宋" w:hAnsi="仿宋" w:eastAsia="仿宋" w:cs="仿宋"/>
          <w:sz w:val="30"/>
          <w:szCs w:val="30"/>
          <w:highlight w:val="none"/>
        </w:rPr>
        <w:t>元。</w:t>
      </w:r>
    </w:p>
    <w:p w14:paraId="5260B29F">
      <w:pPr>
        <w:pStyle w:val="12"/>
        <w:numPr>
          <w:ilvl w:val="0"/>
          <w:numId w:val="0"/>
        </w:numPr>
        <w:snapToGrid/>
        <w:spacing w:line="360" w:lineRule="auto"/>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4.根据采购人实际需要，分批次供货，每次送货量约15-20吨左右，按过磅实际供货量进行结算。供应商接到采购人送货通知后，3个工作日内将货物如数送至采购人指定地点。</w:t>
      </w:r>
    </w:p>
    <w:p w14:paraId="7BFF74C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highlight w:val="none"/>
          <w:lang w:eastAsia="zh-CN"/>
        </w:rPr>
      </w:pPr>
      <w:r>
        <w:rPr>
          <w:rFonts w:hint="eastAsia" w:ascii="仿宋_GB2312" w:eastAsia="仿宋_GB2312"/>
          <w:b/>
          <w:bCs/>
          <w:sz w:val="30"/>
          <w:szCs w:val="30"/>
          <w:highlight w:val="none"/>
          <w:lang w:eastAsia="zh-CN"/>
        </w:rPr>
        <w:t>二、供应商要求。</w:t>
      </w:r>
    </w:p>
    <w:p w14:paraId="58B6F84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1.报价人必须是在中华人民共和国境内注册，具有独立法人资格和独立承担民事责任的能力；</w:t>
      </w:r>
      <w:r>
        <w:rPr>
          <w:rFonts w:hint="eastAsia" w:ascii="仿宋_GB2312" w:eastAsia="仿宋_GB2312"/>
          <w:sz w:val="30"/>
          <w:szCs w:val="30"/>
          <w:highlight w:val="none"/>
          <w:u w:val="single"/>
          <w:lang w:val="en-US" w:eastAsia="zh-CN"/>
        </w:rPr>
        <w:t>投标人经营范围须包含</w:t>
      </w:r>
      <w:r>
        <w:rPr>
          <w:rFonts w:hint="eastAsia" w:ascii="仿宋_GB2312" w:eastAsia="仿宋_GB2312"/>
          <w:sz w:val="28"/>
          <w:szCs w:val="30"/>
          <w:highlight w:val="none"/>
          <w:u w:val="single"/>
          <w:lang w:eastAsia="zh-CN"/>
        </w:rPr>
        <w:t>易制毒易制爆</w:t>
      </w:r>
      <w:r>
        <w:rPr>
          <w:rFonts w:hint="eastAsia" w:ascii="仿宋_GB2312" w:eastAsia="仿宋_GB2312"/>
          <w:sz w:val="28"/>
          <w:szCs w:val="30"/>
          <w:highlight w:val="none"/>
          <w:u w:val="single"/>
        </w:rPr>
        <w:t>的</w:t>
      </w:r>
      <w:r>
        <w:rPr>
          <w:rFonts w:hint="eastAsia" w:ascii="仿宋_GB2312" w:eastAsia="仿宋_GB2312"/>
          <w:sz w:val="28"/>
          <w:szCs w:val="30"/>
          <w:highlight w:val="none"/>
          <w:u w:val="single"/>
          <w:lang w:eastAsia="zh-CN"/>
        </w:rPr>
        <w:t>相关经营</w:t>
      </w:r>
      <w:r>
        <w:rPr>
          <w:rFonts w:hint="eastAsia" w:ascii="仿宋_GB2312" w:eastAsia="仿宋_GB2312"/>
          <w:sz w:val="28"/>
          <w:szCs w:val="30"/>
          <w:highlight w:val="none"/>
          <w:u w:val="single"/>
        </w:rPr>
        <w:t>资质</w:t>
      </w:r>
      <w:r>
        <w:rPr>
          <w:rFonts w:hint="eastAsia" w:ascii="仿宋_GB2312" w:eastAsia="仿宋_GB2312"/>
          <w:sz w:val="28"/>
          <w:szCs w:val="30"/>
          <w:highlight w:val="none"/>
          <w:u w:val="single"/>
          <w:lang w:eastAsia="zh-CN"/>
        </w:rPr>
        <w:t>，并采用槽罐车运输的方式送至现场</w:t>
      </w:r>
      <w:r>
        <w:rPr>
          <w:rFonts w:hint="eastAsia" w:ascii="仿宋" w:hAnsi="仿宋" w:eastAsia="仿宋" w:cs="仿宋"/>
          <w:sz w:val="30"/>
          <w:szCs w:val="30"/>
          <w:highlight w:val="none"/>
          <w:lang w:val="en-US" w:eastAsia="zh-CN"/>
        </w:rPr>
        <w:t>。</w:t>
      </w:r>
    </w:p>
    <w:p w14:paraId="2DFB282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23F826D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50BB5A9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14:paraId="60780F04">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5.本项目内容不允许分包。</w:t>
      </w:r>
    </w:p>
    <w:p w14:paraId="31202C6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7" w:name="_Toc530583922"/>
      <w:bookmarkStart w:id="8" w:name="_Toc23057"/>
      <w:bookmarkStart w:id="9" w:name="_Toc530583879"/>
      <w:bookmarkStart w:id="10" w:name="_Toc530583880"/>
      <w:bookmarkStart w:id="11"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0AA8C9E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10月11</w:t>
      </w:r>
      <w:r>
        <w:rPr>
          <w:rFonts w:hint="eastAsia" w:ascii="仿宋_GB2312" w:eastAsia="仿宋_GB2312"/>
          <w:sz w:val="30"/>
          <w:szCs w:val="30"/>
        </w:rPr>
        <w:t>日。</w:t>
      </w:r>
    </w:p>
    <w:p w14:paraId="413918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00939C8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33FF4D8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2F8A84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8DF5BA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69476E1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报价文件邮递递交截止时间：截至2025年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10</w:t>
      </w:r>
      <w:r>
        <w:rPr>
          <w:rFonts w:hint="eastAsia" w:ascii="仿宋_GB2312" w:eastAsia="仿宋_GB2312"/>
          <w:sz w:val="30"/>
          <w:szCs w:val="30"/>
        </w:rPr>
        <w:t>日，以邮寄签收时间为准，因邮寄原因导致报价文件不能如期送达等风险由供应商自行承担。</w:t>
      </w:r>
    </w:p>
    <w:p w14:paraId="69EA96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F6C3BF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6E0CCE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67FB804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6C81090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483B6D10">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2E58BB0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62C16CA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w:t>
      </w:r>
      <w:r>
        <w:rPr>
          <w:rFonts w:hint="eastAsia" w:ascii="仿宋_GB2312" w:eastAsia="仿宋_GB2312" w:cs="Times New Roman"/>
          <w:sz w:val="30"/>
          <w:szCs w:val="30"/>
          <w:lang w:val="en-US" w:eastAsia="zh-CN"/>
        </w:rPr>
        <w:t>0575-85791900</w:t>
      </w:r>
    </w:p>
    <w:p w14:paraId="7336D46D">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10380F46">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9月29</w:t>
      </w:r>
      <w:bookmarkStart w:id="21" w:name="_GoBack"/>
      <w:bookmarkEnd w:id="21"/>
      <w:r>
        <w:rPr>
          <w:rFonts w:hint="eastAsia" w:ascii="仿宋_GB2312" w:eastAsia="仿宋_GB2312"/>
          <w:sz w:val="30"/>
          <w:szCs w:val="30"/>
        </w:rPr>
        <w:t>日</w:t>
      </w:r>
    </w:p>
    <w:p w14:paraId="10E9B901">
      <w:pPr>
        <w:pStyle w:val="12"/>
        <w:rPr>
          <w:rFonts w:hint="eastAsia" w:ascii="仿宋_GB2312" w:eastAsia="仿宋_GB2312"/>
          <w:sz w:val="30"/>
          <w:szCs w:val="30"/>
        </w:rPr>
      </w:pPr>
    </w:p>
    <w:p w14:paraId="3A86D49D">
      <w:pPr>
        <w:pStyle w:val="12"/>
        <w:rPr>
          <w:rFonts w:hint="eastAsia" w:ascii="仿宋_GB2312" w:eastAsia="仿宋_GB2312"/>
          <w:sz w:val="30"/>
          <w:szCs w:val="30"/>
        </w:rPr>
      </w:pPr>
    </w:p>
    <w:p w14:paraId="4EFDF728">
      <w:pPr>
        <w:pStyle w:val="12"/>
        <w:rPr>
          <w:rFonts w:hint="eastAsia" w:ascii="仿宋_GB2312" w:eastAsia="仿宋_GB2312"/>
          <w:sz w:val="30"/>
          <w:szCs w:val="30"/>
        </w:rPr>
      </w:pPr>
    </w:p>
    <w:p w14:paraId="41CF67AE">
      <w:pPr>
        <w:pStyle w:val="12"/>
        <w:rPr>
          <w:rFonts w:hint="eastAsia" w:ascii="仿宋_GB2312" w:eastAsia="仿宋_GB2312"/>
          <w:sz w:val="30"/>
          <w:szCs w:val="30"/>
        </w:rPr>
      </w:pPr>
    </w:p>
    <w:p w14:paraId="1B8DEF0A">
      <w:pPr>
        <w:pStyle w:val="12"/>
        <w:rPr>
          <w:rFonts w:hint="eastAsia" w:ascii="仿宋_GB2312" w:eastAsia="仿宋_GB2312"/>
          <w:sz w:val="30"/>
          <w:szCs w:val="30"/>
        </w:rPr>
      </w:pPr>
    </w:p>
    <w:p w14:paraId="2CCD9DA2">
      <w:pPr>
        <w:pStyle w:val="12"/>
        <w:rPr>
          <w:rFonts w:hint="eastAsia" w:ascii="仿宋_GB2312" w:eastAsia="仿宋_GB2312"/>
          <w:sz w:val="30"/>
          <w:szCs w:val="30"/>
        </w:rPr>
      </w:pPr>
    </w:p>
    <w:p w14:paraId="6BD300D3">
      <w:pPr>
        <w:pStyle w:val="12"/>
        <w:rPr>
          <w:rFonts w:hint="eastAsia" w:ascii="仿宋_GB2312" w:eastAsia="仿宋_GB2312"/>
          <w:sz w:val="30"/>
          <w:szCs w:val="30"/>
        </w:rPr>
      </w:pPr>
    </w:p>
    <w:p w14:paraId="55D780DF">
      <w:pPr>
        <w:pStyle w:val="12"/>
        <w:rPr>
          <w:rFonts w:hint="eastAsia" w:ascii="仿宋_GB2312" w:eastAsia="仿宋_GB2312"/>
          <w:sz w:val="30"/>
          <w:szCs w:val="30"/>
        </w:rPr>
      </w:pPr>
    </w:p>
    <w:p w14:paraId="70FC8F71">
      <w:pPr>
        <w:pStyle w:val="12"/>
        <w:rPr>
          <w:rFonts w:hint="eastAsia" w:ascii="仿宋_GB2312" w:eastAsia="仿宋_GB2312"/>
          <w:sz w:val="30"/>
          <w:szCs w:val="30"/>
        </w:rPr>
      </w:pPr>
    </w:p>
    <w:p w14:paraId="758970A0">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 w:hAnsi="仿宋" w:eastAsia="仿宋" w:cs="仿宋"/>
          <w:b/>
          <w:snapToGrid w:val="0"/>
          <w:color w:val="000000"/>
          <w:kern w:val="44"/>
          <w:sz w:val="44"/>
          <w:szCs w:val="44"/>
          <w:lang w:val="en-US" w:eastAsia="zh-CN" w:bidi="ar-SA"/>
        </w:rPr>
        <w:t>第二部分   采购须知</w:t>
      </w:r>
      <w:bookmarkEnd w:id="7"/>
      <w:bookmarkEnd w:id="8"/>
      <w:bookmarkEnd w:id="9"/>
    </w:p>
    <w:p w14:paraId="5DF30CD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43837104">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20D0069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4007F91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2BE745B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53DF06A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4083C06F">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764FA82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120E9D1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4212F15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79BDD39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1538DA9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E17C05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46EEF3F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0A4B3DF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75AC62A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7B4BC3D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12D2C136">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12B87EAC">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1795959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4455233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C725121">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80F98EB">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4D53D4E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0C87247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5F467F6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3AB0841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4F980AA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58405848">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7952F743">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0EAA2AE1">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327EDD2E">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D6E035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1661636">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0EE49715">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22F7029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18A6B925">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1CC95567">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1E895EF2">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58BE4334">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140DA1A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18E1B25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0199C01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20EDC6C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1C36D9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16687E2F">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6A6C15B8">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4ED82A19">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3678CC37">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173ABC32">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3C6B639F">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5FFD1E09">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405C3781">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0C9676D1">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4074EFD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5591EA2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20EFCCD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45B2CF7C">
      <w:pPr>
        <w:pStyle w:val="2"/>
        <w:numPr>
          <w:ilvl w:val="0"/>
          <w:numId w:val="0"/>
        </w:numPr>
        <w:jc w:val="center"/>
        <w:outlineLvl w:val="9"/>
        <w:rPr>
          <w:rFonts w:hint="eastAsia" w:ascii="仿宋" w:hAnsi="仿宋" w:eastAsia="仿宋" w:cs="仿宋"/>
          <w:snapToGrid w:val="0"/>
          <w:sz w:val="44"/>
          <w:szCs w:val="44"/>
        </w:rPr>
      </w:pPr>
    </w:p>
    <w:p w14:paraId="5CB04477">
      <w:pPr>
        <w:rPr>
          <w:rFonts w:hint="eastAsia" w:ascii="仿宋" w:hAnsi="仿宋" w:eastAsia="仿宋" w:cs="仿宋"/>
          <w:snapToGrid w:val="0"/>
          <w:sz w:val="44"/>
          <w:szCs w:val="44"/>
        </w:rPr>
      </w:pPr>
    </w:p>
    <w:p w14:paraId="13A683CE">
      <w:pPr>
        <w:pStyle w:val="4"/>
        <w:rPr>
          <w:rFonts w:hint="eastAsia" w:ascii="仿宋" w:hAnsi="仿宋" w:eastAsia="仿宋" w:cs="仿宋"/>
          <w:snapToGrid w:val="0"/>
          <w:sz w:val="44"/>
          <w:szCs w:val="44"/>
        </w:rPr>
      </w:pPr>
    </w:p>
    <w:p w14:paraId="1643322B">
      <w:pPr>
        <w:pStyle w:val="11"/>
        <w:rPr>
          <w:rFonts w:hint="eastAsia" w:ascii="仿宋" w:hAnsi="仿宋" w:eastAsia="仿宋" w:cs="仿宋"/>
          <w:snapToGrid w:val="0"/>
          <w:sz w:val="44"/>
          <w:szCs w:val="44"/>
        </w:rPr>
      </w:pPr>
    </w:p>
    <w:p w14:paraId="6F7B1054">
      <w:pPr>
        <w:rPr>
          <w:rFonts w:hint="eastAsia" w:ascii="仿宋" w:hAnsi="仿宋" w:eastAsia="仿宋" w:cs="仿宋"/>
          <w:snapToGrid w:val="0"/>
          <w:sz w:val="44"/>
          <w:szCs w:val="44"/>
        </w:rPr>
      </w:pPr>
    </w:p>
    <w:p w14:paraId="070A749E">
      <w:pPr>
        <w:rPr>
          <w:rFonts w:hint="eastAsia" w:ascii="仿宋" w:hAnsi="仿宋" w:eastAsia="仿宋" w:cs="仿宋"/>
          <w:snapToGrid w:val="0"/>
          <w:sz w:val="44"/>
          <w:szCs w:val="44"/>
        </w:rPr>
      </w:pPr>
    </w:p>
    <w:p w14:paraId="7DEBCF3A">
      <w:pPr>
        <w:rPr>
          <w:rFonts w:hint="eastAsia" w:ascii="仿宋" w:hAnsi="仿宋" w:eastAsia="仿宋" w:cs="仿宋"/>
          <w:snapToGrid w:val="0"/>
          <w:sz w:val="44"/>
          <w:szCs w:val="44"/>
        </w:rPr>
      </w:pPr>
    </w:p>
    <w:p w14:paraId="74901F0A">
      <w:pPr>
        <w:rPr>
          <w:rFonts w:hint="eastAsia" w:ascii="仿宋" w:hAnsi="仿宋" w:eastAsia="仿宋" w:cs="仿宋"/>
          <w:snapToGrid w:val="0"/>
          <w:sz w:val="44"/>
          <w:szCs w:val="44"/>
        </w:rPr>
      </w:pPr>
    </w:p>
    <w:p w14:paraId="711401CF">
      <w:pPr>
        <w:rPr>
          <w:rFonts w:hint="eastAsia" w:ascii="仿宋" w:hAnsi="仿宋" w:eastAsia="仿宋" w:cs="仿宋"/>
          <w:snapToGrid w:val="0"/>
          <w:sz w:val="44"/>
          <w:szCs w:val="44"/>
        </w:rPr>
      </w:pPr>
    </w:p>
    <w:p w14:paraId="6489D0A7">
      <w:pPr>
        <w:rPr>
          <w:rFonts w:hint="eastAsia" w:ascii="仿宋" w:hAnsi="仿宋" w:eastAsia="仿宋" w:cs="仿宋"/>
          <w:snapToGrid w:val="0"/>
          <w:sz w:val="44"/>
          <w:szCs w:val="44"/>
        </w:rPr>
      </w:pPr>
    </w:p>
    <w:p w14:paraId="45C3B018">
      <w:pPr>
        <w:rPr>
          <w:rFonts w:hint="eastAsia" w:ascii="仿宋" w:hAnsi="仿宋" w:eastAsia="仿宋" w:cs="仿宋"/>
          <w:snapToGrid w:val="0"/>
          <w:sz w:val="44"/>
          <w:szCs w:val="44"/>
        </w:rPr>
      </w:pPr>
    </w:p>
    <w:p w14:paraId="442412A4">
      <w:pPr>
        <w:rPr>
          <w:rFonts w:hint="eastAsia" w:ascii="仿宋" w:hAnsi="仿宋" w:eastAsia="仿宋" w:cs="仿宋"/>
          <w:snapToGrid w:val="0"/>
          <w:sz w:val="44"/>
          <w:szCs w:val="44"/>
        </w:rPr>
      </w:pPr>
    </w:p>
    <w:p w14:paraId="3B113E72">
      <w:pPr>
        <w:pStyle w:val="2"/>
        <w:numPr>
          <w:ilvl w:val="0"/>
          <w:numId w:val="0"/>
        </w:numPr>
        <w:jc w:val="center"/>
        <w:rPr>
          <w:rFonts w:hint="eastAsia" w:ascii="仿宋" w:hAnsi="仿宋" w:eastAsia="仿宋" w:cs="仿宋"/>
          <w:b w:val="0"/>
          <w:bCs/>
          <w:snapToGrid w:val="0"/>
          <w:sz w:val="44"/>
        </w:rPr>
      </w:pPr>
      <w:bookmarkStart w:id="12" w:name="_Toc4053"/>
      <w:r>
        <w:rPr>
          <w:rFonts w:hint="eastAsia" w:ascii="仿宋" w:hAnsi="仿宋" w:eastAsia="仿宋" w:cs="仿宋"/>
          <w:snapToGrid w:val="0"/>
          <w:sz w:val="44"/>
          <w:szCs w:val="44"/>
        </w:rPr>
        <w:t>第三部分   询价内容</w:t>
      </w:r>
      <w:bookmarkEnd w:id="10"/>
      <w:bookmarkEnd w:id="11"/>
      <w:bookmarkEnd w:id="12"/>
    </w:p>
    <w:p w14:paraId="20F783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56C070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0F473F0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lang w:val="en-US" w:eastAsia="zh-CN"/>
        </w:rPr>
        <w:t>二、</w:t>
      </w:r>
      <w:r>
        <w:rPr>
          <w:rFonts w:hint="eastAsia" w:ascii="仿宋" w:hAnsi="仿宋" w:eastAsia="仿宋" w:cs="仿宋"/>
          <w:color w:val="auto"/>
          <w:kern w:val="2"/>
          <w:sz w:val="30"/>
          <w:szCs w:val="30"/>
          <w:highlight w:val="none"/>
        </w:rPr>
        <w:t>供货方式</w:t>
      </w:r>
    </w:p>
    <w:p w14:paraId="444D9E5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highlight w:val="none"/>
          <w:lang w:val="en-US" w:eastAsia="zh-CN"/>
        </w:rPr>
        <w:t>本项目供货期为一年，根据采购人实际需要，分批次供货，每次送货量约15-20吨左右，按过磅实际供货量进行结算。双方签订合同后，供应商接到采购人送货通知后，3个工作日内将货物如数送至采购人指定地点</w:t>
      </w:r>
      <w:r>
        <w:rPr>
          <w:rFonts w:hint="eastAsia" w:ascii="仿宋" w:hAnsi="仿宋" w:eastAsia="仿宋" w:cs="仿宋"/>
          <w:color w:val="auto"/>
          <w:kern w:val="2"/>
          <w:sz w:val="30"/>
          <w:szCs w:val="30"/>
          <w:highlight w:val="none"/>
          <w:lang w:eastAsia="zh-CN"/>
        </w:rPr>
        <w:t>。</w:t>
      </w:r>
    </w:p>
    <w:p w14:paraId="5542679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rPr>
        <w:t>三、付款方式</w:t>
      </w:r>
    </w:p>
    <w:p w14:paraId="490CA6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highlight w:val="none"/>
          <w:lang w:val="en-US" w:eastAsia="zh-CN"/>
        </w:rPr>
        <w:t>每次送货完成后，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6F94A17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2E7712E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75D194B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42FB0458">
      <w:pPr>
        <w:pStyle w:val="2"/>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2C38EEF5">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36F8FF30">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1A7624AC">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供货</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1711"/>
        <w:gridCol w:w="709"/>
        <w:gridCol w:w="709"/>
        <w:gridCol w:w="992"/>
        <w:gridCol w:w="1633"/>
        <w:gridCol w:w="1627"/>
      </w:tblGrid>
      <w:tr w14:paraId="29B27345">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085ABDB">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8B09A60">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物资名称</w:t>
            </w:r>
          </w:p>
        </w:tc>
        <w:tc>
          <w:tcPr>
            <w:tcW w:w="1711" w:type="dxa"/>
            <w:tcBorders>
              <w:top w:val="single" w:color="auto" w:sz="4" w:space="0"/>
              <w:left w:val="nil"/>
              <w:bottom w:val="single" w:color="auto" w:sz="4" w:space="0"/>
              <w:right w:val="single" w:color="auto" w:sz="4" w:space="0"/>
            </w:tcBorders>
            <w:noWrap w:val="0"/>
            <w:vAlign w:val="center"/>
          </w:tcPr>
          <w:p w14:paraId="7E1DDE4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规格型号</w:t>
            </w:r>
          </w:p>
        </w:tc>
        <w:tc>
          <w:tcPr>
            <w:tcW w:w="709" w:type="dxa"/>
            <w:tcBorders>
              <w:top w:val="single" w:color="auto" w:sz="4" w:space="0"/>
              <w:left w:val="nil"/>
              <w:bottom w:val="single" w:color="auto" w:sz="4" w:space="0"/>
              <w:right w:val="single" w:color="auto" w:sz="4" w:space="0"/>
            </w:tcBorders>
            <w:noWrap w:val="0"/>
            <w:vAlign w:val="center"/>
          </w:tcPr>
          <w:p w14:paraId="0FE24892">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单位</w:t>
            </w:r>
          </w:p>
        </w:tc>
        <w:tc>
          <w:tcPr>
            <w:tcW w:w="709" w:type="dxa"/>
            <w:tcBorders>
              <w:top w:val="single" w:color="auto" w:sz="4" w:space="0"/>
              <w:left w:val="nil"/>
              <w:bottom w:val="single" w:color="auto" w:sz="4" w:space="0"/>
              <w:right w:val="single" w:color="auto" w:sz="4" w:space="0"/>
            </w:tcBorders>
            <w:noWrap w:val="0"/>
            <w:vAlign w:val="center"/>
          </w:tcPr>
          <w:p w14:paraId="1827530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数量</w:t>
            </w:r>
          </w:p>
        </w:tc>
        <w:tc>
          <w:tcPr>
            <w:tcW w:w="992" w:type="dxa"/>
            <w:tcBorders>
              <w:top w:val="single" w:color="auto" w:sz="4" w:space="0"/>
              <w:left w:val="nil"/>
              <w:bottom w:val="single" w:color="auto" w:sz="4" w:space="0"/>
              <w:right w:val="single" w:color="auto" w:sz="4" w:space="0"/>
            </w:tcBorders>
            <w:noWrap w:val="0"/>
            <w:vAlign w:val="center"/>
          </w:tcPr>
          <w:p w14:paraId="0662135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4A9172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07EED21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27E85A2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01AE2C9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12FDB466">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0ED6F5F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7903C9D8">
            <w:pPr>
              <w:adjustRightInd/>
              <w:snapToGrid/>
              <w:spacing w:after="0"/>
              <w:jc w:val="center"/>
              <w:rPr>
                <w:rFonts w:hint="eastAsia" w:ascii="Times New Roman" w:hAnsi="Times New Roman" w:eastAsia="方正仿宋_GBK" w:cs="Times New Roman"/>
                <w:b/>
                <w:bCs/>
                <w:sz w:val="24"/>
                <w:szCs w:val="24"/>
              </w:rPr>
            </w:pPr>
          </w:p>
        </w:tc>
        <w:tc>
          <w:tcPr>
            <w:tcW w:w="1711" w:type="dxa"/>
            <w:tcBorders>
              <w:top w:val="nil"/>
              <w:left w:val="nil"/>
              <w:bottom w:val="single" w:color="auto" w:sz="4" w:space="0"/>
              <w:right w:val="single" w:color="auto" w:sz="4" w:space="0"/>
            </w:tcBorders>
            <w:shd w:val="clear" w:color="000000" w:fill="FFFFFF"/>
            <w:noWrap w:val="0"/>
            <w:vAlign w:val="center"/>
          </w:tcPr>
          <w:p w14:paraId="3FA647C3">
            <w:pPr>
              <w:adjustRightInd/>
              <w:snapToGrid/>
              <w:spacing w:after="0"/>
              <w:jc w:val="center"/>
              <w:rPr>
                <w:rFonts w:hint="eastAsia"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14:paraId="6533A1DE">
            <w:pPr>
              <w:adjustRightInd/>
              <w:snapToGrid/>
              <w:spacing w:after="0"/>
              <w:jc w:val="center"/>
              <w:rPr>
                <w:rFonts w:hint="default"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14:paraId="26704756">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632BF058">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797EC2E6">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55F60B0E">
            <w:pPr>
              <w:adjustRightInd/>
              <w:snapToGrid/>
              <w:spacing w:after="0"/>
              <w:jc w:val="center"/>
              <w:rPr>
                <w:rFonts w:hint="eastAsia" w:ascii="Times New Roman" w:hAnsi="Times New Roman" w:eastAsia="方正仿宋_GBK" w:cs="Times New Roman"/>
                <w:b/>
                <w:bCs/>
                <w:sz w:val="24"/>
                <w:szCs w:val="24"/>
              </w:rPr>
            </w:pPr>
          </w:p>
        </w:tc>
      </w:tr>
      <w:tr w14:paraId="0E877BCF">
        <w:tblPrEx>
          <w:tblCellMar>
            <w:top w:w="0" w:type="dxa"/>
            <w:left w:w="108" w:type="dxa"/>
            <w:bottom w:w="0" w:type="dxa"/>
            <w:right w:w="108" w:type="dxa"/>
          </w:tblCellMar>
        </w:tblPrEx>
        <w:trPr>
          <w:trHeight w:val="836" w:hRule="atLeast"/>
          <w:jc w:val="center"/>
        </w:trPr>
        <w:tc>
          <w:tcPr>
            <w:tcW w:w="6311" w:type="dxa"/>
            <w:gridSpan w:val="6"/>
            <w:tcBorders>
              <w:top w:val="nil"/>
              <w:left w:val="single" w:color="auto" w:sz="4" w:space="0"/>
              <w:bottom w:val="single" w:color="auto" w:sz="4" w:space="0"/>
              <w:right w:val="single" w:color="auto" w:sz="4" w:space="0"/>
            </w:tcBorders>
            <w:noWrap w:val="0"/>
            <w:vAlign w:val="center"/>
          </w:tcPr>
          <w:p w14:paraId="47F666EB">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7615F5B0">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6E443802">
            <w:pPr>
              <w:adjustRightInd/>
              <w:snapToGrid/>
              <w:spacing w:after="0"/>
              <w:jc w:val="left"/>
              <w:rPr>
                <w:rFonts w:hint="eastAsia" w:ascii="Times New Roman" w:hAnsi="Times New Roman" w:eastAsia="方正仿宋_GBK" w:cs="Times New Roman"/>
                <w:b/>
                <w:bCs/>
                <w:sz w:val="24"/>
                <w:szCs w:val="24"/>
              </w:rPr>
            </w:pPr>
          </w:p>
        </w:tc>
      </w:tr>
      <w:tr w14:paraId="2903F576">
        <w:tblPrEx>
          <w:tblCellMar>
            <w:top w:w="0" w:type="dxa"/>
            <w:left w:w="108" w:type="dxa"/>
            <w:bottom w:w="0" w:type="dxa"/>
            <w:right w:w="108" w:type="dxa"/>
          </w:tblCellMar>
        </w:tblPrEx>
        <w:trPr>
          <w:trHeight w:val="716" w:hRule="atLeast"/>
          <w:jc w:val="center"/>
        </w:trPr>
        <w:tc>
          <w:tcPr>
            <w:tcW w:w="9571" w:type="dxa"/>
            <w:gridSpan w:val="8"/>
            <w:tcBorders>
              <w:top w:val="nil"/>
              <w:left w:val="single" w:color="auto" w:sz="4" w:space="0"/>
              <w:bottom w:val="single" w:color="auto" w:sz="4" w:space="0"/>
              <w:right w:val="single" w:color="auto" w:sz="4" w:space="0"/>
            </w:tcBorders>
            <w:noWrap w:val="0"/>
            <w:vAlign w:val="center"/>
          </w:tcPr>
          <w:p w14:paraId="74D1688C">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1E1C812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highlight w:val="none"/>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highlight w:val="none"/>
          <w:lang w:eastAsia="zh-CN"/>
        </w:rPr>
        <w:t>供货</w:t>
      </w:r>
      <w:r>
        <w:rPr>
          <w:rFonts w:hint="eastAsia" w:ascii="黑体" w:hAnsi="黑体" w:eastAsia="黑体" w:cs="黑体"/>
          <w:sz w:val="28"/>
          <w:szCs w:val="28"/>
          <w:highlight w:val="none"/>
        </w:rPr>
        <w:t>时间、地点</w:t>
      </w:r>
      <w:r>
        <w:rPr>
          <w:rFonts w:hint="eastAsia" w:ascii="黑体" w:hAnsi="黑体" w:eastAsia="黑体" w:cs="黑体"/>
          <w:sz w:val="28"/>
          <w:szCs w:val="28"/>
          <w:highlight w:val="none"/>
          <w:lang w:eastAsia="zh-CN"/>
        </w:rPr>
        <w:t>、要求</w:t>
      </w:r>
    </w:p>
    <w:p w14:paraId="453342D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eastAsia="zh-CN"/>
        </w:rPr>
        <w:t>供货</w:t>
      </w:r>
      <w:r>
        <w:rPr>
          <w:rFonts w:hint="eastAsia" w:ascii="方正仿宋_GBK" w:hAnsi="方正仿宋_GBK" w:eastAsia="方正仿宋_GBK" w:cs="方正仿宋_GBK"/>
          <w:sz w:val="28"/>
          <w:szCs w:val="28"/>
          <w:highlight w:val="none"/>
        </w:rPr>
        <w:t>时间：</w:t>
      </w:r>
      <w:r>
        <w:rPr>
          <w:rFonts w:hint="eastAsia" w:ascii="方正仿宋_GBK" w:hAnsi="方正仿宋_GBK" w:eastAsia="方正仿宋_GBK" w:cs="方正仿宋_GBK"/>
          <w:sz w:val="28"/>
          <w:szCs w:val="28"/>
          <w:highlight w:val="none"/>
          <w:lang w:eastAsia="zh-CN"/>
        </w:rPr>
        <w:t>本项目供货期为一年，根据采购人实际需要，分批次供货，按实际结算。双方签订合同后，供应商接到采购人送货通知后，</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个工作日内将货物如数送至采购人指定地点</w:t>
      </w:r>
      <w:r>
        <w:rPr>
          <w:rFonts w:hint="eastAsia" w:ascii="方正仿宋_GBK" w:hAnsi="方正仿宋_GBK" w:eastAsia="方正仿宋_GBK" w:cs="方正仿宋_GBK"/>
          <w:sz w:val="28"/>
          <w:szCs w:val="28"/>
          <w:highlight w:val="none"/>
        </w:rPr>
        <w:t>。</w:t>
      </w:r>
    </w:p>
    <w:p w14:paraId="15FBED4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供货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2B2F559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3、供货要求：交货时，应附有相应的装货清单、合格证及相关技术资料。（如有）</w:t>
      </w:r>
    </w:p>
    <w:p w14:paraId="44C320E3">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第三条 技术要求</w:t>
      </w:r>
    </w:p>
    <w:p w14:paraId="0A7EBEE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符合现场使用要求。</w:t>
      </w:r>
    </w:p>
    <w:p w14:paraId="0BC6992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36911F9">
      <w:pPr>
        <w:pStyle w:val="34"/>
        <w:keepNext w:val="0"/>
        <w:keepLines w:val="0"/>
        <w:pageBreakBefore w:val="0"/>
        <w:widowControl/>
        <w:kinsoku/>
        <w:wordWrap/>
        <w:overflowPunct/>
        <w:topLinePunct w:val="0"/>
        <w:autoSpaceDE/>
        <w:autoSpaceDN/>
        <w:bidi w:val="0"/>
        <w:adjustRightInd w:val="0"/>
        <w:snapToGrid w:val="0"/>
        <w:spacing w:after="0" w:line="579" w:lineRule="exact"/>
        <w:ind w:left="279" w:leftChars="133" w:firstLine="280" w:firstLineChars="1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eastAsia="zh-CN"/>
        </w:rPr>
        <w:t>总价</w:t>
      </w:r>
      <w:r>
        <w:rPr>
          <w:rFonts w:hint="eastAsia" w:ascii="方正仿宋_GBK" w:hAnsi="方正仿宋_GBK" w:eastAsia="方正仿宋_GBK" w:cs="方正仿宋_GBK"/>
          <w:sz w:val="28"/>
          <w:szCs w:val="28"/>
        </w:rPr>
        <w:t>合同，金额包含包装费、运费、税金、保险费等， 供需双方不能因市场价格变化而调整合同价。</w:t>
      </w:r>
    </w:p>
    <w:p w14:paraId="1BB9B344">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3B51C19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每次送货完成后，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56AA12FF">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35A817B8">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73FD37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4F304792">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220506C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6D43C1D8">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6BA67361">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供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27C7A2CE">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65A979A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50F570C4">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517AD2A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46A6141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7F0296D3">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98880A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035FEAFA">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26F90E7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1E6F3A12">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7C78ABD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393C134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56EB3E8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方正仿宋_GBK" w:hAnsi="方正仿宋_GBK" w:eastAsia="方正仿宋_GBK" w:cs="方正仿宋_GBK"/>
          <w:sz w:val="28"/>
          <w:szCs w:val="28"/>
        </w:rPr>
        <w:br w:type="page"/>
      </w:r>
      <w:r>
        <w:rPr>
          <w:rFonts w:hint="eastAsia" w:ascii="Times New Roman" w:hAnsi="Times New Roman" w:eastAsia="方正仿宋_GBK" w:cs="Times New Roman"/>
          <w:b/>
          <w:bCs/>
          <w:sz w:val="28"/>
          <w:szCs w:val="28"/>
          <w:highlight w:val="none"/>
          <w:lang w:val="en-US" w:eastAsia="zh-CN"/>
        </w:rPr>
        <w:t>附件：</w:t>
      </w:r>
    </w:p>
    <w:p w14:paraId="4ED188FA">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680823BA">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29AC2F4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年度液碱采购项目</w:t>
      </w:r>
    </w:p>
    <w:p w14:paraId="5BF27F0E">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3B0C6F86">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23A184F8">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3396A70F">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41CA0BED">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5F35611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2E7EA6D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445E1B6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214B227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528C214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216B087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05413C5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608528D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41C126F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1F2E2E4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54023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50C73F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7A8A03C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5748F48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21334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052A79F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7A950F7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6BC0231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F42B54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7F8191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35911D4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20F3445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w:t>
      </w:r>
      <w:r>
        <w:rPr>
          <w:rFonts w:hint="eastAsia" w:ascii="Times New Roman" w:hAnsi="Times New Roman" w:eastAsia="方正仿宋_GBK" w:cs="Times New Roman"/>
          <w:sz w:val="28"/>
          <w:szCs w:val="28"/>
          <w:highlight w:val="none"/>
          <w:lang w:val="en-US" w:eastAsia="zh-CN"/>
        </w:rPr>
        <w:t>六</w:t>
      </w:r>
      <w:r>
        <w:rPr>
          <w:rFonts w:hint="default" w:ascii="Times New Roman" w:hAnsi="Times New Roman" w:eastAsia="方正仿宋_GBK" w:cs="Times New Roman"/>
          <w:sz w:val="28"/>
          <w:szCs w:val="28"/>
          <w:highlight w:val="none"/>
          <w:lang w:val="en-US" w:eastAsia="zh-CN"/>
        </w:rPr>
        <w:t>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4A29045E">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7D2C6DA2">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53B6CF9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292D77D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5F472F65">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66FD5BB8">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60DC584E">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eastAsia"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bookmarkStart w:id="15" w:name="_Toc21167"/>
    </w:p>
    <w:p w14:paraId="669456BD">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7DE9D414">
      <w:pPr>
        <w:pStyle w:val="2"/>
        <w:numPr>
          <w:ilvl w:val="0"/>
          <w:numId w:val="0"/>
        </w:numPr>
        <w:jc w:val="center"/>
        <w:rPr>
          <w:rFonts w:hint="eastAsia" w:ascii="仿宋" w:hAnsi="仿宋" w:eastAsia="仿宋" w:cs="仿宋"/>
          <w:snapToGrid w:val="0"/>
          <w:sz w:val="44"/>
          <w:szCs w:val="44"/>
          <w:highlight w:val="none"/>
        </w:rPr>
      </w:pPr>
      <w:r>
        <w:rPr>
          <w:rFonts w:hint="eastAsia" w:ascii="仿宋" w:hAnsi="仿宋" w:eastAsia="仿宋" w:cs="仿宋"/>
          <w:snapToGrid w:val="0"/>
          <w:sz w:val="44"/>
          <w:szCs w:val="44"/>
          <w:highlight w:val="none"/>
        </w:rPr>
        <w:t>第</w:t>
      </w:r>
      <w:r>
        <w:rPr>
          <w:rFonts w:hint="eastAsia" w:ascii="仿宋" w:hAnsi="仿宋" w:eastAsia="仿宋" w:cs="仿宋"/>
          <w:snapToGrid w:val="0"/>
          <w:sz w:val="44"/>
          <w:szCs w:val="44"/>
          <w:highlight w:val="none"/>
          <w:lang w:eastAsia="zh-CN"/>
        </w:rPr>
        <w:t>五</w:t>
      </w:r>
      <w:r>
        <w:rPr>
          <w:rFonts w:hint="eastAsia" w:ascii="仿宋" w:hAnsi="仿宋" w:eastAsia="仿宋" w:cs="仿宋"/>
          <w:snapToGrid w:val="0"/>
          <w:sz w:val="44"/>
          <w:szCs w:val="44"/>
          <w:highlight w:val="none"/>
        </w:rPr>
        <w:t>部分    报价文件格式</w:t>
      </w:r>
      <w:bookmarkEnd w:id="13"/>
      <w:bookmarkEnd w:id="15"/>
    </w:p>
    <w:p w14:paraId="3A8DAFBE">
      <w:pPr>
        <w:jc w:val="left"/>
        <w:outlineLvl w:val="0"/>
        <w:rPr>
          <w:rStyle w:val="20"/>
          <w:rFonts w:hint="eastAsia" w:ascii="仿宋" w:hAnsi="仿宋" w:eastAsia="仿宋" w:cs="仿宋"/>
          <w:sz w:val="30"/>
          <w:highlight w:val="none"/>
        </w:rPr>
      </w:pPr>
      <w:bookmarkStart w:id="16" w:name="_Toc22901"/>
      <w:r>
        <w:rPr>
          <w:rStyle w:val="20"/>
          <w:rFonts w:hint="eastAsia" w:ascii="仿宋" w:hAnsi="仿宋" w:eastAsia="仿宋" w:cs="仿宋"/>
          <w:sz w:val="30"/>
          <w:highlight w:val="none"/>
        </w:rPr>
        <w:t>附件一：</w:t>
      </w:r>
      <w:bookmarkEnd w:id="16"/>
    </w:p>
    <w:p w14:paraId="43C9EF44">
      <w:pPr>
        <w:spacing w:line="480" w:lineRule="auto"/>
        <w:jc w:val="right"/>
        <w:rPr>
          <w:rFonts w:hint="eastAsia" w:ascii="仿宋" w:hAnsi="仿宋" w:eastAsia="仿宋" w:cs="仿宋"/>
          <w:sz w:val="32"/>
          <w:highlight w:val="none"/>
        </w:rPr>
      </w:pPr>
    </w:p>
    <w:p w14:paraId="6D16F87F">
      <w:pPr>
        <w:rPr>
          <w:rFonts w:hint="eastAsia" w:ascii="仿宋" w:hAnsi="仿宋" w:eastAsia="仿宋" w:cs="仿宋"/>
          <w:sz w:val="44"/>
          <w:highlight w:val="none"/>
        </w:rPr>
      </w:pPr>
    </w:p>
    <w:p w14:paraId="3EFA8C98">
      <w:pPr>
        <w:spacing w:line="360" w:lineRule="auto"/>
        <w:jc w:val="center"/>
        <w:rPr>
          <w:rFonts w:hint="eastAsia" w:ascii="仿宋" w:hAnsi="仿宋" w:eastAsia="仿宋" w:cs="仿宋"/>
          <w:sz w:val="52"/>
          <w:highlight w:val="none"/>
          <w:lang w:val="en-US" w:eastAsia="zh-CN"/>
        </w:rPr>
      </w:pPr>
      <w:r>
        <w:rPr>
          <w:rFonts w:hint="eastAsia" w:ascii="仿宋" w:hAnsi="仿宋" w:eastAsia="仿宋" w:cs="仿宋"/>
          <w:sz w:val="52"/>
          <w:highlight w:val="none"/>
          <w:lang w:val="en-US" w:eastAsia="zh-CN"/>
        </w:rPr>
        <w:t>绍兴市再生能源发展有限公司</w:t>
      </w:r>
    </w:p>
    <w:p w14:paraId="1BF065C3">
      <w:pPr>
        <w:spacing w:line="360" w:lineRule="auto"/>
        <w:jc w:val="center"/>
        <w:rPr>
          <w:rFonts w:hint="eastAsia" w:ascii="仿宋" w:hAnsi="仿宋" w:eastAsia="仿宋" w:cs="仿宋"/>
          <w:sz w:val="52"/>
          <w:highlight w:val="none"/>
        </w:rPr>
      </w:pPr>
      <w:r>
        <w:rPr>
          <w:rFonts w:hint="eastAsia" w:ascii="仿宋" w:hAnsi="仿宋" w:eastAsia="仿宋" w:cs="仿宋"/>
          <w:sz w:val="52"/>
          <w:highlight w:val="none"/>
          <w:lang w:val="en-US" w:eastAsia="zh-CN"/>
        </w:rPr>
        <w:t>年度液碱采购项目</w:t>
      </w:r>
    </w:p>
    <w:p w14:paraId="43E2F06B">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SX-CG-YJ-2509008</w:t>
      </w:r>
    </w:p>
    <w:p w14:paraId="6F7EC41B">
      <w:pPr>
        <w:rPr>
          <w:rFonts w:hint="eastAsia" w:ascii="仿宋" w:hAnsi="仿宋" w:eastAsia="仿宋" w:cs="仿宋"/>
          <w:sz w:val="44"/>
        </w:rPr>
      </w:pPr>
    </w:p>
    <w:p w14:paraId="1B8AF216">
      <w:pPr>
        <w:rPr>
          <w:rFonts w:hint="eastAsia" w:ascii="仿宋" w:hAnsi="仿宋" w:eastAsia="仿宋" w:cs="仿宋"/>
          <w:sz w:val="44"/>
        </w:rPr>
      </w:pPr>
    </w:p>
    <w:p w14:paraId="258D6BE4">
      <w:pPr>
        <w:rPr>
          <w:rFonts w:hint="eastAsia" w:ascii="仿宋" w:hAnsi="仿宋" w:eastAsia="仿宋" w:cs="仿宋"/>
          <w:sz w:val="84"/>
        </w:rPr>
      </w:pPr>
    </w:p>
    <w:p w14:paraId="14083582">
      <w:pPr>
        <w:jc w:val="center"/>
        <w:rPr>
          <w:rFonts w:hint="eastAsia" w:ascii="仿宋" w:hAnsi="仿宋" w:eastAsia="仿宋" w:cs="仿宋"/>
          <w:sz w:val="84"/>
        </w:rPr>
      </w:pPr>
      <w:r>
        <w:rPr>
          <w:rFonts w:hint="eastAsia" w:ascii="仿宋" w:hAnsi="仿宋" w:eastAsia="仿宋" w:cs="仿宋"/>
          <w:sz w:val="84"/>
        </w:rPr>
        <w:t>报价文件</w:t>
      </w:r>
    </w:p>
    <w:p w14:paraId="763E3073">
      <w:pPr>
        <w:jc w:val="center"/>
        <w:rPr>
          <w:rFonts w:hint="eastAsia" w:ascii="仿宋" w:hAnsi="仿宋" w:eastAsia="仿宋" w:cs="仿宋"/>
          <w:sz w:val="24"/>
        </w:rPr>
      </w:pPr>
    </w:p>
    <w:p w14:paraId="1DF28980">
      <w:pPr>
        <w:jc w:val="center"/>
        <w:rPr>
          <w:rFonts w:hint="eastAsia" w:ascii="仿宋" w:hAnsi="仿宋" w:eastAsia="仿宋" w:cs="仿宋"/>
          <w:sz w:val="24"/>
        </w:rPr>
      </w:pPr>
    </w:p>
    <w:p w14:paraId="77C3BD23">
      <w:pPr>
        <w:spacing w:line="480" w:lineRule="auto"/>
        <w:jc w:val="center"/>
        <w:rPr>
          <w:rFonts w:hint="eastAsia" w:ascii="仿宋" w:hAnsi="仿宋" w:eastAsia="仿宋" w:cs="仿宋"/>
          <w:sz w:val="24"/>
        </w:rPr>
      </w:pPr>
    </w:p>
    <w:p w14:paraId="53DBF7AE">
      <w:pPr>
        <w:spacing w:line="480" w:lineRule="auto"/>
        <w:jc w:val="center"/>
        <w:rPr>
          <w:rFonts w:hint="eastAsia" w:ascii="仿宋" w:hAnsi="仿宋" w:eastAsia="仿宋" w:cs="仿宋"/>
          <w:sz w:val="24"/>
        </w:rPr>
      </w:pPr>
    </w:p>
    <w:p w14:paraId="5B6FC157">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29704C65">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0298C5E0">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0E3523F7">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43E8D4B">
      <w:pPr>
        <w:jc w:val="left"/>
        <w:outlineLvl w:val="0"/>
        <w:rPr>
          <w:rStyle w:val="20"/>
          <w:rFonts w:hint="eastAsia" w:ascii="仿宋" w:hAnsi="仿宋" w:eastAsia="仿宋" w:cs="仿宋"/>
          <w:sz w:val="30"/>
        </w:rPr>
      </w:pPr>
      <w:bookmarkStart w:id="17" w:name="_Toc20355"/>
      <w:r>
        <w:rPr>
          <w:rStyle w:val="20"/>
          <w:rFonts w:hint="eastAsia" w:ascii="仿宋" w:hAnsi="仿宋" w:eastAsia="仿宋" w:cs="仿宋"/>
          <w:sz w:val="30"/>
        </w:rPr>
        <w:t>附件二</w:t>
      </w:r>
      <w:bookmarkEnd w:id="17"/>
      <w:r>
        <w:rPr>
          <w:rStyle w:val="20"/>
          <w:rFonts w:hint="eastAsia" w:ascii="仿宋" w:hAnsi="仿宋" w:eastAsia="仿宋" w:cs="仿宋"/>
          <w:sz w:val="30"/>
        </w:rPr>
        <w:t xml:space="preserve">  </w:t>
      </w:r>
    </w:p>
    <w:p w14:paraId="0B349F5C">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7CC3635A">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1D2E1BA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年度液碱采购 </w:t>
      </w:r>
      <w:r>
        <w:rPr>
          <w:rFonts w:hint="eastAsia" w:ascii="仿宋" w:hAnsi="仿宋" w:eastAsia="仿宋" w:cs="仿宋"/>
          <w:sz w:val="30"/>
          <w:szCs w:val="30"/>
          <w:u w:val="none"/>
          <w:lang w:val="en-US" w:eastAsia="zh-CN"/>
        </w:rPr>
        <w:t>项目。</w:t>
      </w:r>
    </w:p>
    <w:tbl>
      <w:tblPr>
        <w:tblStyle w:val="13"/>
        <w:tblW w:w="5229" w:type="pct"/>
        <w:jc w:val="center"/>
        <w:tblLayout w:type="fixed"/>
        <w:tblCellMar>
          <w:top w:w="0" w:type="dxa"/>
          <w:left w:w="108" w:type="dxa"/>
          <w:bottom w:w="0" w:type="dxa"/>
          <w:right w:w="108" w:type="dxa"/>
        </w:tblCellMar>
      </w:tblPr>
      <w:tblGrid>
        <w:gridCol w:w="758"/>
        <w:gridCol w:w="1460"/>
        <w:gridCol w:w="3398"/>
        <w:gridCol w:w="1101"/>
        <w:gridCol w:w="866"/>
        <w:gridCol w:w="981"/>
        <w:gridCol w:w="1149"/>
      </w:tblGrid>
      <w:tr w14:paraId="3CB58D97">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089D7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00966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118" w:type="dxa"/>
            <w:tcBorders>
              <w:top w:val="single" w:color="000000" w:sz="4" w:space="0"/>
              <w:left w:val="single" w:color="000000" w:sz="4" w:space="0"/>
              <w:bottom w:val="single" w:color="000000" w:sz="4" w:space="0"/>
              <w:right w:val="single" w:color="000000" w:sz="4" w:space="0"/>
            </w:tcBorders>
            <w:noWrap/>
            <w:vAlign w:val="center"/>
          </w:tcPr>
          <w:p w14:paraId="4F899E58">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5DFFFB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4E694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B326D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054" w:type="dxa"/>
            <w:tcBorders>
              <w:top w:val="single" w:color="000000" w:sz="4" w:space="0"/>
              <w:left w:val="single" w:color="000000" w:sz="4" w:space="0"/>
              <w:bottom w:val="single" w:color="000000" w:sz="4" w:space="0"/>
              <w:right w:val="single" w:color="000000" w:sz="4" w:space="0"/>
            </w:tcBorders>
            <w:noWrap/>
            <w:vAlign w:val="center"/>
          </w:tcPr>
          <w:p w14:paraId="6452F9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65D0E8BF">
        <w:tblPrEx>
          <w:tblCellMar>
            <w:top w:w="0" w:type="dxa"/>
            <w:left w:w="108" w:type="dxa"/>
            <w:bottom w:w="0" w:type="dxa"/>
            <w:right w:w="108" w:type="dxa"/>
          </w:tblCellMar>
        </w:tblPrEx>
        <w:trPr>
          <w:trHeight w:val="1623"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EB04E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CACC9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液碱</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02E8DF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浓度32%，槽罐车罐装（GBT209-2018）</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435C6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约120吨，按实际使用量结算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A6C6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C30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307EF1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73CE9A01">
      <w:pPr>
        <w:pStyle w:val="9"/>
        <w:rPr>
          <w:rFonts w:hint="eastAsia" w:ascii="仿宋" w:hAnsi="仿宋" w:eastAsia="仿宋" w:cs="仿宋"/>
        </w:rPr>
      </w:pPr>
    </w:p>
    <w:p w14:paraId="1C3D513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val="en-US"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，税率为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14:paraId="41FE2C7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highlight w:val="none"/>
        </w:rPr>
      </w:pPr>
      <w:r>
        <w:rPr>
          <w:rFonts w:hint="eastAsia" w:ascii="仿宋" w:hAnsi="仿宋" w:eastAsia="仿宋" w:cs="仿宋"/>
          <w:sz w:val="30"/>
          <w:szCs w:val="30"/>
          <w:lang w:eastAsia="zh-CN"/>
        </w:rPr>
        <w:t>付款方式：</w:t>
      </w:r>
      <w:r>
        <w:rPr>
          <w:rFonts w:hint="eastAsia" w:ascii="仿宋" w:hAnsi="仿宋" w:eastAsia="仿宋" w:cs="仿宋"/>
          <w:sz w:val="30"/>
          <w:szCs w:val="30"/>
          <w:highlight w:val="none"/>
          <w:lang w:val="en-US" w:eastAsia="zh-CN"/>
        </w:rPr>
        <w:t>每次送货完成后，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43F89D4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w:t>
      </w:r>
      <w:r>
        <w:rPr>
          <w:rFonts w:hint="eastAsia" w:ascii="仿宋_GB2312" w:eastAsia="仿宋_GB2312"/>
          <w:color w:val="auto"/>
          <w:kern w:val="2"/>
          <w:sz w:val="30"/>
          <w:szCs w:val="30"/>
          <w:highlight w:val="none"/>
          <w:lang w:val="en-US" w:eastAsia="zh-CN"/>
        </w:rPr>
        <w:t>不得</w:t>
      </w:r>
      <w:r>
        <w:rPr>
          <w:rFonts w:hint="eastAsia" w:ascii="仿宋_GB2312" w:eastAsia="仿宋_GB2312"/>
          <w:color w:val="auto"/>
          <w:kern w:val="2"/>
          <w:sz w:val="30"/>
          <w:szCs w:val="30"/>
          <w:highlight w:val="none"/>
          <w:lang w:eastAsia="zh-CN"/>
        </w:rPr>
        <w:t>擅自修改付款</w:t>
      </w:r>
      <w:r>
        <w:rPr>
          <w:rFonts w:hint="eastAsia" w:ascii="仿宋_GB2312" w:eastAsia="仿宋_GB2312"/>
          <w:color w:val="auto"/>
          <w:kern w:val="2"/>
          <w:sz w:val="30"/>
          <w:szCs w:val="30"/>
          <w:highlight w:val="none"/>
          <w:lang w:val="en-US" w:eastAsia="zh-CN"/>
        </w:rPr>
        <w:t>方式</w:t>
      </w:r>
      <w:r>
        <w:rPr>
          <w:rFonts w:hint="eastAsia" w:ascii="仿宋_GB2312" w:eastAsia="仿宋_GB2312"/>
          <w:color w:val="auto"/>
          <w:kern w:val="2"/>
          <w:sz w:val="30"/>
          <w:szCs w:val="30"/>
          <w:highlight w:val="none"/>
          <w:lang w:eastAsia="zh-CN"/>
        </w:rPr>
        <w:t>，未满足该条件则视为无效投标】</w:t>
      </w:r>
    </w:p>
    <w:p w14:paraId="0D6D0D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相关要求：1、</w:t>
      </w:r>
      <w:r>
        <w:rPr>
          <w:rFonts w:hint="eastAsia" w:ascii="仿宋" w:hAnsi="仿宋" w:eastAsia="仿宋" w:cs="仿宋"/>
          <w:color w:val="auto"/>
          <w:sz w:val="30"/>
          <w:szCs w:val="30"/>
        </w:rPr>
        <w:t>本项目采购总金额限价为</w:t>
      </w:r>
      <w:r>
        <w:rPr>
          <w:rFonts w:hint="eastAsia" w:ascii="仿宋" w:hAnsi="仿宋" w:eastAsia="仿宋" w:cs="仿宋"/>
          <w:color w:val="auto"/>
          <w:sz w:val="30"/>
          <w:szCs w:val="30"/>
          <w:lang w:eastAsia="zh-CN"/>
        </w:rPr>
        <w:t>人民</w:t>
      </w:r>
      <w:r>
        <w:rPr>
          <w:rFonts w:hint="eastAsia" w:ascii="仿宋" w:hAnsi="仿宋" w:eastAsia="仿宋" w:cs="仿宋"/>
          <w:color w:val="auto"/>
          <w:sz w:val="30"/>
          <w:szCs w:val="30"/>
          <w:highlight w:val="none"/>
          <w:lang w:eastAsia="zh-CN"/>
        </w:rPr>
        <w:t>币</w:t>
      </w:r>
      <w:r>
        <w:rPr>
          <w:rFonts w:hint="eastAsia" w:ascii="仿宋" w:hAnsi="仿宋" w:eastAsia="仿宋" w:cs="仿宋"/>
          <w:sz w:val="30"/>
          <w:szCs w:val="30"/>
          <w:highlight w:val="none"/>
          <w:lang w:eastAsia="zh-CN"/>
        </w:rPr>
        <w:t>15.3</w:t>
      </w:r>
      <w:r>
        <w:rPr>
          <w:rFonts w:hint="eastAsia" w:ascii="仿宋" w:hAnsi="仿宋" w:eastAsia="仿宋" w:cs="仿宋"/>
          <w:color w:val="auto"/>
          <w:sz w:val="30"/>
          <w:szCs w:val="30"/>
          <w:highlight w:val="none"/>
          <w:lang w:val="en-US" w:eastAsia="zh-CN"/>
        </w:rPr>
        <w:t>万</w:t>
      </w:r>
      <w:r>
        <w:rPr>
          <w:rFonts w:hint="eastAsia" w:ascii="仿宋" w:hAnsi="仿宋" w:eastAsia="仿宋" w:cs="仿宋"/>
          <w:color w:val="auto"/>
          <w:sz w:val="30"/>
          <w:szCs w:val="30"/>
          <w:highlight w:val="none"/>
        </w:rPr>
        <w:t>元</w:t>
      </w:r>
      <w:r>
        <w:rPr>
          <w:rFonts w:hint="eastAsia" w:ascii="仿宋" w:hAnsi="仿宋" w:eastAsia="仿宋" w:cs="仿宋"/>
          <w:color w:val="auto"/>
          <w:sz w:val="30"/>
          <w:szCs w:val="30"/>
          <w:highlight w:val="none"/>
          <w:lang w:eastAsia="zh-CN"/>
        </w:rPr>
        <w:t>。</w:t>
      </w:r>
    </w:p>
    <w:p w14:paraId="7950E2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2、该采购项目履约保证金为合同价的5%。中标人于合同签订前将履约保证金打入招标人指定账户。合同履行完成后，履约保证金转为质保金。质保期满后，招标人退还质保金（无息）。</w:t>
      </w:r>
    </w:p>
    <w:p w14:paraId="6ED1667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7256419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7FFA82F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0FE1FA15">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744F294C">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0E06A07D">
      <w:pPr>
        <w:spacing w:line="360" w:lineRule="auto"/>
        <w:jc w:val="center"/>
        <w:rPr>
          <w:rFonts w:hint="eastAsia" w:ascii="仿宋" w:hAnsi="仿宋" w:eastAsia="仿宋" w:cs="仿宋"/>
          <w:b/>
          <w:color w:val="auto"/>
          <w:sz w:val="44"/>
          <w:lang w:val="en-US" w:eastAsia="zh-CN"/>
        </w:rPr>
      </w:pPr>
    </w:p>
    <w:p w14:paraId="73EF7B39">
      <w:pPr>
        <w:spacing w:line="360" w:lineRule="auto"/>
        <w:jc w:val="center"/>
        <w:rPr>
          <w:rFonts w:hint="eastAsia" w:ascii="仿宋" w:hAnsi="仿宋" w:eastAsia="仿宋" w:cs="仿宋"/>
          <w:b/>
          <w:color w:val="auto"/>
          <w:sz w:val="44"/>
          <w:lang w:val="en-US" w:eastAsia="zh-CN"/>
        </w:rPr>
      </w:pPr>
    </w:p>
    <w:p w14:paraId="673A4905">
      <w:pPr>
        <w:spacing w:line="360" w:lineRule="auto"/>
        <w:jc w:val="center"/>
        <w:rPr>
          <w:rFonts w:hint="eastAsia" w:ascii="仿宋" w:hAnsi="仿宋" w:eastAsia="仿宋" w:cs="仿宋"/>
          <w:b/>
          <w:color w:val="auto"/>
          <w:sz w:val="44"/>
          <w:lang w:val="en-US" w:eastAsia="zh-CN"/>
        </w:rPr>
      </w:pPr>
    </w:p>
    <w:p w14:paraId="5C0514F7">
      <w:pPr>
        <w:spacing w:line="360" w:lineRule="auto"/>
        <w:jc w:val="center"/>
        <w:rPr>
          <w:rFonts w:hint="eastAsia" w:ascii="仿宋" w:hAnsi="仿宋" w:eastAsia="仿宋" w:cs="仿宋"/>
          <w:b/>
          <w:color w:val="auto"/>
          <w:sz w:val="44"/>
          <w:lang w:val="en-US" w:eastAsia="zh-CN"/>
        </w:rPr>
      </w:pPr>
    </w:p>
    <w:p w14:paraId="0DD8ABE5">
      <w:pPr>
        <w:spacing w:line="360" w:lineRule="auto"/>
        <w:jc w:val="center"/>
        <w:rPr>
          <w:rFonts w:hint="eastAsia" w:ascii="仿宋" w:hAnsi="仿宋" w:eastAsia="仿宋" w:cs="仿宋"/>
          <w:b/>
          <w:color w:val="auto"/>
          <w:sz w:val="44"/>
          <w:lang w:val="en-US" w:eastAsia="zh-CN"/>
        </w:rPr>
      </w:pPr>
    </w:p>
    <w:p w14:paraId="3C20548E">
      <w:pPr>
        <w:spacing w:line="360" w:lineRule="auto"/>
        <w:jc w:val="center"/>
        <w:rPr>
          <w:rFonts w:hint="eastAsia" w:ascii="仿宋" w:hAnsi="仿宋" w:eastAsia="仿宋" w:cs="仿宋"/>
          <w:b/>
          <w:color w:val="auto"/>
          <w:sz w:val="44"/>
          <w:lang w:val="en-US" w:eastAsia="zh-CN"/>
        </w:rPr>
      </w:pPr>
    </w:p>
    <w:p w14:paraId="039241B6">
      <w:pPr>
        <w:spacing w:line="360" w:lineRule="auto"/>
        <w:jc w:val="center"/>
        <w:rPr>
          <w:rFonts w:hint="eastAsia" w:ascii="仿宋" w:hAnsi="仿宋" w:eastAsia="仿宋" w:cs="仿宋"/>
          <w:b/>
          <w:color w:val="auto"/>
          <w:sz w:val="44"/>
          <w:lang w:val="en-US" w:eastAsia="zh-CN"/>
        </w:rPr>
      </w:pPr>
    </w:p>
    <w:p w14:paraId="0AB09EB9">
      <w:pPr>
        <w:spacing w:line="360" w:lineRule="auto"/>
        <w:jc w:val="center"/>
        <w:rPr>
          <w:rFonts w:hint="eastAsia" w:ascii="仿宋" w:hAnsi="仿宋" w:eastAsia="仿宋" w:cs="仿宋"/>
          <w:b/>
          <w:color w:val="auto"/>
          <w:sz w:val="44"/>
          <w:lang w:val="en-US" w:eastAsia="zh-CN"/>
        </w:rPr>
      </w:pPr>
    </w:p>
    <w:p w14:paraId="16F89884">
      <w:pPr>
        <w:spacing w:line="360" w:lineRule="auto"/>
        <w:jc w:val="center"/>
        <w:rPr>
          <w:rFonts w:hint="eastAsia" w:ascii="仿宋" w:hAnsi="仿宋" w:eastAsia="仿宋" w:cs="仿宋"/>
          <w:b/>
          <w:color w:val="auto"/>
          <w:sz w:val="44"/>
          <w:lang w:val="en-US" w:eastAsia="zh-CN"/>
        </w:rPr>
      </w:pPr>
    </w:p>
    <w:p w14:paraId="2BACE096">
      <w:pPr>
        <w:spacing w:line="360" w:lineRule="auto"/>
        <w:jc w:val="center"/>
        <w:rPr>
          <w:rFonts w:hint="eastAsia" w:ascii="仿宋" w:hAnsi="仿宋" w:eastAsia="仿宋" w:cs="仿宋"/>
          <w:b/>
          <w:color w:val="auto"/>
          <w:sz w:val="44"/>
          <w:lang w:val="en-US" w:eastAsia="zh-CN"/>
        </w:rPr>
      </w:pPr>
    </w:p>
    <w:p w14:paraId="1A09CCCD">
      <w:pPr>
        <w:spacing w:line="360" w:lineRule="auto"/>
        <w:jc w:val="center"/>
        <w:rPr>
          <w:rFonts w:hint="eastAsia" w:ascii="仿宋" w:hAnsi="仿宋" w:eastAsia="仿宋" w:cs="仿宋"/>
          <w:b/>
          <w:color w:val="auto"/>
          <w:sz w:val="44"/>
          <w:lang w:val="en-US" w:eastAsia="zh-CN"/>
        </w:rPr>
      </w:pPr>
    </w:p>
    <w:p w14:paraId="178EEF47">
      <w:pPr>
        <w:spacing w:line="360" w:lineRule="auto"/>
        <w:jc w:val="center"/>
        <w:rPr>
          <w:rFonts w:hint="eastAsia" w:ascii="仿宋" w:hAnsi="仿宋" w:eastAsia="仿宋" w:cs="仿宋"/>
          <w:b/>
          <w:color w:val="auto"/>
          <w:sz w:val="44"/>
          <w:lang w:val="en-US" w:eastAsia="zh-CN"/>
        </w:rPr>
      </w:pPr>
    </w:p>
    <w:p w14:paraId="67492C28">
      <w:pPr>
        <w:spacing w:line="360" w:lineRule="auto"/>
        <w:jc w:val="center"/>
        <w:rPr>
          <w:rFonts w:hint="eastAsia" w:ascii="仿宋" w:hAnsi="仿宋" w:eastAsia="仿宋" w:cs="仿宋"/>
          <w:b/>
          <w:color w:val="auto"/>
          <w:sz w:val="44"/>
          <w:lang w:val="en-US" w:eastAsia="zh-CN"/>
        </w:rPr>
      </w:pPr>
    </w:p>
    <w:p w14:paraId="6B8A0D71">
      <w:pPr>
        <w:spacing w:line="360" w:lineRule="auto"/>
        <w:jc w:val="center"/>
        <w:rPr>
          <w:rFonts w:hint="eastAsia" w:ascii="仿宋" w:hAnsi="仿宋" w:eastAsia="仿宋" w:cs="仿宋"/>
          <w:b/>
          <w:color w:val="auto"/>
          <w:sz w:val="44"/>
        </w:rPr>
      </w:pPr>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657AF1E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1DE889E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年度液碱采购 </w:t>
      </w:r>
      <w:r>
        <w:rPr>
          <w:rFonts w:hint="eastAsia" w:ascii="仿宋" w:hAnsi="仿宋" w:eastAsia="仿宋" w:cs="仿宋"/>
          <w:color w:val="auto"/>
          <w:sz w:val="30"/>
          <w:szCs w:val="30"/>
          <w:u w:val="none"/>
          <w:lang w:val="en-US" w:eastAsia="zh-CN"/>
        </w:rPr>
        <w:t>项目。</w:t>
      </w:r>
    </w:p>
    <w:tbl>
      <w:tblPr>
        <w:tblStyle w:val="13"/>
        <w:tblW w:w="5228" w:type="pct"/>
        <w:jc w:val="center"/>
        <w:tblLayout w:type="fixed"/>
        <w:tblCellMar>
          <w:top w:w="0" w:type="dxa"/>
          <w:left w:w="108" w:type="dxa"/>
          <w:bottom w:w="0" w:type="dxa"/>
          <w:right w:w="108" w:type="dxa"/>
        </w:tblCellMar>
      </w:tblPr>
      <w:tblGrid>
        <w:gridCol w:w="758"/>
        <w:gridCol w:w="1460"/>
        <w:gridCol w:w="3398"/>
        <w:gridCol w:w="1101"/>
        <w:gridCol w:w="866"/>
        <w:gridCol w:w="981"/>
        <w:gridCol w:w="1149"/>
      </w:tblGrid>
      <w:tr w14:paraId="21CC8D02">
        <w:tblPrEx>
          <w:tblCellMar>
            <w:top w:w="0" w:type="dxa"/>
            <w:left w:w="108" w:type="dxa"/>
            <w:bottom w:w="0" w:type="dxa"/>
            <w:right w:w="108" w:type="dxa"/>
          </w:tblCellMar>
        </w:tblPrEx>
        <w:trPr>
          <w:trHeight w:val="467"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419A80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07CB3E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398" w:type="dxa"/>
            <w:tcBorders>
              <w:top w:val="single" w:color="000000" w:sz="4" w:space="0"/>
              <w:left w:val="single" w:color="000000" w:sz="4" w:space="0"/>
              <w:bottom w:val="single" w:color="000000" w:sz="4" w:space="0"/>
              <w:right w:val="single" w:color="000000" w:sz="4" w:space="0"/>
            </w:tcBorders>
            <w:noWrap/>
            <w:vAlign w:val="center"/>
          </w:tcPr>
          <w:p w14:paraId="687E393D">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39BA6D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DE9C1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9512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795A71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163CFD95">
        <w:tblPrEx>
          <w:tblCellMar>
            <w:top w:w="0" w:type="dxa"/>
            <w:left w:w="108" w:type="dxa"/>
            <w:bottom w:w="0" w:type="dxa"/>
            <w:right w:w="108" w:type="dxa"/>
          </w:tblCellMar>
        </w:tblPrEx>
        <w:trPr>
          <w:trHeight w:val="1623"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74A4AF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AC45B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p>
        </w:tc>
        <w:tc>
          <w:tcPr>
            <w:tcW w:w="3398" w:type="dxa"/>
            <w:tcBorders>
              <w:top w:val="single" w:color="000000" w:sz="4" w:space="0"/>
              <w:left w:val="single" w:color="000000" w:sz="4" w:space="0"/>
              <w:bottom w:val="single" w:color="000000" w:sz="4" w:space="0"/>
              <w:right w:val="single" w:color="000000" w:sz="4" w:space="0"/>
            </w:tcBorders>
            <w:noWrap w:val="0"/>
            <w:vAlign w:val="center"/>
          </w:tcPr>
          <w:p w14:paraId="1D7903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F3363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3CBF3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61FA0C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666FA97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5FC84774">
      <w:pPr>
        <w:pStyle w:val="9"/>
        <w:rPr>
          <w:rFonts w:hint="eastAsia" w:ascii="仿宋" w:hAnsi="仿宋" w:eastAsia="仿宋" w:cs="仿宋"/>
          <w:color w:val="auto"/>
        </w:rPr>
      </w:pPr>
    </w:p>
    <w:p w14:paraId="5EE6A5F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报价如下：（</w:t>
      </w:r>
      <w:r>
        <w:rPr>
          <w:rFonts w:hint="eastAsia" w:ascii="仿宋" w:hAnsi="仿宋" w:eastAsia="仿宋" w:cs="仿宋"/>
          <w:color w:val="auto"/>
          <w:sz w:val="30"/>
          <w:szCs w:val="30"/>
          <w:highlight w:val="none"/>
          <w:lang w:eastAsia="zh-CN"/>
        </w:rPr>
        <w:t>总金额</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元，税率为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 %）</w:t>
      </w:r>
    </w:p>
    <w:p w14:paraId="27F5755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相关要求：</w:t>
      </w:r>
    </w:p>
    <w:p w14:paraId="14C4C661">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highlight w:val="none"/>
          <w:lang w:eastAsia="zh-CN"/>
        </w:rPr>
        <w:t>付款方式：</w:t>
      </w:r>
      <w:r>
        <w:rPr>
          <w:rFonts w:hint="eastAsia" w:ascii="仿宋" w:hAnsi="仿宋" w:eastAsia="仿宋" w:cs="仿宋"/>
          <w:sz w:val="30"/>
          <w:szCs w:val="30"/>
          <w:highlight w:val="none"/>
          <w:lang w:val="en-US" w:eastAsia="zh-CN"/>
        </w:rPr>
        <w:t>每次送货完成后，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687EAABE">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6223483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385701BE">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B905EC1">
      <w:pPr>
        <w:snapToGrid w:val="0"/>
        <w:ind w:firstLine="480" w:firstLineChars="200"/>
        <w:jc w:val="right"/>
        <w:rPr>
          <w:rFonts w:hint="eastAsia" w:ascii="仿宋" w:hAnsi="仿宋" w:eastAsia="仿宋" w:cs="仿宋"/>
          <w:color w:val="auto"/>
          <w:sz w:val="24"/>
          <w:szCs w:val="24"/>
        </w:rPr>
      </w:pPr>
    </w:p>
    <w:p w14:paraId="6A63DBA1">
      <w:pPr>
        <w:snapToGrid w:val="0"/>
        <w:ind w:firstLine="480" w:firstLineChars="200"/>
        <w:jc w:val="right"/>
        <w:rPr>
          <w:rFonts w:hint="eastAsia" w:ascii="仿宋" w:hAnsi="仿宋" w:eastAsia="仿宋" w:cs="仿宋"/>
          <w:color w:val="auto"/>
          <w:sz w:val="24"/>
          <w:szCs w:val="24"/>
        </w:rPr>
      </w:pPr>
    </w:p>
    <w:p w14:paraId="572BD22C">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42BB72B6">
      <w:pPr>
        <w:wordWrap w:val="0"/>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7D1B629">
      <w:pPr>
        <w:spacing w:line="480" w:lineRule="auto"/>
        <w:jc w:val="left"/>
        <w:outlineLvl w:val="0"/>
        <w:rPr>
          <w:rFonts w:hint="eastAsia" w:ascii="仿宋" w:hAnsi="仿宋" w:eastAsia="仿宋" w:cs="仿宋"/>
          <w:b/>
          <w:spacing w:val="-2"/>
          <w:sz w:val="30"/>
        </w:rPr>
      </w:pPr>
      <w:bookmarkStart w:id="18" w:name="_Toc108839328"/>
      <w:bookmarkStart w:id="19" w:name="_Toc103165678"/>
      <w:bookmarkStart w:id="20" w:name="_Toc29413"/>
      <w:r>
        <w:rPr>
          <w:rStyle w:val="20"/>
          <w:rFonts w:hint="eastAsia" w:ascii="仿宋" w:hAnsi="仿宋" w:eastAsia="仿宋" w:cs="仿宋"/>
          <w:sz w:val="30"/>
        </w:rPr>
        <w:t>附件</w:t>
      </w:r>
      <w:bookmarkEnd w:id="18"/>
      <w:bookmarkEnd w:id="19"/>
      <w:r>
        <w:rPr>
          <w:rStyle w:val="20"/>
          <w:rFonts w:hint="eastAsia" w:ascii="仿宋" w:hAnsi="仿宋" w:eastAsia="仿宋" w:cs="仿宋"/>
          <w:sz w:val="30"/>
        </w:rPr>
        <w:t>三</w:t>
      </w:r>
      <w:bookmarkEnd w:id="20"/>
    </w:p>
    <w:p w14:paraId="03F47F1F">
      <w:pPr>
        <w:snapToGrid w:val="0"/>
        <w:ind w:firstLine="1926" w:firstLineChars="600"/>
        <w:jc w:val="left"/>
        <w:rPr>
          <w:rFonts w:hint="eastAsia" w:ascii="仿宋" w:hAnsi="仿宋" w:eastAsia="仿宋" w:cs="仿宋"/>
          <w:b/>
          <w:spacing w:val="40"/>
          <w:sz w:val="24"/>
          <w:szCs w:val="24"/>
        </w:rPr>
      </w:pPr>
    </w:p>
    <w:p w14:paraId="362D6D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1BE16A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102BD792">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年度液碱采购项目</w:t>
      </w:r>
      <w:r>
        <w:rPr>
          <w:rFonts w:hint="eastAsia" w:ascii="仿宋" w:hAnsi="仿宋" w:eastAsia="仿宋" w:cs="仿宋"/>
          <w:sz w:val="28"/>
          <w:szCs w:val="28"/>
        </w:rPr>
        <w:t>询价采购，并作如下承诺：</w:t>
      </w:r>
    </w:p>
    <w:p w14:paraId="1E4734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0A9419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C00477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0CCCDE6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402F9AC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22AD9E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171E02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69206E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46831797">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4701BAE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6D22D2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3A121E3B">
      <w:pPr>
        <w:pStyle w:val="11"/>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C772">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2E77B0A4">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zExMmNlZTllZmYzYjIzZDNlN2M3MDhjZjk3N2IifQ=="/>
  </w:docVars>
  <w:rsids>
    <w:rsidRoot w:val="1297576D"/>
    <w:rsid w:val="0029396E"/>
    <w:rsid w:val="003A657B"/>
    <w:rsid w:val="003D1171"/>
    <w:rsid w:val="004B4DC0"/>
    <w:rsid w:val="00517D5D"/>
    <w:rsid w:val="005926A3"/>
    <w:rsid w:val="008746A5"/>
    <w:rsid w:val="00B574EC"/>
    <w:rsid w:val="01D22213"/>
    <w:rsid w:val="02834D04"/>
    <w:rsid w:val="038D5656"/>
    <w:rsid w:val="04464BDF"/>
    <w:rsid w:val="04605697"/>
    <w:rsid w:val="05D22118"/>
    <w:rsid w:val="05EC05B3"/>
    <w:rsid w:val="06057AB3"/>
    <w:rsid w:val="067A3460"/>
    <w:rsid w:val="076328DA"/>
    <w:rsid w:val="08186607"/>
    <w:rsid w:val="08323D9B"/>
    <w:rsid w:val="083A3947"/>
    <w:rsid w:val="08F93082"/>
    <w:rsid w:val="097479E0"/>
    <w:rsid w:val="0A0C6ADD"/>
    <w:rsid w:val="0A32752C"/>
    <w:rsid w:val="0A9D29B8"/>
    <w:rsid w:val="0B237EC8"/>
    <w:rsid w:val="0B2C6C02"/>
    <w:rsid w:val="0BC12699"/>
    <w:rsid w:val="0BCC31F9"/>
    <w:rsid w:val="0C5A16A4"/>
    <w:rsid w:val="0DC35837"/>
    <w:rsid w:val="0DE61498"/>
    <w:rsid w:val="0ED22627"/>
    <w:rsid w:val="0FF5036F"/>
    <w:rsid w:val="110C39D4"/>
    <w:rsid w:val="1297576D"/>
    <w:rsid w:val="12BF4C87"/>
    <w:rsid w:val="12E70A09"/>
    <w:rsid w:val="15341747"/>
    <w:rsid w:val="164F6705"/>
    <w:rsid w:val="16646293"/>
    <w:rsid w:val="16FE5921"/>
    <w:rsid w:val="17507F90"/>
    <w:rsid w:val="17B042A1"/>
    <w:rsid w:val="1A2B7D96"/>
    <w:rsid w:val="1B25743C"/>
    <w:rsid w:val="1BD33B78"/>
    <w:rsid w:val="1BEC2FB3"/>
    <w:rsid w:val="1CDA4664"/>
    <w:rsid w:val="1CE262BC"/>
    <w:rsid w:val="1D6D770B"/>
    <w:rsid w:val="1E1A21EF"/>
    <w:rsid w:val="203B090D"/>
    <w:rsid w:val="21135480"/>
    <w:rsid w:val="212C3971"/>
    <w:rsid w:val="214D7086"/>
    <w:rsid w:val="21836286"/>
    <w:rsid w:val="21BA7E4E"/>
    <w:rsid w:val="2237459C"/>
    <w:rsid w:val="22DF5956"/>
    <w:rsid w:val="22ED7F5E"/>
    <w:rsid w:val="231F50B3"/>
    <w:rsid w:val="24130D0C"/>
    <w:rsid w:val="24937D46"/>
    <w:rsid w:val="259E2C64"/>
    <w:rsid w:val="260706AD"/>
    <w:rsid w:val="26F76768"/>
    <w:rsid w:val="27AC61A6"/>
    <w:rsid w:val="27FE02E6"/>
    <w:rsid w:val="281F51A8"/>
    <w:rsid w:val="28C57566"/>
    <w:rsid w:val="29084622"/>
    <w:rsid w:val="29F704EF"/>
    <w:rsid w:val="2AC220DE"/>
    <w:rsid w:val="2ADB5E21"/>
    <w:rsid w:val="2ADF08BA"/>
    <w:rsid w:val="2B603075"/>
    <w:rsid w:val="2C305EB2"/>
    <w:rsid w:val="2C547C73"/>
    <w:rsid w:val="2CD9238D"/>
    <w:rsid w:val="2E003054"/>
    <w:rsid w:val="2E012585"/>
    <w:rsid w:val="2EB2531B"/>
    <w:rsid w:val="2F28513F"/>
    <w:rsid w:val="2F3D045F"/>
    <w:rsid w:val="2F6F3EAC"/>
    <w:rsid w:val="2F7D3F84"/>
    <w:rsid w:val="2F844FB7"/>
    <w:rsid w:val="30030652"/>
    <w:rsid w:val="30256074"/>
    <w:rsid w:val="302C4175"/>
    <w:rsid w:val="304A1F48"/>
    <w:rsid w:val="31713FF6"/>
    <w:rsid w:val="32463470"/>
    <w:rsid w:val="32B04D2F"/>
    <w:rsid w:val="33862CBD"/>
    <w:rsid w:val="338F6EF0"/>
    <w:rsid w:val="33A35EAC"/>
    <w:rsid w:val="345077FD"/>
    <w:rsid w:val="3464504B"/>
    <w:rsid w:val="34E00D83"/>
    <w:rsid w:val="34E40873"/>
    <w:rsid w:val="36216F0D"/>
    <w:rsid w:val="36316A75"/>
    <w:rsid w:val="36C14165"/>
    <w:rsid w:val="36ED02B2"/>
    <w:rsid w:val="37DB73A7"/>
    <w:rsid w:val="389D7311"/>
    <w:rsid w:val="398E418A"/>
    <w:rsid w:val="3996009B"/>
    <w:rsid w:val="3997709B"/>
    <w:rsid w:val="39A55AE7"/>
    <w:rsid w:val="3A351BE0"/>
    <w:rsid w:val="3AFB2B32"/>
    <w:rsid w:val="3B0953A4"/>
    <w:rsid w:val="3C0B0C04"/>
    <w:rsid w:val="3C302F1C"/>
    <w:rsid w:val="3C8719BD"/>
    <w:rsid w:val="3CE46170"/>
    <w:rsid w:val="3D431CCA"/>
    <w:rsid w:val="3D7933CA"/>
    <w:rsid w:val="3DA70031"/>
    <w:rsid w:val="3DAC3CC7"/>
    <w:rsid w:val="3E16524F"/>
    <w:rsid w:val="3EA30F9B"/>
    <w:rsid w:val="3F2D02B4"/>
    <w:rsid w:val="3F7C50B1"/>
    <w:rsid w:val="40543C97"/>
    <w:rsid w:val="406B2371"/>
    <w:rsid w:val="407E15A7"/>
    <w:rsid w:val="408548B8"/>
    <w:rsid w:val="40AA3B81"/>
    <w:rsid w:val="411C5733"/>
    <w:rsid w:val="417112FA"/>
    <w:rsid w:val="42446B53"/>
    <w:rsid w:val="42D57A4D"/>
    <w:rsid w:val="436A096E"/>
    <w:rsid w:val="440E68FF"/>
    <w:rsid w:val="44544A76"/>
    <w:rsid w:val="449544C5"/>
    <w:rsid w:val="44A55070"/>
    <w:rsid w:val="45225AF9"/>
    <w:rsid w:val="45530393"/>
    <w:rsid w:val="45750E93"/>
    <w:rsid w:val="469F7AF8"/>
    <w:rsid w:val="475812CD"/>
    <w:rsid w:val="475D1115"/>
    <w:rsid w:val="478F3581"/>
    <w:rsid w:val="47B96D86"/>
    <w:rsid w:val="47D615F1"/>
    <w:rsid w:val="47D93555"/>
    <w:rsid w:val="48034DA7"/>
    <w:rsid w:val="486F4BB5"/>
    <w:rsid w:val="48A60514"/>
    <w:rsid w:val="48DA768F"/>
    <w:rsid w:val="48E14418"/>
    <w:rsid w:val="48FB790A"/>
    <w:rsid w:val="491635D4"/>
    <w:rsid w:val="492A0748"/>
    <w:rsid w:val="49E7480F"/>
    <w:rsid w:val="4A3A7820"/>
    <w:rsid w:val="4AD818E7"/>
    <w:rsid w:val="4AF173EE"/>
    <w:rsid w:val="4BEA681C"/>
    <w:rsid w:val="4C2F1B9C"/>
    <w:rsid w:val="4C870D35"/>
    <w:rsid w:val="4D2832EB"/>
    <w:rsid w:val="4DB81983"/>
    <w:rsid w:val="4DF66F25"/>
    <w:rsid w:val="4E376DB9"/>
    <w:rsid w:val="4E716394"/>
    <w:rsid w:val="4ECC39F8"/>
    <w:rsid w:val="4F0A3ECF"/>
    <w:rsid w:val="4F595384"/>
    <w:rsid w:val="4F7F3CCA"/>
    <w:rsid w:val="502844C8"/>
    <w:rsid w:val="51D845E4"/>
    <w:rsid w:val="52341DDD"/>
    <w:rsid w:val="523A017B"/>
    <w:rsid w:val="531111FC"/>
    <w:rsid w:val="532D4FC8"/>
    <w:rsid w:val="533444FB"/>
    <w:rsid w:val="536F3BBC"/>
    <w:rsid w:val="55C54FE9"/>
    <w:rsid w:val="55E07717"/>
    <w:rsid w:val="56397366"/>
    <w:rsid w:val="58080247"/>
    <w:rsid w:val="594A0658"/>
    <w:rsid w:val="5950112B"/>
    <w:rsid w:val="59C3293C"/>
    <w:rsid w:val="5A1C766A"/>
    <w:rsid w:val="5CF528AB"/>
    <w:rsid w:val="5D132301"/>
    <w:rsid w:val="5EF258CA"/>
    <w:rsid w:val="5F1E1E73"/>
    <w:rsid w:val="606D4916"/>
    <w:rsid w:val="607E64E9"/>
    <w:rsid w:val="612A3DEE"/>
    <w:rsid w:val="61993E05"/>
    <w:rsid w:val="62B67083"/>
    <w:rsid w:val="63132229"/>
    <w:rsid w:val="63C07045"/>
    <w:rsid w:val="649C599A"/>
    <w:rsid w:val="651B0FEE"/>
    <w:rsid w:val="65305229"/>
    <w:rsid w:val="662D7F1B"/>
    <w:rsid w:val="666E2F33"/>
    <w:rsid w:val="66B027B6"/>
    <w:rsid w:val="671A2875"/>
    <w:rsid w:val="67966EFB"/>
    <w:rsid w:val="67B628F5"/>
    <w:rsid w:val="682119CD"/>
    <w:rsid w:val="69A94E0C"/>
    <w:rsid w:val="6A1A0E79"/>
    <w:rsid w:val="6A2F770C"/>
    <w:rsid w:val="6B10403F"/>
    <w:rsid w:val="6B656B47"/>
    <w:rsid w:val="6B7E1643"/>
    <w:rsid w:val="6C714475"/>
    <w:rsid w:val="6CDB032D"/>
    <w:rsid w:val="6DBD736C"/>
    <w:rsid w:val="6DF45A5A"/>
    <w:rsid w:val="6E160DB8"/>
    <w:rsid w:val="6E5526FF"/>
    <w:rsid w:val="6F2B1820"/>
    <w:rsid w:val="6F2E0DB9"/>
    <w:rsid w:val="6F412F7A"/>
    <w:rsid w:val="6FD1108A"/>
    <w:rsid w:val="707E74C2"/>
    <w:rsid w:val="710D0440"/>
    <w:rsid w:val="716B6D0A"/>
    <w:rsid w:val="71C5585F"/>
    <w:rsid w:val="7207789C"/>
    <w:rsid w:val="720E79AF"/>
    <w:rsid w:val="73A1381E"/>
    <w:rsid w:val="7459468D"/>
    <w:rsid w:val="749131D7"/>
    <w:rsid w:val="756F240E"/>
    <w:rsid w:val="767955ED"/>
    <w:rsid w:val="768B4404"/>
    <w:rsid w:val="77101950"/>
    <w:rsid w:val="779817DA"/>
    <w:rsid w:val="77D476E8"/>
    <w:rsid w:val="77EA1879"/>
    <w:rsid w:val="782A7918"/>
    <w:rsid w:val="79715756"/>
    <w:rsid w:val="7A500C84"/>
    <w:rsid w:val="7A7B08FF"/>
    <w:rsid w:val="7AA165B7"/>
    <w:rsid w:val="7AE21E9E"/>
    <w:rsid w:val="7B09318D"/>
    <w:rsid w:val="7B6004E6"/>
    <w:rsid w:val="7BE14791"/>
    <w:rsid w:val="7C15025C"/>
    <w:rsid w:val="7C4C470C"/>
    <w:rsid w:val="7CD03426"/>
    <w:rsid w:val="7DFA5FDE"/>
    <w:rsid w:val="7E0B3994"/>
    <w:rsid w:val="7F1226AB"/>
    <w:rsid w:val="7F5B6E61"/>
    <w:rsid w:val="7F743CA6"/>
    <w:rsid w:val="7FEF6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autoRedefine/>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1"/>
    <w:pPr>
      <w:spacing w:after="120" w:afterLines="0"/>
    </w:pPr>
  </w:style>
  <w:style w:type="paragraph" w:styleId="5">
    <w:name w:val="Body Text Indent"/>
    <w:basedOn w:val="1"/>
    <w:autoRedefine/>
    <w:qFormat/>
    <w:uiPriority w:val="0"/>
    <w:pPr>
      <w:spacing w:line="480" w:lineRule="auto"/>
      <w:ind w:firstLine="600"/>
    </w:pPr>
    <w:rPr>
      <w:sz w:val="28"/>
    </w:rPr>
  </w:style>
  <w:style w:type="paragraph" w:styleId="6">
    <w:name w:val="Balloon Text"/>
    <w:basedOn w:val="1"/>
    <w:link w:val="24"/>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jc w:val="left"/>
    </w:pPr>
    <w:rPr>
      <w:b/>
      <w:caps/>
    </w:rPr>
  </w:style>
  <w:style w:type="paragraph" w:styleId="10">
    <w:name w:val="Title"/>
    <w:basedOn w:val="1"/>
    <w:autoRedefine/>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autoRedefine/>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autoRedefine/>
    <w:qFormat/>
    <w:uiPriority w:val="99"/>
    <w:rPr>
      <w:color w:val="0000FF"/>
      <w:u w:val="single"/>
    </w:rPr>
  </w:style>
  <w:style w:type="character" w:styleId="18">
    <w:name w:val="annotation reference"/>
    <w:basedOn w:val="15"/>
    <w:autoRedefine/>
    <w:qFormat/>
    <w:uiPriority w:val="0"/>
    <w:rPr>
      <w:sz w:val="21"/>
      <w:szCs w:val="21"/>
    </w:rPr>
  </w:style>
  <w:style w:type="paragraph" w:customStyle="1" w:styleId="19">
    <w:name w:val="正文文字缩进"/>
    <w:basedOn w:val="1"/>
    <w:autoRedefine/>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autoRedefine/>
    <w:qFormat/>
    <w:uiPriority w:val="0"/>
    <w:rPr>
      <w:rFonts w:eastAsia="宋体"/>
      <w:b/>
      <w:spacing w:val="-2"/>
      <w:sz w:val="24"/>
      <w:lang w:val="en-US" w:eastAsia="zh-CN"/>
    </w:rPr>
  </w:style>
  <w:style w:type="paragraph" w:customStyle="1" w:styleId="21">
    <w:name w:val="一、标题"/>
    <w:basedOn w:val="1"/>
    <w:autoRedefine/>
    <w:qFormat/>
    <w:uiPriority w:val="0"/>
    <w:rPr>
      <w:b/>
      <w:sz w:val="28"/>
    </w:rPr>
  </w:style>
  <w:style w:type="paragraph" w:styleId="22">
    <w:name w:val="List Paragraph"/>
    <w:basedOn w:val="1"/>
    <w:autoRedefine/>
    <w:qFormat/>
    <w:uiPriority w:val="34"/>
    <w:pPr>
      <w:ind w:firstLine="420" w:firstLineChars="200"/>
    </w:pPr>
  </w:style>
  <w:style w:type="character" w:customStyle="1" w:styleId="23">
    <w:name w:val="页眉 Char"/>
    <w:basedOn w:val="15"/>
    <w:link w:val="8"/>
    <w:autoRedefine/>
    <w:qFormat/>
    <w:uiPriority w:val="0"/>
    <w:rPr>
      <w:kern w:val="2"/>
      <w:sz w:val="18"/>
      <w:szCs w:val="18"/>
    </w:rPr>
  </w:style>
  <w:style w:type="character" w:customStyle="1" w:styleId="24">
    <w:name w:val="批注框文本 Char"/>
    <w:basedOn w:val="15"/>
    <w:link w:val="6"/>
    <w:autoRedefine/>
    <w:qFormat/>
    <w:uiPriority w:val="0"/>
    <w:rPr>
      <w:kern w:val="2"/>
      <w:sz w:val="18"/>
      <w:szCs w:val="18"/>
    </w:rPr>
  </w:style>
  <w:style w:type="character" w:customStyle="1" w:styleId="25">
    <w:name w:val="font31"/>
    <w:basedOn w:val="15"/>
    <w:autoRedefine/>
    <w:qFormat/>
    <w:uiPriority w:val="0"/>
    <w:rPr>
      <w:rFonts w:hint="eastAsia" w:ascii="宋体" w:hAnsi="宋体" w:eastAsia="宋体" w:cs="宋体"/>
      <w:color w:val="000000"/>
      <w:sz w:val="22"/>
      <w:szCs w:val="22"/>
      <w:u w:val="none"/>
    </w:rPr>
  </w:style>
  <w:style w:type="character" w:customStyle="1" w:styleId="26">
    <w:name w:val="font51"/>
    <w:basedOn w:val="15"/>
    <w:autoRedefine/>
    <w:qFormat/>
    <w:uiPriority w:val="0"/>
    <w:rPr>
      <w:rFonts w:hint="default" w:ascii="Times New Roman" w:hAnsi="Times New Roman" w:cs="Times New Roman"/>
      <w:color w:val="000000"/>
      <w:sz w:val="22"/>
      <w:szCs w:val="22"/>
      <w:u w:val="none"/>
    </w:rPr>
  </w:style>
  <w:style w:type="character" w:customStyle="1" w:styleId="27">
    <w:name w:val="font41"/>
    <w:basedOn w:val="15"/>
    <w:autoRedefine/>
    <w:qFormat/>
    <w:uiPriority w:val="0"/>
    <w:rPr>
      <w:rFonts w:ascii="仿宋_GB2312" w:eastAsia="仿宋_GB2312" w:cs="仿宋_GB2312"/>
      <w:color w:val="000000"/>
      <w:sz w:val="22"/>
      <w:szCs w:val="22"/>
      <w:u w:val="none"/>
    </w:rPr>
  </w:style>
  <w:style w:type="character" w:customStyle="1" w:styleId="28">
    <w:name w:val="font21"/>
    <w:basedOn w:val="15"/>
    <w:autoRedefine/>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character" w:customStyle="1" w:styleId="30">
    <w:name w:val="font11"/>
    <w:basedOn w:val="15"/>
    <w:autoRedefine/>
    <w:qFormat/>
    <w:uiPriority w:val="0"/>
    <w:rPr>
      <w:rFonts w:hint="eastAsia" w:ascii="宋体" w:hAnsi="宋体" w:eastAsia="宋体" w:cs="宋体"/>
      <w:color w:val="000000"/>
      <w:sz w:val="24"/>
      <w:szCs w:val="24"/>
      <w:u w:val="none"/>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autoRedefine/>
    <w:qFormat/>
    <w:uiPriority w:val="0"/>
    <w:rPr>
      <w:rFonts w:ascii="宋体" w:hAnsi="宋体" w:eastAsia="宋体" w:cs="宋体"/>
      <w:color w:val="000000"/>
      <w:sz w:val="20"/>
      <w:szCs w:val="20"/>
      <w:u w:val="none"/>
    </w:rPr>
  </w:style>
  <w:style w:type="character" w:customStyle="1" w:styleId="33">
    <w:name w:val="font71"/>
    <w:basedOn w:val="15"/>
    <w:autoRedefine/>
    <w:qFormat/>
    <w:uiPriority w:val="0"/>
    <w:rPr>
      <w:rFonts w:hint="eastAsia" w:ascii="仿宋" w:hAnsi="仿宋" w:eastAsia="仿宋" w:cs="仿宋"/>
      <w:color w:val="000000"/>
      <w:sz w:val="22"/>
      <w:szCs w:val="22"/>
      <w:u w:val="none"/>
    </w:rPr>
  </w:style>
  <w:style w:type="paragraph" w:customStyle="1" w:styleId="34">
    <w:name w:val="样式1"/>
    <w:basedOn w:val="1"/>
    <w:autoRedefine/>
    <w:qFormat/>
    <w:uiPriority w:val="0"/>
    <w:pPr>
      <w:spacing w:line="240" w:lineRule="exact"/>
    </w:pPr>
    <w:rPr>
      <w:rFonts w:ascii="宋体" w:hAnsi="宋体" w:eastAsia="宋体"/>
      <w:sz w:val="24"/>
      <w:szCs w:val="24"/>
    </w:rPr>
  </w:style>
  <w:style w:type="character" w:customStyle="1" w:styleId="35">
    <w:name w:val="标题 1 Char"/>
    <w:link w:val="2"/>
    <w:autoRedefine/>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7">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8017</Words>
  <Characters>8271</Characters>
  <Lines>53</Lines>
  <Paragraphs>15</Paragraphs>
  <TotalTime>4</TotalTime>
  <ScaleCrop>false</ScaleCrop>
  <LinksUpToDate>false</LinksUpToDate>
  <CharactersWithSpaces>9512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2025-04-09T02:34:00Z</cp:lastPrinted>
  <dcterms:modified xsi:type="dcterms:W3CDTF">2025-09-29T00:44:36Z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558AD1AC5C2848FF894AAB524000F477_13</vt:lpwstr>
  </property>
  <property fmtid="{D5CDD505-2E9C-101B-9397-08002B2CF9AE}" pid="4" name="KSOTemplateDocerSaveRecord">
    <vt:lpwstr>eyJoZGlkIjoiMTJhMzY5NTZlMjQ5NzNjMzkwZmE1ZjFmZjcxYmM5YmYiLCJ1c2VySWQiOiI0MTkyNjk4ODkifQ==</vt:lpwstr>
  </property>
</Properties>
</file>