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72"/>
        </w:rPr>
      </w:pPr>
    </w:p>
    <w:p>
      <w:pPr>
        <w:jc w:val="center"/>
        <w:rPr>
          <w:rFonts w:hint="eastAsia" w:ascii="仿宋" w:hAnsi="仿宋" w:eastAsia="仿宋" w:cs="仿宋"/>
          <w:sz w:val="72"/>
        </w:rPr>
      </w:pPr>
    </w:p>
    <w:p>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pPr>
        <w:pStyle w:val="12"/>
      </w:pPr>
    </w:p>
    <w:p>
      <w:pPr>
        <w:jc w:val="center"/>
        <w:rPr>
          <w:rFonts w:hint="default" w:ascii="仿宋_GB2312" w:hAnsi="宋体" w:eastAsia="仿宋_GB2312"/>
          <w:b/>
          <w:sz w:val="52"/>
          <w:szCs w:val="52"/>
          <w:lang w:val="en-US" w:eastAsia="zh-CN"/>
        </w:rPr>
      </w:pPr>
      <w:r>
        <w:rPr>
          <w:rFonts w:hint="eastAsia" w:ascii="仿宋_GB2312" w:hAnsi="宋体" w:eastAsia="仿宋_GB2312"/>
          <w:b/>
          <w:sz w:val="52"/>
          <w:szCs w:val="52"/>
          <w:lang w:val="en-US" w:eastAsia="zh-CN"/>
        </w:rPr>
        <w:t>叉车采购项目</w:t>
      </w:r>
    </w:p>
    <w:p>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pPr>
        <w:jc w:val="center"/>
        <w:rPr>
          <w:rFonts w:hint="eastAsia" w:ascii="仿宋" w:hAnsi="仿宋" w:eastAsia="仿宋" w:cs="仿宋"/>
          <w:b/>
          <w:sz w:val="48"/>
          <w:szCs w:val="48"/>
        </w:rPr>
      </w:pPr>
    </w:p>
    <w:p>
      <w:pPr>
        <w:spacing w:line="360" w:lineRule="auto"/>
        <w:rPr>
          <w:rFonts w:hint="eastAsia" w:ascii="仿宋" w:hAnsi="仿宋" w:eastAsia="仿宋" w:cs="仿宋"/>
          <w:sz w:val="40"/>
          <w:szCs w:val="48"/>
        </w:rPr>
      </w:pPr>
    </w:p>
    <w:p>
      <w:pPr>
        <w:spacing w:line="360" w:lineRule="auto"/>
        <w:rPr>
          <w:rFonts w:hint="eastAsia" w:ascii="仿宋" w:hAnsi="仿宋" w:eastAsia="仿宋" w:cs="仿宋"/>
          <w:sz w:val="40"/>
          <w:szCs w:val="48"/>
        </w:rPr>
      </w:pPr>
    </w:p>
    <w:p>
      <w:pPr>
        <w:spacing w:line="360" w:lineRule="auto"/>
        <w:rPr>
          <w:rFonts w:hint="eastAsia" w:ascii="仿宋" w:hAnsi="仿宋" w:eastAsia="仿宋" w:cs="仿宋"/>
          <w:sz w:val="40"/>
          <w:szCs w:val="48"/>
        </w:rPr>
      </w:pPr>
    </w:p>
    <w:p>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SX-CG-CC-2402024 </w:t>
      </w:r>
    </w:p>
    <w:p>
      <w:pPr>
        <w:spacing w:line="360" w:lineRule="auto"/>
        <w:ind w:firstLine="80" w:firstLineChars="25"/>
        <w:jc w:val="center"/>
        <w:rPr>
          <w:rFonts w:hint="eastAsia" w:ascii="仿宋" w:hAnsi="仿宋" w:eastAsia="仿宋" w:cs="仿宋"/>
          <w:sz w:val="32"/>
          <w:szCs w:val="32"/>
          <w:u w:val="single"/>
          <w:lang w:val="en-US" w:eastAsia="zh-CN"/>
        </w:rPr>
      </w:pPr>
      <w:bookmarkStart w:id="1" w:name="OLE_LINK52"/>
      <w:bookmarkStart w:id="2" w:name="OLE_LINK53"/>
      <w:r>
        <w:rPr>
          <w:rFonts w:hint="eastAsia" w:ascii="仿宋" w:hAnsi="仿宋" w:eastAsia="仿宋" w:cs="仿宋"/>
          <w:sz w:val="32"/>
          <w:szCs w:val="32"/>
        </w:rPr>
        <w:t>项目名称：</w:t>
      </w:r>
      <w:bookmarkEnd w:id="1"/>
      <w:bookmarkEnd w:id="2"/>
      <w:r>
        <w:rPr>
          <w:rFonts w:hint="eastAsia" w:ascii="仿宋" w:hAnsi="仿宋" w:eastAsia="仿宋" w:cs="仿宋"/>
          <w:sz w:val="32"/>
          <w:szCs w:val="32"/>
          <w:u w:val="single"/>
          <w:lang w:val="en-US" w:eastAsia="zh-CN"/>
        </w:rPr>
        <w:t xml:space="preserve"> 叉车</w:t>
      </w:r>
      <w:r>
        <w:rPr>
          <w:rFonts w:hint="eastAsia" w:ascii="仿宋" w:hAnsi="仿宋" w:eastAsia="仿宋" w:cs="仿宋"/>
          <w:sz w:val="32"/>
          <w:szCs w:val="32"/>
          <w:u w:val="single"/>
        </w:rPr>
        <w:t>采购</w:t>
      </w:r>
      <w:r>
        <w:rPr>
          <w:rFonts w:hint="eastAsia" w:ascii="仿宋" w:hAnsi="仿宋" w:eastAsia="仿宋" w:cs="仿宋"/>
          <w:sz w:val="32"/>
          <w:szCs w:val="32"/>
          <w:u w:val="single"/>
          <w:lang w:val="en-US" w:eastAsia="zh-CN"/>
        </w:rPr>
        <w:t>项目</w:t>
      </w:r>
    </w:p>
    <w:p>
      <w:pPr>
        <w:rPr>
          <w:rFonts w:hint="eastAsia" w:ascii="仿宋" w:hAnsi="仿宋" w:eastAsia="仿宋" w:cs="仿宋"/>
          <w:sz w:val="84"/>
        </w:rPr>
      </w:pPr>
    </w:p>
    <w:p>
      <w:pPr>
        <w:rPr>
          <w:rFonts w:hint="eastAsia" w:ascii="仿宋" w:hAnsi="仿宋" w:eastAsia="仿宋" w:cs="仿宋"/>
          <w:sz w:val="84"/>
        </w:rPr>
      </w:pPr>
    </w:p>
    <w:p>
      <w:pPr>
        <w:rPr>
          <w:rFonts w:hint="eastAsia" w:ascii="仿宋" w:hAnsi="仿宋" w:eastAsia="仿宋" w:cs="仿宋"/>
          <w:sz w:val="84"/>
        </w:rPr>
      </w:pPr>
    </w:p>
    <w:p>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四</w:t>
      </w:r>
      <w:r>
        <w:rPr>
          <w:rFonts w:hint="eastAsia" w:ascii="仿宋" w:hAnsi="仿宋" w:eastAsia="仿宋" w:cs="仿宋"/>
          <w:sz w:val="32"/>
          <w:szCs w:val="32"/>
        </w:rPr>
        <w:t>年</w:t>
      </w:r>
      <w:r>
        <w:rPr>
          <w:rFonts w:hint="eastAsia" w:ascii="仿宋" w:hAnsi="仿宋" w:eastAsia="仿宋" w:cs="仿宋"/>
          <w:sz w:val="32"/>
          <w:szCs w:val="32"/>
          <w:lang w:val="en-US" w:eastAsia="zh-CN"/>
        </w:rPr>
        <w:t>三</w:t>
      </w:r>
      <w:r>
        <w:rPr>
          <w:rFonts w:hint="eastAsia" w:ascii="仿宋" w:hAnsi="仿宋" w:eastAsia="仿宋" w:cs="仿宋"/>
          <w:sz w:val="32"/>
          <w:szCs w:val="32"/>
        </w:rPr>
        <w:t>月</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pPr>
        <w:pStyle w:val="10"/>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6</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10</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11</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15</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15</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16</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18</w:t>
      </w:r>
      <w:r>
        <w:rPr>
          <w:b w:val="0"/>
          <w:bCs/>
          <w:sz w:val="32"/>
          <w:szCs w:val="28"/>
        </w:rPr>
        <w:fldChar w:fldCharType="end"/>
      </w:r>
      <w:r>
        <w:rPr>
          <w:rFonts w:hint="eastAsia" w:ascii="仿宋" w:hAnsi="仿宋" w:eastAsia="仿宋" w:cs="仿宋"/>
          <w:b w:val="0"/>
          <w:bCs/>
          <w:sz w:val="32"/>
          <w:szCs w:val="28"/>
        </w:rPr>
        <w:fldChar w:fldCharType="end"/>
      </w:r>
    </w:p>
    <w:p>
      <w:pPr>
        <w:rPr>
          <w:rFonts w:hint="eastAsia" w:ascii="仿宋" w:hAnsi="仿宋" w:eastAsia="仿宋" w:cs="仿宋"/>
          <w:sz w:val="56"/>
          <w:szCs w:val="32"/>
        </w:rPr>
      </w:pPr>
      <w:r>
        <w:rPr>
          <w:rFonts w:hint="eastAsia" w:ascii="仿宋" w:hAnsi="仿宋" w:eastAsia="仿宋" w:cs="仿宋"/>
          <w:b w:val="0"/>
          <w:bCs/>
          <w:sz w:val="32"/>
          <w:szCs w:val="28"/>
        </w:rPr>
        <w:fldChar w:fldCharType="end"/>
      </w:r>
    </w:p>
    <w:p>
      <w:pPr>
        <w:rPr>
          <w:rFonts w:hint="eastAsia" w:ascii="仿宋" w:hAnsi="仿宋" w:eastAsia="仿宋" w:cs="仿宋"/>
          <w:sz w:val="36"/>
        </w:rPr>
      </w:pPr>
    </w:p>
    <w:p>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3" w:name="_Toc530583921"/>
      <w:bookmarkStart w:id="4" w:name="_Toc530583878"/>
      <w:bookmarkStart w:id="5" w:name="_Toc6995"/>
      <w:r>
        <w:rPr>
          <w:rFonts w:hint="eastAsia" w:ascii="仿宋" w:hAnsi="仿宋" w:eastAsia="仿宋" w:cs="仿宋"/>
          <w:b/>
          <w:snapToGrid w:val="0"/>
          <w:color w:val="000000"/>
          <w:kern w:val="44"/>
          <w:sz w:val="44"/>
          <w:szCs w:val="44"/>
          <w:lang w:val="en-US" w:eastAsia="zh-CN" w:bidi="ar-SA"/>
        </w:rPr>
        <w:t>第一部分   询价公告</w:t>
      </w:r>
      <w:bookmarkEnd w:id="3"/>
      <w:bookmarkEnd w:id="4"/>
      <w:bookmarkEnd w:id="5"/>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因日常生产需要，需采购</w:t>
      </w:r>
      <w:r>
        <w:rPr>
          <w:rFonts w:hint="eastAsia" w:ascii="仿宋" w:hAnsi="仿宋" w:eastAsia="仿宋" w:cs="仿宋"/>
          <w:sz w:val="30"/>
          <w:szCs w:val="30"/>
          <w:lang w:val="en-US" w:eastAsia="zh-CN"/>
        </w:rPr>
        <w:t>叉车</w:t>
      </w:r>
      <w:r>
        <w:rPr>
          <w:rFonts w:hint="eastAsia" w:ascii="仿宋" w:hAnsi="仿宋" w:eastAsia="仿宋" w:cs="仿宋"/>
          <w:sz w:val="30"/>
          <w:szCs w:val="30"/>
        </w:rPr>
        <w:t>一</w:t>
      </w:r>
      <w:r>
        <w:rPr>
          <w:rFonts w:hint="eastAsia" w:ascii="仿宋" w:hAnsi="仿宋" w:eastAsia="仿宋" w:cs="仿宋"/>
          <w:sz w:val="30"/>
          <w:szCs w:val="30"/>
          <w:lang w:val="en-US" w:eastAsia="zh-CN"/>
        </w:rPr>
        <w:t>辆</w:t>
      </w:r>
      <w:r>
        <w:rPr>
          <w:rFonts w:hint="eastAsia" w:ascii="仿宋" w:hAnsi="仿宋" w:eastAsia="仿宋" w:cs="仿宋"/>
          <w:sz w:val="30"/>
          <w:szCs w:val="30"/>
        </w:rPr>
        <w:t>，欢迎符合要求的供应商积极参与。</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SX-CG-CC-2402024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2.采购内容：</w:t>
      </w:r>
    </w:p>
    <w:tbl>
      <w:tblPr>
        <w:tblStyle w:val="13"/>
        <w:tblW w:w="4991" w:type="pct"/>
        <w:jc w:val="center"/>
        <w:tblLayout w:type="autofit"/>
        <w:tblCellMar>
          <w:top w:w="0" w:type="dxa"/>
          <w:left w:w="108" w:type="dxa"/>
          <w:bottom w:w="0" w:type="dxa"/>
          <w:right w:w="108" w:type="dxa"/>
        </w:tblCellMar>
      </w:tblPr>
      <w:tblGrid>
        <w:gridCol w:w="886"/>
        <w:gridCol w:w="1974"/>
        <w:gridCol w:w="2894"/>
        <w:gridCol w:w="907"/>
        <w:gridCol w:w="1304"/>
        <w:gridCol w:w="1304"/>
      </w:tblGrid>
      <w:tr>
        <w:tblPrEx>
          <w:tblCellMar>
            <w:top w:w="0" w:type="dxa"/>
            <w:left w:w="108" w:type="dxa"/>
            <w:bottom w:w="0" w:type="dxa"/>
            <w:right w:w="108" w:type="dxa"/>
          </w:tblCellMar>
        </w:tblPrEx>
        <w:trPr>
          <w:trHeight w:val="90" w:hRule="atLeast"/>
          <w:jc w:val="center"/>
        </w:trPr>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06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156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型号规格</w:t>
            </w:r>
          </w:p>
        </w:tc>
        <w:tc>
          <w:tcPr>
            <w:tcW w:w="4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7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7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限价</w:t>
            </w:r>
          </w:p>
        </w:tc>
      </w:tr>
      <w:tr>
        <w:tblPrEx>
          <w:tblCellMar>
            <w:top w:w="0" w:type="dxa"/>
            <w:left w:w="108" w:type="dxa"/>
            <w:bottom w:w="0" w:type="dxa"/>
            <w:right w:w="108" w:type="dxa"/>
          </w:tblCellMar>
        </w:tblPrEx>
        <w:trPr>
          <w:trHeight w:val="561" w:hRule="atLeast"/>
          <w:jc w:val="center"/>
        </w:trPr>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106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电动锂电叉车</w:t>
            </w:r>
          </w:p>
        </w:tc>
        <w:tc>
          <w:tcPr>
            <w:tcW w:w="15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型号：EFX302额定载荷：3000kg起升高度：3000mm货叉长度：1070mm电池参数：80v/230Ah充电机：35A品牌为中力</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w:t>
            </w:r>
          </w:p>
        </w:tc>
        <w:tc>
          <w:tcPr>
            <w:tcW w:w="7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台</w:t>
            </w:r>
          </w:p>
        </w:tc>
        <w:tc>
          <w:tcPr>
            <w:tcW w:w="7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82500.00</w:t>
            </w:r>
          </w:p>
        </w:tc>
      </w:tr>
    </w:tbl>
    <w:p>
      <w:pPr>
        <w:pStyle w:val="12"/>
        <w:rPr>
          <w:rFonts w:hint="eastAsia"/>
        </w:rPr>
      </w:pP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3.本项目采购总金额限价为</w:t>
      </w:r>
      <w:r>
        <w:rPr>
          <w:rFonts w:hint="eastAsia" w:ascii="仿宋" w:hAnsi="仿宋" w:eastAsia="仿宋" w:cs="仿宋"/>
          <w:sz w:val="30"/>
          <w:szCs w:val="30"/>
          <w:lang w:eastAsia="zh-CN"/>
        </w:rPr>
        <w:t>人民币</w:t>
      </w:r>
      <w:r>
        <w:rPr>
          <w:rFonts w:hint="eastAsia" w:ascii="仿宋" w:hAnsi="仿宋" w:eastAsia="仿宋" w:cs="仿宋"/>
          <w:sz w:val="30"/>
          <w:szCs w:val="30"/>
          <w:lang w:val="en-US" w:eastAsia="zh-CN"/>
        </w:rPr>
        <w:t>捌万贰仟伍佰</w:t>
      </w:r>
      <w:r>
        <w:rPr>
          <w:rFonts w:hint="eastAsia" w:ascii="仿宋" w:hAnsi="仿宋" w:eastAsia="仿宋" w:cs="仿宋"/>
          <w:sz w:val="30"/>
          <w:szCs w:val="30"/>
        </w:rPr>
        <w:t>元。</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1.报价人必须是在中华人民共和国境内注册，具有独立法人资格和独立承担民事责任的能力,；投标人经营范围须包含相关的销售资质。</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6" w:name="_Toc530583880"/>
      <w:bookmarkStart w:id="7" w:name="_Toc530583923"/>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4</w:t>
      </w:r>
      <w:r>
        <w:rPr>
          <w:rFonts w:hint="eastAsia" w:ascii="仿宋_GB2312" w:eastAsia="仿宋_GB2312"/>
          <w:sz w:val="30"/>
          <w:szCs w:val="30"/>
        </w:rPr>
        <w:t>年</w:t>
      </w:r>
      <w:r>
        <w:rPr>
          <w:rFonts w:hint="eastAsia" w:ascii="仿宋_GB2312" w:eastAsia="仿宋_GB2312"/>
          <w:sz w:val="30"/>
          <w:szCs w:val="30"/>
          <w:lang w:val="en-US" w:eastAsia="zh-CN"/>
        </w:rPr>
        <w:t>4月8</w:t>
      </w:r>
      <w:r>
        <w:rPr>
          <w:rFonts w:hint="eastAsia" w:ascii="仿宋_GB2312" w:eastAsia="仿宋_GB2312"/>
          <w:sz w:val="30"/>
          <w:szCs w:val="30"/>
        </w:rPr>
        <w:t>日10:</w:t>
      </w:r>
      <w:r>
        <w:rPr>
          <w:rFonts w:hint="eastAsia" w:ascii="仿宋_GB2312" w:eastAsia="仿宋_GB2312"/>
          <w:sz w:val="30"/>
          <w:szCs w:val="30"/>
          <w:lang w:val="en-US" w:eastAsia="zh-CN"/>
        </w:rPr>
        <w:t>30</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报价文件邮递递交截止时间：以邮寄签收时间为准，因邮寄原因导致报价文件不能如期送达等风险由供应商自行承担。</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2.联系人：王工    联系电话：18367809201</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联系电话：13017709799</w:t>
      </w:r>
    </w:p>
    <w:p>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lang w:val="en-US" w:eastAsia="zh-CN"/>
        </w:rPr>
        <w:t>2024</w:t>
      </w:r>
      <w:r>
        <w:rPr>
          <w:rFonts w:hint="default" w:ascii="仿宋_GB2312" w:eastAsia="仿宋_GB2312"/>
          <w:sz w:val="30"/>
          <w:szCs w:val="30"/>
          <w:lang w:val="en-US"/>
        </w:rPr>
        <w:t>年</w:t>
      </w:r>
      <w:r>
        <w:rPr>
          <w:rFonts w:hint="eastAsia" w:ascii="仿宋_GB2312" w:eastAsia="仿宋_GB2312"/>
          <w:sz w:val="30"/>
          <w:szCs w:val="30"/>
          <w:lang w:val="en-US" w:eastAsia="zh-CN"/>
        </w:rPr>
        <w:t>3月29</w:t>
      </w:r>
      <w:r>
        <w:rPr>
          <w:rFonts w:hint="eastAsia" w:ascii="仿宋_GB2312" w:eastAsia="仿宋_GB2312"/>
          <w:sz w:val="30"/>
          <w:szCs w:val="30"/>
        </w:rPr>
        <w:t>日</w:t>
      </w:r>
    </w:p>
    <w:p>
      <w:pPr>
        <w:pageBreakBefore w:val="0"/>
        <w:kinsoku/>
        <w:wordWrap/>
        <w:topLinePunct w:val="0"/>
        <w:bidi w:val="0"/>
        <w:snapToGrid w:val="0"/>
        <w:spacing w:line="360" w:lineRule="auto"/>
        <w:ind w:firstLine="585"/>
        <w:jc w:val="center"/>
        <w:outlineLvl w:val="0"/>
        <w:rPr>
          <w:rFonts w:ascii="仿宋_GB2312" w:eastAsia="仿宋_GB2312"/>
          <w:snapToGrid w:val="0"/>
          <w:sz w:val="30"/>
          <w:szCs w:val="30"/>
        </w:rPr>
      </w:pPr>
      <w:r>
        <w:rPr>
          <w:rFonts w:hint="eastAsia" w:ascii="仿宋_GB2312" w:eastAsia="仿宋_GB2312"/>
          <w:sz w:val="30"/>
          <w:szCs w:val="30"/>
        </w:rPr>
        <w:br w:type="page"/>
      </w:r>
      <w:bookmarkStart w:id="8" w:name="_Toc530583879"/>
      <w:bookmarkStart w:id="9" w:name="_Toc23057"/>
      <w:bookmarkStart w:id="10" w:name="_Toc530583922"/>
      <w:r>
        <w:rPr>
          <w:rFonts w:hint="eastAsia" w:ascii="仿宋" w:hAnsi="仿宋" w:eastAsia="仿宋" w:cs="仿宋"/>
          <w:b/>
          <w:snapToGrid w:val="0"/>
          <w:color w:val="000000"/>
          <w:kern w:val="44"/>
          <w:sz w:val="44"/>
          <w:szCs w:val="44"/>
          <w:lang w:val="en-US" w:eastAsia="zh-CN" w:bidi="ar-SA"/>
        </w:rPr>
        <w:t>第二部分   采购须知</w:t>
      </w:r>
      <w:bookmarkEnd w:id="8"/>
      <w:bookmarkEnd w:id="9"/>
      <w:bookmarkEnd w:id="10"/>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pPr>
        <w:pageBreakBefore w:val="0"/>
        <w:kinsoku/>
        <w:wordWrap/>
        <w:topLinePunct w:val="0"/>
        <w:bidi w:val="0"/>
        <w:snapToGrid w:val="0"/>
        <w:spacing w:line="360" w:lineRule="auto"/>
        <w:ind w:firstLine="602" w:firstLineChars="200"/>
        <w:jc w:val="left"/>
        <w:outlineLvl w:val="1"/>
        <w:rPr>
          <w:rFonts w:ascii="仿宋_GB2312" w:eastAsia="仿宋_GB2312"/>
          <w:b/>
          <w:bCs/>
          <w:sz w:val="30"/>
          <w:szCs w:val="30"/>
        </w:rPr>
      </w:pPr>
      <w:r>
        <w:rPr>
          <w:rFonts w:hint="eastAsia" w:ascii="仿宋_GB2312" w:eastAsia="仿宋_GB2312"/>
          <w:b/>
          <w:bCs/>
          <w:sz w:val="30"/>
          <w:szCs w:val="30"/>
          <w:lang w:eastAsia="zh-CN"/>
        </w:rPr>
        <w:t>十一、</w:t>
      </w:r>
      <w:r>
        <w:rPr>
          <w:rFonts w:hint="eastAsia" w:ascii="仿宋_GB2312" w:eastAsia="仿宋_GB2312"/>
          <w:b/>
          <w:bCs/>
          <w:sz w:val="30"/>
          <w:szCs w:val="30"/>
        </w:rPr>
        <w:t>成交原则与方法。</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（一）</w:t>
      </w:r>
      <w:r>
        <w:rPr>
          <w:rFonts w:hint="eastAsia" w:ascii="仿宋_GB2312" w:eastAsia="仿宋_GB2312"/>
          <w:sz w:val="30"/>
          <w:szCs w:val="30"/>
          <w:lang w:val="en-US" w:eastAsia="zh-CN"/>
        </w:rPr>
        <w:t>采购人</w:t>
      </w:r>
      <w:r>
        <w:rPr>
          <w:rFonts w:hint="eastAsia" w:ascii="仿宋_GB2312" w:eastAsia="仿宋_GB2312"/>
          <w:sz w:val="30"/>
          <w:szCs w:val="30"/>
        </w:rPr>
        <w:t>组织评审小组对各单位的报价资料进行审核，在满足</w:t>
      </w:r>
      <w:r>
        <w:rPr>
          <w:rFonts w:hint="eastAsia" w:ascii="仿宋_GB2312" w:eastAsia="仿宋_GB2312"/>
          <w:sz w:val="30"/>
          <w:szCs w:val="30"/>
          <w:lang w:val="en-US" w:eastAsia="zh-CN"/>
        </w:rPr>
        <w:t>采购人</w:t>
      </w:r>
      <w:r>
        <w:rPr>
          <w:rFonts w:hint="eastAsia" w:ascii="仿宋_GB2312" w:eastAsia="仿宋_GB2312"/>
          <w:sz w:val="30"/>
          <w:szCs w:val="30"/>
        </w:rPr>
        <w:t>要求的前提下，按经评审通过后总金额最低价成交的原则确定</w:t>
      </w:r>
      <w:r>
        <w:rPr>
          <w:rFonts w:hint="eastAsia" w:ascii="仿宋_GB2312" w:eastAsia="仿宋_GB2312"/>
          <w:sz w:val="30"/>
          <w:szCs w:val="30"/>
          <w:lang w:val="en-US" w:eastAsia="zh-CN"/>
        </w:rPr>
        <w:t>中标单位，</w:t>
      </w:r>
      <w:r>
        <w:rPr>
          <w:rFonts w:hint="eastAsia" w:ascii="仿宋_GB2312" w:eastAsia="仿宋_GB2312"/>
          <w:sz w:val="30"/>
          <w:szCs w:val="30"/>
        </w:rPr>
        <w:t>若出现税率不一致的情况，以除税</w:t>
      </w:r>
      <w:r>
        <w:rPr>
          <w:rFonts w:hint="eastAsia" w:ascii="仿宋_GB2312" w:eastAsia="仿宋_GB2312"/>
          <w:sz w:val="30"/>
          <w:szCs w:val="30"/>
          <w:lang w:eastAsia="zh-CN"/>
        </w:rPr>
        <w:t>总金额</w:t>
      </w:r>
      <w:r>
        <w:rPr>
          <w:rFonts w:hint="eastAsia" w:ascii="仿宋_GB2312" w:eastAsia="仿宋_GB2312"/>
          <w:sz w:val="30"/>
          <w:szCs w:val="30"/>
        </w:rPr>
        <w:t>相对比。如果出现相同总金额最低报价情况时，总金额最低报价相同的</w:t>
      </w:r>
      <w:r>
        <w:rPr>
          <w:rFonts w:hint="eastAsia" w:ascii="仿宋_GB2312" w:eastAsia="仿宋_GB2312"/>
          <w:sz w:val="30"/>
          <w:szCs w:val="30"/>
          <w:lang w:val="en-US" w:eastAsia="zh-CN"/>
        </w:rPr>
        <w:t>报价人</w:t>
      </w:r>
      <w:r>
        <w:rPr>
          <w:rFonts w:hint="eastAsia" w:ascii="仿宋_GB2312" w:eastAsia="仿宋_GB2312"/>
          <w:sz w:val="30"/>
          <w:szCs w:val="30"/>
        </w:rPr>
        <w:t>再进行一轮报价。如报价再相同，则由</w:t>
      </w:r>
      <w:r>
        <w:rPr>
          <w:rFonts w:hint="eastAsia" w:ascii="仿宋_GB2312" w:eastAsia="仿宋_GB2312"/>
          <w:sz w:val="30"/>
          <w:szCs w:val="30"/>
          <w:lang w:val="en-US" w:eastAsia="zh-CN"/>
        </w:rPr>
        <w:t>采购人</w:t>
      </w:r>
      <w:r>
        <w:rPr>
          <w:rFonts w:hint="eastAsia" w:ascii="仿宋_GB2312" w:eastAsia="仿宋_GB2312"/>
          <w:sz w:val="30"/>
          <w:szCs w:val="30"/>
        </w:rPr>
        <w:t>抽签决定</w:t>
      </w:r>
      <w:r>
        <w:rPr>
          <w:rFonts w:hint="eastAsia" w:ascii="仿宋_GB2312" w:eastAsia="仿宋_GB2312"/>
          <w:sz w:val="30"/>
          <w:szCs w:val="30"/>
          <w:lang w:val="en-US" w:eastAsia="zh-CN"/>
        </w:rPr>
        <w:t>中标单位</w:t>
      </w:r>
      <w:r>
        <w:rPr>
          <w:rFonts w:hint="eastAsia" w:ascii="仿宋_GB2312" w:eastAsia="仿宋_GB2312"/>
          <w:sz w:val="30"/>
          <w:szCs w:val="30"/>
        </w:rPr>
        <w:t>。</w:t>
      </w:r>
    </w:p>
    <w:p>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（二）</w:t>
      </w:r>
      <w:r>
        <w:rPr>
          <w:rFonts w:hint="eastAsia" w:ascii="仿宋_GB2312" w:eastAsia="仿宋_GB2312"/>
          <w:sz w:val="30"/>
          <w:szCs w:val="30"/>
          <w:lang w:val="en-US" w:eastAsia="zh-CN"/>
        </w:rPr>
        <w:t>采购人</w:t>
      </w:r>
      <w:r>
        <w:rPr>
          <w:rFonts w:hint="eastAsia" w:ascii="仿宋_GB2312" w:eastAsia="仿宋_GB2312"/>
          <w:sz w:val="30"/>
          <w:szCs w:val="30"/>
        </w:rPr>
        <w:t>不向未</w:t>
      </w:r>
      <w:r>
        <w:rPr>
          <w:rFonts w:hint="eastAsia" w:ascii="仿宋_GB2312" w:eastAsia="仿宋_GB2312"/>
          <w:sz w:val="30"/>
          <w:szCs w:val="30"/>
          <w:lang w:val="en-US" w:eastAsia="zh-CN"/>
        </w:rPr>
        <w:t>中标单位</w:t>
      </w:r>
      <w:r>
        <w:rPr>
          <w:rFonts w:hint="eastAsia" w:ascii="仿宋_GB2312" w:eastAsia="仿宋_GB2312"/>
          <w:sz w:val="30"/>
          <w:szCs w:val="30"/>
        </w:rPr>
        <w:t>解释未成交原因，不退还报价文件。</w:t>
      </w:r>
    </w:p>
    <w:p>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pPr>
        <w:pStyle w:val="4"/>
        <w:numPr>
          <w:ilvl w:val="0"/>
          <w:numId w:val="0"/>
        </w:numPr>
        <w:jc w:val="center"/>
        <w:outlineLvl w:val="9"/>
        <w:rPr>
          <w:rFonts w:hint="eastAsia" w:ascii="仿宋" w:hAnsi="仿宋" w:eastAsia="仿宋" w:cs="仿宋"/>
          <w:snapToGrid w:val="0"/>
          <w:sz w:val="44"/>
          <w:szCs w:val="44"/>
        </w:rPr>
      </w:pPr>
    </w:p>
    <w:p>
      <w:pPr>
        <w:rPr>
          <w:rFonts w:hint="eastAsia" w:ascii="仿宋" w:hAnsi="仿宋" w:eastAsia="仿宋" w:cs="仿宋"/>
          <w:snapToGrid w:val="0"/>
          <w:sz w:val="44"/>
          <w:szCs w:val="44"/>
        </w:rPr>
      </w:pPr>
    </w:p>
    <w:p>
      <w:pPr>
        <w:pStyle w:val="6"/>
        <w:rPr>
          <w:rFonts w:hint="eastAsia" w:ascii="仿宋" w:hAnsi="仿宋" w:eastAsia="仿宋" w:cs="仿宋"/>
          <w:snapToGrid w:val="0"/>
          <w:sz w:val="44"/>
          <w:szCs w:val="44"/>
        </w:rPr>
      </w:pPr>
    </w:p>
    <w:p>
      <w:pPr>
        <w:pStyle w:val="12"/>
        <w:rPr>
          <w:rFonts w:hint="eastAsia" w:ascii="仿宋" w:hAnsi="仿宋" w:eastAsia="仿宋" w:cs="仿宋"/>
          <w:snapToGrid w:val="0"/>
          <w:sz w:val="44"/>
          <w:szCs w:val="44"/>
        </w:rPr>
      </w:pPr>
    </w:p>
    <w:p>
      <w:pPr>
        <w:rPr>
          <w:rFonts w:hint="eastAsia" w:ascii="仿宋" w:hAnsi="仿宋" w:eastAsia="仿宋" w:cs="仿宋"/>
          <w:snapToGrid w:val="0"/>
          <w:sz w:val="44"/>
          <w:szCs w:val="44"/>
        </w:rPr>
      </w:pPr>
    </w:p>
    <w:p>
      <w:pPr>
        <w:pStyle w:val="4"/>
        <w:numPr>
          <w:ilvl w:val="0"/>
          <w:numId w:val="0"/>
        </w:numPr>
        <w:jc w:val="center"/>
        <w:rPr>
          <w:rFonts w:hint="eastAsia" w:ascii="仿宋" w:hAnsi="仿宋" w:eastAsia="仿宋" w:cs="仿宋"/>
          <w:b w:val="0"/>
          <w:bCs/>
          <w:snapToGrid w:val="0"/>
          <w:sz w:val="44"/>
        </w:rPr>
      </w:pPr>
      <w:bookmarkStart w:id="11" w:name="_Toc4053"/>
      <w:r>
        <w:rPr>
          <w:rFonts w:hint="eastAsia" w:ascii="仿宋" w:hAnsi="仿宋" w:eastAsia="仿宋" w:cs="仿宋"/>
          <w:snapToGrid w:val="0"/>
          <w:sz w:val="44"/>
          <w:szCs w:val="44"/>
        </w:rPr>
        <w:t>第三部分   询价内容</w:t>
      </w:r>
      <w:bookmarkEnd w:id="6"/>
      <w:bookmarkEnd w:id="7"/>
      <w:bookmarkEnd w:id="11"/>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供应商接到采购人送货通知后，</w:t>
      </w:r>
      <w:r>
        <w:rPr>
          <w:rFonts w:hint="eastAsia" w:ascii="仿宋" w:hAnsi="仿宋" w:eastAsia="仿宋" w:cs="仿宋"/>
          <w:color w:val="auto"/>
          <w:kern w:val="2"/>
          <w:sz w:val="30"/>
          <w:szCs w:val="30"/>
          <w:lang w:val="en-US" w:eastAsia="zh-CN"/>
        </w:rPr>
        <w:t>10个</w:t>
      </w:r>
      <w:r>
        <w:rPr>
          <w:rFonts w:hint="eastAsia" w:ascii="仿宋" w:hAnsi="仿宋" w:eastAsia="仿宋" w:cs="仿宋"/>
          <w:color w:val="auto"/>
          <w:kern w:val="2"/>
          <w:sz w:val="30"/>
          <w:szCs w:val="30"/>
          <w:lang w:eastAsia="zh-CN"/>
        </w:rPr>
        <w:t>工作日</w:t>
      </w:r>
      <w:r>
        <w:rPr>
          <w:rFonts w:hint="eastAsia" w:ascii="仿宋" w:hAnsi="仿宋" w:eastAsia="仿宋" w:cs="仿宋"/>
          <w:color w:val="auto"/>
          <w:kern w:val="2"/>
          <w:sz w:val="30"/>
          <w:szCs w:val="30"/>
        </w:rPr>
        <w:t>内将货物如数送至采购人指定地点。</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中标</w:t>
      </w:r>
      <w:r>
        <w:rPr>
          <w:rFonts w:hint="eastAsia" w:ascii="仿宋" w:hAnsi="仿宋" w:eastAsia="仿宋" w:cs="仿宋"/>
          <w:color w:val="auto"/>
          <w:kern w:val="2"/>
          <w:sz w:val="30"/>
          <w:szCs w:val="30"/>
        </w:rPr>
        <w:t>人提供经双方确认的送货清单及增值税专用发票，采购人自收到准确清单和发票后，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r>
        <w:rPr>
          <w:rFonts w:hint="eastAsia" w:ascii="仿宋" w:hAnsi="仿宋" w:eastAsia="仿宋" w:cs="仿宋"/>
          <w:color w:val="auto"/>
          <w:kern w:val="2"/>
          <w:sz w:val="30"/>
          <w:szCs w:val="30"/>
          <w:lang w:eastAsia="zh-CN"/>
        </w:rPr>
        <w:t>中标人需提供一年质保，其履约保证金（合同价的</w:t>
      </w:r>
      <w:r>
        <w:rPr>
          <w:rFonts w:hint="eastAsia" w:ascii="仿宋" w:hAnsi="仿宋" w:eastAsia="仿宋" w:cs="仿宋"/>
          <w:color w:val="auto"/>
          <w:kern w:val="2"/>
          <w:sz w:val="30"/>
          <w:szCs w:val="30"/>
          <w:lang w:val="en-US" w:eastAsia="zh-CN"/>
        </w:rPr>
        <w:t>5%</w:t>
      </w:r>
      <w:r>
        <w:rPr>
          <w:rFonts w:hint="eastAsia" w:ascii="仿宋" w:hAnsi="仿宋" w:eastAsia="仿宋" w:cs="仿宋"/>
          <w:color w:val="auto"/>
          <w:kern w:val="2"/>
          <w:sz w:val="30"/>
          <w:szCs w:val="30"/>
          <w:lang w:eastAsia="zh-CN"/>
        </w:rPr>
        <w:t>）到时自动转为质保金，于质保期到期后支付，质保期从验收之日起计算</w:t>
      </w:r>
      <w:r>
        <w:rPr>
          <w:rFonts w:hint="eastAsia" w:ascii="仿宋" w:hAnsi="仿宋" w:eastAsia="仿宋" w:cs="仿宋"/>
          <w:color w:val="auto"/>
          <w:kern w:val="2"/>
          <w:sz w:val="30"/>
          <w:szCs w:val="30"/>
        </w:rPr>
        <w:t>。</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pPr>
        <w:pStyle w:val="4"/>
        <w:numPr>
          <w:ilvl w:val="0"/>
          <w:numId w:val="0"/>
        </w:numPr>
        <w:jc w:val="center"/>
        <w:outlineLvl w:val="9"/>
        <w:rPr>
          <w:rFonts w:hint="eastAsia" w:ascii="仿宋" w:hAnsi="仿宋" w:eastAsia="仿宋" w:cs="仿宋"/>
          <w:snapToGrid w:val="0"/>
          <w:sz w:val="30"/>
          <w:szCs w:val="30"/>
        </w:rPr>
      </w:pPr>
      <w:bookmarkStart w:id="12" w:name="_Toc530583924"/>
      <w:r>
        <w:rPr>
          <w:rFonts w:hint="eastAsia" w:ascii="仿宋" w:hAnsi="仿宋" w:eastAsia="仿宋" w:cs="仿宋"/>
          <w:snapToGrid w:val="0"/>
          <w:sz w:val="30"/>
          <w:szCs w:val="30"/>
        </w:rPr>
        <w:br w:type="page"/>
      </w:r>
    </w:p>
    <w:p>
      <w:pPr>
        <w:pStyle w:val="4"/>
        <w:numPr>
          <w:ilvl w:val="0"/>
          <w:numId w:val="0"/>
        </w:numPr>
        <w:jc w:val="center"/>
        <w:rPr>
          <w:rFonts w:hint="eastAsia" w:ascii="仿宋" w:hAnsi="仿宋" w:eastAsia="仿宋" w:cs="仿宋"/>
          <w:snapToGrid w:val="0"/>
          <w:sz w:val="44"/>
          <w:szCs w:val="44"/>
        </w:rPr>
      </w:pPr>
      <w:bookmarkStart w:id="13" w:name="_Toc21167"/>
      <w:r>
        <w:rPr>
          <w:rFonts w:hint="eastAsia" w:ascii="仿宋" w:hAnsi="仿宋" w:eastAsia="仿宋" w:cs="仿宋"/>
          <w:snapToGrid w:val="0"/>
          <w:sz w:val="44"/>
          <w:szCs w:val="44"/>
          <w:lang w:val="en-US" w:eastAsia="zh-CN"/>
        </w:rPr>
        <w:t>第四部分</w:t>
      </w:r>
      <w:r>
        <w:rPr>
          <w:rFonts w:hint="eastAsia" w:ascii="仿宋" w:hAnsi="仿宋" w:eastAsia="仿宋" w:cs="仿宋"/>
          <w:snapToGrid w:val="0"/>
          <w:sz w:val="44"/>
          <w:szCs w:val="44"/>
        </w:rPr>
        <w:t xml:space="preserve"> 报价文件格式</w:t>
      </w:r>
      <w:bookmarkEnd w:id="12"/>
      <w:bookmarkEnd w:id="13"/>
    </w:p>
    <w:p>
      <w:pPr>
        <w:jc w:val="left"/>
        <w:outlineLvl w:val="0"/>
        <w:rPr>
          <w:rStyle w:val="20"/>
          <w:rFonts w:hint="eastAsia" w:ascii="仿宋" w:hAnsi="仿宋" w:eastAsia="仿宋" w:cs="仿宋"/>
          <w:sz w:val="30"/>
        </w:rPr>
      </w:pPr>
      <w:bookmarkStart w:id="14" w:name="_Toc22901"/>
      <w:r>
        <w:rPr>
          <w:rStyle w:val="20"/>
          <w:rFonts w:hint="eastAsia" w:ascii="仿宋" w:hAnsi="仿宋" w:eastAsia="仿宋" w:cs="仿宋"/>
          <w:sz w:val="30"/>
        </w:rPr>
        <w:t>附件一：</w:t>
      </w:r>
      <w:bookmarkEnd w:id="14"/>
    </w:p>
    <w:p>
      <w:pPr>
        <w:spacing w:line="480" w:lineRule="auto"/>
        <w:jc w:val="right"/>
        <w:rPr>
          <w:rFonts w:hint="eastAsia" w:ascii="仿宋" w:hAnsi="仿宋" w:eastAsia="仿宋" w:cs="仿宋"/>
          <w:sz w:val="32"/>
        </w:rPr>
      </w:pPr>
    </w:p>
    <w:p>
      <w:pPr>
        <w:rPr>
          <w:rFonts w:hint="eastAsia" w:ascii="仿宋" w:hAnsi="仿宋" w:eastAsia="仿宋" w:cs="仿宋"/>
          <w:sz w:val="44"/>
        </w:rPr>
      </w:pPr>
    </w:p>
    <w:p>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叉车</w:t>
      </w:r>
      <w:r>
        <w:rPr>
          <w:rFonts w:hint="eastAsia" w:ascii="仿宋" w:hAnsi="仿宋" w:eastAsia="仿宋" w:cs="仿宋"/>
          <w:sz w:val="52"/>
        </w:rPr>
        <w:t>采购项目</w:t>
      </w:r>
    </w:p>
    <w:p>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SX-CG-CC-2402024</w:t>
      </w:r>
    </w:p>
    <w:p>
      <w:pPr>
        <w:rPr>
          <w:rFonts w:hint="eastAsia" w:ascii="仿宋" w:hAnsi="仿宋" w:eastAsia="仿宋" w:cs="仿宋"/>
          <w:sz w:val="44"/>
        </w:rPr>
      </w:pPr>
    </w:p>
    <w:p>
      <w:pPr>
        <w:rPr>
          <w:rFonts w:hint="eastAsia" w:ascii="仿宋" w:hAnsi="仿宋" w:eastAsia="仿宋" w:cs="仿宋"/>
          <w:sz w:val="44"/>
        </w:rPr>
      </w:pPr>
    </w:p>
    <w:p>
      <w:pPr>
        <w:rPr>
          <w:rFonts w:hint="eastAsia" w:ascii="仿宋" w:hAnsi="仿宋" w:eastAsia="仿宋" w:cs="仿宋"/>
          <w:sz w:val="84"/>
        </w:rPr>
      </w:pPr>
    </w:p>
    <w:p>
      <w:pPr>
        <w:jc w:val="center"/>
        <w:rPr>
          <w:rFonts w:hint="eastAsia" w:ascii="仿宋" w:hAnsi="仿宋" w:eastAsia="仿宋" w:cs="仿宋"/>
          <w:sz w:val="84"/>
        </w:rPr>
      </w:pPr>
      <w:r>
        <w:rPr>
          <w:rFonts w:hint="eastAsia" w:ascii="仿宋" w:hAnsi="仿宋" w:eastAsia="仿宋" w:cs="仿宋"/>
          <w:sz w:val="84"/>
        </w:rPr>
        <w:t>报价文件</w:t>
      </w:r>
    </w:p>
    <w:p>
      <w:pPr>
        <w:jc w:val="center"/>
        <w:rPr>
          <w:rFonts w:hint="eastAsia" w:ascii="仿宋" w:hAnsi="仿宋" w:eastAsia="仿宋" w:cs="仿宋"/>
          <w:sz w:val="24"/>
        </w:rPr>
      </w:pPr>
    </w:p>
    <w:p>
      <w:pPr>
        <w:jc w:val="center"/>
        <w:rPr>
          <w:rFonts w:hint="eastAsia" w:ascii="仿宋" w:hAnsi="仿宋" w:eastAsia="仿宋" w:cs="仿宋"/>
          <w:sz w:val="24"/>
        </w:rPr>
      </w:pPr>
    </w:p>
    <w:p>
      <w:pPr>
        <w:spacing w:line="480" w:lineRule="auto"/>
        <w:jc w:val="center"/>
        <w:rPr>
          <w:rFonts w:hint="eastAsia" w:ascii="仿宋" w:hAnsi="仿宋" w:eastAsia="仿宋" w:cs="仿宋"/>
          <w:sz w:val="24"/>
        </w:rPr>
      </w:pPr>
    </w:p>
    <w:p>
      <w:pPr>
        <w:spacing w:line="480" w:lineRule="auto"/>
        <w:jc w:val="center"/>
        <w:rPr>
          <w:rFonts w:hint="eastAsia" w:ascii="仿宋" w:hAnsi="仿宋" w:eastAsia="仿宋" w:cs="仿宋"/>
          <w:sz w:val="24"/>
        </w:rPr>
      </w:pPr>
    </w:p>
    <w:p>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4</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pPr>
        <w:jc w:val="left"/>
        <w:outlineLvl w:val="0"/>
        <w:rPr>
          <w:rStyle w:val="20"/>
          <w:rFonts w:hint="eastAsia" w:ascii="仿宋" w:hAnsi="仿宋" w:eastAsia="仿宋" w:cs="仿宋"/>
          <w:sz w:val="30"/>
        </w:rPr>
      </w:pPr>
      <w:bookmarkStart w:id="15" w:name="_Toc20355"/>
      <w:r>
        <w:rPr>
          <w:rStyle w:val="20"/>
          <w:rFonts w:hint="eastAsia" w:ascii="仿宋" w:hAnsi="仿宋" w:eastAsia="仿宋" w:cs="仿宋"/>
          <w:sz w:val="30"/>
        </w:rPr>
        <w:t>附件二</w:t>
      </w:r>
      <w:bookmarkEnd w:id="15"/>
      <w:r>
        <w:rPr>
          <w:rStyle w:val="20"/>
          <w:rFonts w:hint="eastAsia" w:ascii="仿宋" w:hAnsi="仿宋" w:eastAsia="仿宋" w:cs="仿宋"/>
          <w:sz w:val="30"/>
        </w:rPr>
        <w:t xml:space="preserve">  </w:t>
      </w:r>
    </w:p>
    <w:p>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绍兴市再生能源发展有限公司叉车 </w:t>
      </w:r>
      <w:r>
        <w:rPr>
          <w:rFonts w:hint="eastAsia" w:ascii="仿宋" w:hAnsi="仿宋" w:eastAsia="仿宋" w:cs="仿宋"/>
          <w:sz w:val="30"/>
          <w:szCs w:val="30"/>
          <w:u w:val="none"/>
          <w:lang w:val="en-US" w:eastAsia="zh-CN"/>
        </w:rPr>
        <w:t>项目。</w:t>
      </w:r>
    </w:p>
    <w:tbl>
      <w:tblPr>
        <w:tblStyle w:val="13"/>
        <w:tblW w:w="4979" w:type="pct"/>
        <w:jc w:val="center"/>
        <w:tblLayout w:type="fixed"/>
        <w:tblCellMar>
          <w:top w:w="0" w:type="dxa"/>
          <w:left w:w="108" w:type="dxa"/>
          <w:bottom w:w="0" w:type="dxa"/>
          <w:right w:w="108" w:type="dxa"/>
        </w:tblCellMar>
      </w:tblPr>
      <w:tblGrid>
        <w:gridCol w:w="696"/>
        <w:gridCol w:w="1286"/>
        <w:gridCol w:w="2172"/>
        <w:gridCol w:w="743"/>
        <w:gridCol w:w="758"/>
        <w:gridCol w:w="1198"/>
        <w:gridCol w:w="1198"/>
        <w:gridCol w:w="1198"/>
      </w:tblGrid>
      <w:tr>
        <w:tblPrEx>
          <w:tblCellMar>
            <w:top w:w="0" w:type="dxa"/>
            <w:left w:w="108" w:type="dxa"/>
            <w:bottom w:w="0" w:type="dxa"/>
            <w:right w:w="108" w:type="dxa"/>
          </w:tblCellMar>
        </w:tblPrEx>
        <w:trPr>
          <w:trHeight w:val="467"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2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21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74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11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w:t>
            </w:r>
          </w:p>
        </w:tc>
        <w:tc>
          <w:tcPr>
            <w:tcW w:w="11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c>
          <w:tcPr>
            <w:tcW w:w="11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限价（单价）</w:t>
            </w:r>
          </w:p>
        </w:tc>
      </w:tr>
      <w:tr>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1</w:t>
            </w:r>
          </w:p>
        </w:tc>
        <w:tc>
          <w:tcPr>
            <w:tcW w:w="12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电动锂电叉车</w:t>
            </w:r>
          </w:p>
        </w:tc>
        <w:tc>
          <w:tcPr>
            <w:tcW w:w="21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型号：EFX302额定载荷：3000kg起升高度：3000mm货叉长度：1070mm电池参数：80v/230Ah充电机：35A品牌为中力</w:t>
            </w:r>
            <w:bookmarkStart w:id="19" w:name="_GoBack"/>
            <w:bookmarkEnd w:id="19"/>
          </w:p>
        </w:tc>
        <w:tc>
          <w:tcPr>
            <w:tcW w:w="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auto"/>
                <w:kern w:val="0"/>
                <w:sz w:val="24"/>
                <w:szCs w:val="24"/>
                <w:highlight w:val="none"/>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台</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82500.00</w:t>
            </w:r>
          </w:p>
        </w:tc>
      </w:tr>
    </w:tbl>
    <w:p>
      <w:pPr>
        <w:pStyle w:val="12"/>
        <w:rPr>
          <w:rFonts w:hint="eastAsia"/>
        </w:rPr>
      </w:pPr>
    </w:p>
    <w:p>
      <w:pPr>
        <w:pStyle w:val="10"/>
        <w:jc w:val="center"/>
        <w:rPr>
          <w:rFonts w:hint="eastAsia" w:ascii="仿宋" w:hAnsi="仿宋" w:eastAsia="仿宋" w:cs="仿宋"/>
          <w:b w:val="0"/>
          <w:bCs w:val="0"/>
          <w:color w:val="auto"/>
        </w:rPr>
      </w:pPr>
    </w:p>
    <w:p>
      <w:pPr>
        <w:pStyle w:val="1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sz w:val="30"/>
          <w:szCs w:val="30"/>
          <w:lang w:eastAsia="zh-CN"/>
        </w:rPr>
        <w:t>付款方式：</w:t>
      </w:r>
      <w:r>
        <w:rPr>
          <w:rFonts w:hint="eastAsia" w:ascii="仿宋" w:hAnsi="仿宋" w:eastAsia="仿宋" w:cs="仿宋"/>
          <w:color w:val="auto"/>
          <w:kern w:val="2"/>
          <w:sz w:val="30"/>
          <w:szCs w:val="30"/>
          <w:lang w:val="en-US" w:eastAsia="zh-CN"/>
        </w:rPr>
        <w:t>中标</w:t>
      </w:r>
      <w:r>
        <w:rPr>
          <w:rFonts w:hint="eastAsia" w:ascii="仿宋" w:hAnsi="仿宋" w:eastAsia="仿宋" w:cs="仿宋"/>
          <w:color w:val="auto"/>
          <w:kern w:val="2"/>
          <w:sz w:val="30"/>
          <w:szCs w:val="30"/>
        </w:rPr>
        <w:t>人提供经双方确认的送货清单及增值税专用发票，采购人自收到准确清单和发票后，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r>
        <w:rPr>
          <w:rFonts w:hint="eastAsia" w:ascii="仿宋" w:hAnsi="仿宋" w:eastAsia="仿宋" w:cs="仿宋"/>
          <w:color w:val="auto"/>
          <w:kern w:val="2"/>
          <w:sz w:val="30"/>
          <w:szCs w:val="30"/>
          <w:lang w:eastAsia="zh-CN"/>
        </w:rPr>
        <w:t>中标人需提供一年质保，其履约保证金（合同价的</w:t>
      </w:r>
      <w:r>
        <w:rPr>
          <w:rFonts w:hint="eastAsia" w:ascii="仿宋" w:hAnsi="仿宋" w:eastAsia="仿宋" w:cs="仿宋"/>
          <w:color w:val="auto"/>
          <w:kern w:val="2"/>
          <w:sz w:val="30"/>
          <w:szCs w:val="30"/>
          <w:lang w:val="en-US" w:eastAsia="zh-CN"/>
        </w:rPr>
        <w:t>5%</w:t>
      </w:r>
      <w:r>
        <w:rPr>
          <w:rFonts w:hint="eastAsia" w:ascii="仿宋" w:hAnsi="仿宋" w:eastAsia="仿宋" w:cs="仿宋"/>
          <w:color w:val="auto"/>
          <w:kern w:val="2"/>
          <w:sz w:val="30"/>
          <w:szCs w:val="30"/>
          <w:lang w:eastAsia="zh-CN"/>
        </w:rPr>
        <w:t>）到时自动转为质保金，于质保期到期后支付，质保期从验收之日起计算</w:t>
      </w:r>
      <w:r>
        <w:rPr>
          <w:rFonts w:hint="eastAsia" w:ascii="仿宋" w:hAnsi="仿宋" w:eastAsia="仿宋" w:cs="仿宋"/>
          <w:color w:val="auto"/>
          <w:kern w:val="2"/>
          <w:sz w:val="30"/>
          <w:szCs w:val="30"/>
          <w:highlight w:val="none"/>
        </w:rPr>
        <w:t>。</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w:t>
      </w:r>
      <w:r>
        <w:rPr>
          <w:rFonts w:hint="eastAsia" w:ascii="仿宋_GB2312" w:eastAsia="仿宋_GB2312"/>
          <w:color w:val="auto"/>
          <w:kern w:val="2"/>
          <w:sz w:val="30"/>
          <w:szCs w:val="30"/>
          <w:highlight w:val="none"/>
          <w:lang w:val="en-US" w:eastAsia="zh-CN"/>
        </w:rPr>
        <w:t>不得</w:t>
      </w:r>
      <w:r>
        <w:rPr>
          <w:rFonts w:hint="eastAsia" w:ascii="仿宋_GB2312" w:eastAsia="仿宋_GB2312"/>
          <w:color w:val="auto"/>
          <w:kern w:val="2"/>
          <w:sz w:val="30"/>
          <w:szCs w:val="30"/>
          <w:highlight w:val="none"/>
          <w:lang w:eastAsia="zh-CN"/>
        </w:rPr>
        <w:t>擅自修改付款</w:t>
      </w:r>
      <w:r>
        <w:rPr>
          <w:rFonts w:hint="eastAsia" w:ascii="仿宋_GB2312" w:eastAsia="仿宋_GB2312"/>
          <w:color w:val="auto"/>
          <w:kern w:val="2"/>
          <w:sz w:val="30"/>
          <w:szCs w:val="30"/>
          <w:highlight w:val="none"/>
          <w:lang w:val="en-US" w:eastAsia="zh-CN"/>
        </w:rPr>
        <w:t>方式</w:t>
      </w:r>
      <w:r>
        <w:rPr>
          <w:rFonts w:hint="eastAsia" w:ascii="仿宋_GB2312" w:eastAsia="仿宋_GB2312"/>
          <w:color w:val="auto"/>
          <w:kern w:val="2"/>
          <w:sz w:val="30"/>
          <w:szCs w:val="30"/>
          <w:highlight w:val="none"/>
          <w:lang w:eastAsia="zh-CN"/>
        </w:rPr>
        <w:t>，未满足该条件则视为无效投标】</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相关要求：1、</w:t>
      </w:r>
      <w:r>
        <w:rPr>
          <w:rFonts w:hint="eastAsia" w:ascii="仿宋" w:hAnsi="仿宋" w:eastAsia="仿宋" w:cs="仿宋"/>
          <w:sz w:val="30"/>
          <w:szCs w:val="30"/>
        </w:rPr>
        <w:t>本项目采购总金额限价为</w:t>
      </w:r>
      <w:r>
        <w:rPr>
          <w:rFonts w:hint="eastAsia" w:ascii="仿宋" w:hAnsi="仿宋" w:eastAsia="仿宋" w:cs="仿宋"/>
          <w:sz w:val="30"/>
          <w:szCs w:val="30"/>
          <w:lang w:eastAsia="zh-CN"/>
        </w:rPr>
        <w:t>人民币</w:t>
      </w:r>
      <w:r>
        <w:rPr>
          <w:rFonts w:hint="eastAsia" w:ascii="仿宋" w:hAnsi="仿宋" w:eastAsia="仿宋" w:cs="仿宋"/>
          <w:sz w:val="30"/>
          <w:szCs w:val="30"/>
          <w:lang w:val="en-US" w:eastAsia="zh-CN"/>
        </w:rPr>
        <w:t>捌万贰仟伍佰</w:t>
      </w:r>
      <w:r>
        <w:rPr>
          <w:rFonts w:hint="eastAsia" w:ascii="仿宋" w:hAnsi="仿宋" w:eastAsia="仿宋" w:cs="仿宋"/>
          <w:sz w:val="30"/>
          <w:szCs w:val="30"/>
        </w:rPr>
        <w:t>元</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FF0000"/>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color w:val="FF0000"/>
          <w:sz w:val="30"/>
          <w:szCs w:val="30"/>
          <w:lang w:val="en-US" w:eastAsia="zh-CN"/>
        </w:rPr>
        <w:t>该采购项目履约保证金为合同价的5%。中标人于合同签订前将履约保证金打入招标人指定账户。合同履行完成后，履约保证金转为质保金。质保期满后，招标人退还质保金（无息）。</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FF0000"/>
          <w:sz w:val="30"/>
          <w:szCs w:val="30"/>
          <w:lang w:val="en-US" w:eastAsia="zh-CN"/>
        </w:rPr>
      </w:pPr>
      <w:r>
        <w:rPr>
          <w:rFonts w:hint="eastAsia" w:ascii="仿宋" w:hAnsi="仿宋" w:eastAsia="仿宋" w:cs="仿宋"/>
          <w:color w:val="FF0000"/>
          <w:sz w:val="30"/>
          <w:szCs w:val="30"/>
          <w:lang w:val="en-US" w:eastAsia="zh-CN"/>
        </w:rPr>
        <w:t>3、中标人在合同履行期间出现违约行为，招标人可扣除相应履约保证金/质保金，并向中标人追究相应经济损失。</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FF0000"/>
          <w:sz w:val="30"/>
          <w:szCs w:val="30"/>
          <w:lang w:val="en-US" w:eastAsia="zh-CN"/>
        </w:rPr>
        <w:t>4、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5、以上总价应为含税全包价，包括运费、税费等一切费用，发票必须为增值税专用发票。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snapToGrid w:val="0"/>
        <w:ind w:firstLine="480" w:firstLineChars="200"/>
        <w:jc w:val="right"/>
        <w:rPr>
          <w:rFonts w:hint="eastAsia" w:ascii="仿宋" w:hAnsi="仿宋" w:eastAsia="仿宋" w:cs="仿宋"/>
          <w:sz w:val="24"/>
          <w:szCs w:val="24"/>
        </w:rPr>
      </w:pPr>
    </w:p>
    <w:p>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4</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pPr>
        <w:spacing w:line="480" w:lineRule="auto"/>
        <w:jc w:val="left"/>
        <w:outlineLvl w:val="0"/>
        <w:rPr>
          <w:rFonts w:hint="eastAsia" w:ascii="仿宋" w:hAnsi="仿宋" w:eastAsia="仿宋" w:cs="仿宋"/>
          <w:b/>
          <w:spacing w:val="-2"/>
          <w:sz w:val="30"/>
        </w:rPr>
      </w:pPr>
      <w:bookmarkStart w:id="16" w:name="_Toc103165678"/>
      <w:bookmarkStart w:id="17" w:name="_Toc108839328"/>
      <w:bookmarkStart w:id="18" w:name="_Toc29413"/>
      <w:r>
        <w:rPr>
          <w:rStyle w:val="20"/>
          <w:rFonts w:hint="eastAsia" w:ascii="仿宋" w:hAnsi="仿宋" w:eastAsia="仿宋" w:cs="仿宋"/>
          <w:sz w:val="30"/>
        </w:rPr>
        <w:t>附件</w:t>
      </w:r>
      <w:bookmarkEnd w:id="16"/>
      <w:bookmarkEnd w:id="17"/>
      <w:r>
        <w:rPr>
          <w:rStyle w:val="20"/>
          <w:rFonts w:hint="eastAsia" w:ascii="仿宋" w:hAnsi="仿宋" w:eastAsia="仿宋" w:cs="仿宋"/>
          <w:sz w:val="30"/>
        </w:rPr>
        <w:t>三</w:t>
      </w:r>
      <w:bookmarkEnd w:id="18"/>
    </w:p>
    <w:p>
      <w:pPr>
        <w:snapToGrid w:val="0"/>
        <w:ind w:firstLine="1926" w:firstLineChars="600"/>
        <w:jc w:val="left"/>
        <w:rPr>
          <w:rFonts w:hint="eastAsia" w:ascii="仿宋" w:hAnsi="仿宋" w:eastAsia="仿宋" w:cs="仿宋"/>
          <w:b/>
          <w:spacing w:val="40"/>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lang w:val="en-US" w:eastAsia="zh-CN"/>
        </w:rPr>
        <w:t>叉车</w:t>
      </w:r>
      <w:r>
        <w:rPr>
          <w:rFonts w:hint="eastAsia" w:ascii="仿宋" w:hAnsi="仿宋" w:eastAsia="仿宋" w:cs="仿宋"/>
          <w:sz w:val="28"/>
          <w:szCs w:val="28"/>
          <w:u w:val="single"/>
        </w:rPr>
        <w:t>采购</w:t>
      </w:r>
      <w:r>
        <w:rPr>
          <w:rFonts w:hint="eastAsia" w:ascii="仿宋" w:hAnsi="仿宋" w:eastAsia="仿宋" w:cs="仿宋"/>
          <w:sz w:val="28"/>
          <w:szCs w:val="28"/>
          <w:u w:val="single"/>
          <w:lang w:val="en-US" w:eastAsia="zh-CN"/>
        </w:rPr>
        <w:t>项目</w:t>
      </w:r>
      <w:r>
        <w:rPr>
          <w:rFonts w:hint="eastAsia" w:ascii="仿宋" w:hAnsi="仿宋" w:eastAsia="仿宋" w:cs="仿宋"/>
          <w:sz w:val="28"/>
          <w:szCs w:val="28"/>
        </w:rPr>
        <w:t>询价采购，并作如下承诺：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480" w:firstLineChars="16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四</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pStyle w:val="1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4CC8527C"/>
    <w:multiLevelType w:val="singleLevel"/>
    <w:tmpl w:val="4CC8527C"/>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JhMzY5NTZlMjQ5NzNjMzkwZmE1ZjFmZjcxYmM5YmYifQ=="/>
  </w:docVars>
  <w:rsids>
    <w:rsidRoot w:val="1297576D"/>
    <w:rsid w:val="0029396E"/>
    <w:rsid w:val="003A657B"/>
    <w:rsid w:val="00517D5D"/>
    <w:rsid w:val="005926A3"/>
    <w:rsid w:val="008746A5"/>
    <w:rsid w:val="00B574EC"/>
    <w:rsid w:val="01D22213"/>
    <w:rsid w:val="02834D04"/>
    <w:rsid w:val="038D5656"/>
    <w:rsid w:val="04605697"/>
    <w:rsid w:val="05D22118"/>
    <w:rsid w:val="06057AB3"/>
    <w:rsid w:val="067A3460"/>
    <w:rsid w:val="076328DA"/>
    <w:rsid w:val="08186607"/>
    <w:rsid w:val="083A3947"/>
    <w:rsid w:val="08F93082"/>
    <w:rsid w:val="097479E0"/>
    <w:rsid w:val="0A0C6ADD"/>
    <w:rsid w:val="0A32752C"/>
    <w:rsid w:val="0A9D29B8"/>
    <w:rsid w:val="0B237EC8"/>
    <w:rsid w:val="0B2C6C02"/>
    <w:rsid w:val="0BC12699"/>
    <w:rsid w:val="0BCC31F9"/>
    <w:rsid w:val="0C5A16A4"/>
    <w:rsid w:val="0DC35837"/>
    <w:rsid w:val="0DE61498"/>
    <w:rsid w:val="110C39D4"/>
    <w:rsid w:val="1297576D"/>
    <w:rsid w:val="12BF4C87"/>
    <w:rsid w:val="12E70A09"/>
    <w:rsid w:val="15341747"/>
    <w:rsid w:val="164F6705"/>
    <w:rsid w:val="16646293"/>
    <w:rsid w:val="16FE5921"/>
    <w:rsid w:val="17B042A1"/>
    <w:rsid w:val="1A2B7D96"/>
    <w:rsid w:val="1BD33B78"/>
    <w:rsid w:val="1BEC2FB3"/>
    <w:rsid w:val="1CE262BC"/>
    <w:rsid w:val="1D6D770B"/>
    <w:rsid w:val="1E1A21EF"/>
    <w:rsid w:val="203B090D"/>
    <w:rsid w:val="21135480"/>
    <w:rsid w:val="212C3971"/>
    <w:rsid w:val="214D7086"/>
    <w:rsid w:val="21BA7E4E"/>
    <w:rsid w:val="22DF5956"/>
    <w:rsid w:val="22ED7F5E"/>
    <w:rsid w:val="24130D0C"/>
    <w:rsid w:val="259870A6"/>
    <w:rsid w:val="259E2C64"/>
    <w:rsid w:val="26F76768"/>
    <w:rsid w:val="27AC61A6"/>
    <w:rsid w:val="27FE02E6"/>
    <w:rsid w:val="28C57566"/>
    <w:rsid w:val="29084622"/>
    <w:rsid w:val="29456DFF"/>
    <w:rsid w:val="29F704EF"/>
    <w:rsid w:val="2AC220DE"/>
    <w:rsid w:val="2ADB5E21"/>
    <w:rsid w:val="2ADF08BA"/>
    <w:rsid w:val="2B603075"/>
    <w:rsid w:val="2C305EB2"/>
    <w:rsid w:val="2CD9238D"/>
    <w:rsid w:val="2E003054"/>
    <w:rsid w:val="2EB2531B"/>
    <w:rsid w:val="2F3D045F"/>
    <w:rsid w:val="2F6F3EAC"/>
    <w:rsid w:val="2F7D3F84"/>
    <w:rsid w:val="2F844FB7"/>
    <w:rsid w:val="30256074"/>
    <w:rsid w:val="302C4175"/>
    <w:rsid w:val="31713FF6"/>
    <w:rsid w:val="32B04D2F"/>
    <w:rsid w:val="33A35EAC"/>
    <w:rsid w:val="3464504B"/>
    <w:rsid w:val="34E00D83"/>
    <w:rsid w:val="34E40873"/>
    <w:rsid w:val="36216F0D"/>
    <w:rsid w:val="36316A75"/>
    <w:rsid w:val="36ED02B2"/>
    <w:rsid w:val="37DB73A7"/>
    <w:rsid w:val="389D7311"/>
    <w:rsid w:val="398E418A"/>
    <w:rsid w:val="3996009B"/>
    <w:rsid w:val="3997709B"/>
    <w:rsid w:val="39A55AE7"/>
    <w:rsid w:val="3A351BE0"/>
    <w:rsid w:val="3AFB2B32"/>
    <w:rsid w:val="3B0953A4"/>
    <w:rsid w:val="3C302F1C"/>
    <w:rsid w:val="3C8719BD"/>
    <w:rsid w:val="3CE46170"/>
    <w:rsid w:val="3D7933CA"/>
    <w:rsid w:val="3DAC3CC7"/>
    <w:rsid w:val="3E16524F"/>
    <w:rsid w:val="3EA30F9B"/>
    <w:rsid w:val="3F2D02B4"/>
    <w:rsid w:val="3F7C50B1"/>
    <w:rsid w:val="406B2371"/>
    <w:rsid w:val="407E15A7"/>
    <w:rsid w:val="40AA3B81"/>
    <w:rsid w:val="411C5733"/>
    <w:rsid w:val="417112FA"/>
    <w:rsid w:val="42D57A4D"/>
    <w:rsid w:val="436A096E"/>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16FAA"/>
    <w:rsid w:val="49E7480F"/>
    <w:rsid w:val="4AF173EE"/>
    <w:rsid w:val="4C2F1B9C"/>
    <w:rsid w:val="4C870D35"/>
    <w:rsid w:val="4D2832EB"/>
    <w:rsid w:val="4DB81983"/>
    <w:rsid w:val="4DF66F25"/>
    <w:rsid w:val="4E376DB9"/>
    <w:rsid w:val="4E716394"/>
    <w:rsid w:val="4ECC39F8"/>
    <w:rsid w:val="4F0A3ECF"/>
    <w:rsid w:val="4F595384"/>
    <w:rsid w:val="4F7F3CCA"/>
    <w:rsid w:val="502844C8"/>
    <w:rsid w:val="51D845E4"/>
    <w:rsid w:val="52341DDD"/>
    <w:rsid w:val="531111FC"/>
    <w:rsid w:val="533444FB"/>
    <w:rsid w:val="53984B4A"/>
    <w:rsid w:val="55216F5F"/>
    <w:rsid w:val="55C54FE9"/>
    <w:rsid w:val="55E07717"/>
    <w:rsid w:val="56397366"/>
    <w:rsid w:val="58080247"/>
    <w:rsid w:val="5950112B"/>
    <w:rsid w:val="59C3293C"/>
    <w:rsid w:val="5A1C766A"/>
    <w:rsid w:val="5CF528AB"/>
    <w:rsid w:val="5D132301"/>
    <w:rsid w:val="5E215B44"/>
    <w:rsid w:val="5F1E1E73"/>
    <w:rsid w:val="612A3DEE"/>
    <w:rsid w:val="61B35208"/>
    <w:rsid w:val="62B67083"/>
    <w:rsid w:val="649C599A"/>
    <w:rsid w:val="66B027B6"/>
    <w:rsid w:val="671A2875"/>
    <w:rsid w:val="67966EFB"/>
    <w:rsid w:val="67B628F5"/>
    <w:rsid w:val="682119CD"/>
    <w:rsid w:val="69A94E0C"/>
    <w:rsid w:val="6A1A0E79"/>
    <w:rsid w:val="6B656B47"/>
    <w:rsid w:val="6B7E1643"/>
    <w:rsid w:val="6C714475"/>
    <w:rsid w:val="6CDB032D"/>
    <w:rsid w:val="6DBD736C"/>
    <w:rsid w:val="6DF45A5A"/>
    <w:rsid w:val="6E160DB8"/>
    <w:rsid w:val="6E5526FF"/>
    <w:rsid w:val="6F2B1820"/>
    <w:rsid w:val="6F412F7A"/>
    <w:rsid w:val="707E74C2"/>
    <w:rsid w:val="710D0440"/>
    <w:rsid w:val="71C5585F"/>
    <w:rsid w:val="720E79AF"/>
    <w:rsid w:val="73A1381E"/>
    <w:rsid w:val="7459468D"/>
    <w:rsid w:val="749131D7"/>
    <w:rsid w:val="756F240E"/>
    <w:rsid w:val="779817DA"/>
    <w:rsid w:val="77D476E8"/>
    <w:rsid w:val="782A7918"/>
    <w:rsid w:val="79715756"/>
    <w:rsid w:val="7A500C84"/>
    <w:rsid w:val="7A7B08FF"/>
    <w:rsid w:val="7AE21E9E"/>
    <w:rsid w:val="7B09318D"/>
    <w:rsid w:val="7B6004E6"/>
    <w:rsid w:val="7BE14791"/>
    <w:rsid w:val="7C4C470C"/>
    <w:rsid w:val="7CD03426"/>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5"/>
    <w:autoRedefine/>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line="480" w:lineRule="auto"/>
      <w:ind w:firstLine="600"/>
    </w:pPr>
    <w:rPr>
      <w:sz w:val="28"/>
    </w:rPr>
  </w:style>
  <w:style w:type="paragraph" w:styleId="5">
    <w:name w:val="annotation text"/>
    <w:basedOn w:val="1"/>
    <w:autoRedefine/>
    <w:qFormat/>
    <w:uiPriority w:val="0"/>
    <w:pPr>
      <w:jc w:val="left"/>
    </w:pPr>
  </w:style>
  <w:style w:type="paragraph" w:styleId="6">
    <w:name w:val="Body Text"/>
    <w:basedOn w:val="1"/>
    <w:next w:val="1"/>
    <w:autoRedefine/>
    <w:qFormat/>
    <w:uiPriority w:val="1"/>
    <w:pPr>
      <w:spacing w:after="120" w:afterLines="0"/>
    </w:pPr>
  </w:style>
  <w:style w:type="paragraph" w:styleId="7">
    <w:name w:val="Balloon Text"/>
    <w:basedOn w:val="1"/>
    <w:link w:val="24"/>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pPr>
      <w:jc w:val="left"/>
    </w:pPr>
    <w:rPr>
      <w:b/>
      <w:caps/>
    </w:rPr>
  </w:style>
  <w:style w:type="paragraph" w:styleId="11">
    <w:name w:val="Title"/>
    <w:basedOn w:val="1"/>
    <w:autoRedefine/>
    <w:qFormat/>
    <w:uiPriority w:val="0"/>
    <w:pPr>
      <w:widowControl/>
      <w:overflowPunct w:val="0"/>
      <w:autoSpaceDE w:val="0"/>
      <w:autoSpaceDN w:val="0"/>
      <w:adjustRightInd w:val="0"/>
      <w:jc w:val="center"/>
      <w:textAlignment w:val="baseline"/>
    </w:pPr>
    <w:rPr>
      <w:b/>
      <w:kern w:val="0"/>
      <w:sz w:val="44"/>
      <w:lang w:val="en-GB"/>
    </w:rPr>
  </w:style>
  <w:style w:type="paragraph" w:styleId="12">
    <w:name w:val="Body Text First Indent"/>
    <w:basedOn w:val="6"/>
    <w:next w:val="1"/>
    <w:autoRedefine/>
    <w:qFormat/>
    <w:uiPriority w:val="99"/>
    <w:pPr>
      <w:widowControl/>
      <w:spacing w:after="120" w:afterLines="0" w:line="240" w:lineRule="auto"/>
      <w:ind w:firstLine="420" w:firstLineChars="100"/>
      <w:jc w:val="left"/>
    </w:pPr>
    <w:rPr>
      <w:rFonts w:ascii="Times New Roman" w:eastAsia="宋体"/>
      <w:kern w:val="0"/>
      <w:sz w:val="21"/>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character" w:styleId="17">
    <w:name w:val="Hyperlink"/>
    <w:autoRedefine/>
    <w:qFormat/>
    <w:uiPriority w:val="99"/>
    <w:rPr>
      <w:color w:val="0000FF"/>
      <w:u w:val="single"/>
    </w:rPr>
  </w:style>
  <w:style w:type="character" w:styleId="18">
    <w:name w:val="annotation reference"/>
    <w:basedOn w:val="15"/>
    <w:autoRedefine/>
    <w:qFormat/>
    <w:uiPriority w:val="0"/>
    <w:rPr>
      <w:sz w:val="21"/>
      <w:szCs w:val="21"/>
    </w:rPr>
  </w:style>
  <w:style w:type="paragraph" w:customStyle="1" w:styleId="19">
    <w:name w:val="正文文字缩进"/>
    <w:basedOn w:val="1"/>
    <w:autoRedefine/>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autoRedefine/>
    <w:qFormat/>
    <w:uiPriority w:val="0"/>
    <w:rPr>
      <w:rFonts w:eastAsia="宋体"/>
      <w:b/>
      <w:spacing w:val="-2"/>
      <w:sz w:val="24"/>
      <w:lang w:val="en-US" w:eastAsia="zh-CN"/>
    </w:rPr>
  </w:style>
  <w:style w:type="paragraph" w:customStyle="1" w:styleId="21">
    <w:name w:val="一、标题"/>
    <w:basedOn w:val="1"/>
    <w:autoRedefine/>
    <w:qFormat/>
    <w:uiPriority w:val="0"/>
    <w:rPr>
      <w:b/>
      <w:sz w:val="28"/>
    </w:rPr>
  </w:style>
  <w:style w:type="paragraph" w:styleId="22">
    <w:name w:val="List Paragraph"/>
    <w:basedOn w:val="1"/>
    <w:autoRedefine/>
    <w:qFormat/>
    <w:uiPriority w:val="34"/>
    <w:pPr>
      <w:ind w:firstLine="420" w:firstLineChars="200"/>
    </w:pPr>
  </w:style>
  <w:style w:type="character" w:customStyle="1" w:styleId="23">
    <w:name w:val="页眉 Char"/>
    <w:basedOn w:val="15"/>
    <w:link w:val="9"/>
    <w:autoRedefine/>
    <w:qFormat/>
    <w:uiPriority w:val="0"/>
    <w:rPr>
      <w:kern w:val="2"/>
      <w:sz w:val="18"/>
      <w:szCs w:val="18"/>
    </w:rPr>
  </w:style>
  <w:style w:type="character" w:customStyle="1" w:styleId="24">
    <w:name w:val="批注框文本 Char"/>
    <w:basedOn w:val="15"/>
    <w:link w:val="7"/>
    <w:autoRedefine/>
    <w:qFormat/>
    <w:uiPriority w:val="0"/>
    <w:rPr>
      <w:kern w:val="2"/>
      <w:sz w:val="18"/>
      <w:szCs w:val="18"/>
    </w:rPr>
  </w:style>
  <w:style w:type="character" w:customStyle="1" w:styleId="25">
    <w:name w:val="font31"/>
    <w:basedOn w:val="15"/>
    <w:autoRedefine/>
    <w:qFormat/>
    <w:uiPriority w:val="0"/>
    <w:rPr>
      <w:rFonts w:hint="eastAsia" w:ascii="宋体" w:hAnsi="宋体" w:eastAsia="宋体" w:cs="宋体"/>
      <w:color w:val="000000"/>
      <w:sz w:val="22"/>
      <w:szCs w:val="22"/>
      <w:u w:val="none"/>
    </w:rPr>
  </w:style>
  <w:style w:type="character" w:customStyle="1" w:styleId="26">
    <w:name w:val="font51"/>
    <w:basedOn w:val="15"/>
    <w:autoRedefine/>
    <w:qFormat/>
    <w:uiPriority w:val="0"/>
    <w:rPr>
      <w:rFonts w:hint="default" w:ascii="Times New Roman" w:hAnsi="Times New Roman" w:cs="Times New Roman"/>
      <w:color w:val="000000"/>
      <w:sz w:val="22"/>
      <w:szCs w:val="22"/>
      <w:u w:val="none"/>
    </w:rPr>
  </w:style>
  <w:style w:type="character" w:customStyle="1" w:styleId="27">
    <w:name w:val="font41"/>
    <w:basedOn w:val="15"/>
    <w:autoRedefine/>
    <w:qFormat/>
    <w:uiPriority w:val="0"/>
    <w:rPr>
      <w:rFonts w:ascii="仿宋_GB2312" w:eastAsia="仿宋_GB2312" w:cs="仿宋_GB2312"/>
      <w:color w:val="000000"/>
      <w:sz w:val="22"/>
      <w:szCs w:val="22"/>
      <w:u w:val="none"/>
    </w:rPr>
  </w:style>
  <w:style w:type="character" w:customStyle="1" w:styleId="28">
    <w:name w:val="font21"/>
    <w:basedOn w:val="15"/>
    <w:autoRedefine/>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autoRedefine/>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autoRedefine/>
    <w:qFormat/>
    <w:uiPriority w:val="0"/>
    <w:rPr>
      <w:rFonts w:ascii="宋体" w:hAnsi="宋体" w:eastAsia="宋体" w:cs="宋体"/>
      <w:color w:val="000000"/>
      <w:sz w:val="20"/>
      <w:szCs w:val="20"/>
      <w:u w:val="none"/>
    </w:rPr>
  </w:style>
  <w:style w:type="character" w:customStyle="1" w:styleId="33">
    <w:name w:val="font71"/>
    <w:basedOn w:val="15"/>
    <w:autoRedefine/>
    <w:qFormat/>
    <w:uiPriority w:val="0"/>
    <w:rPr>
      <w:rFonts w:hint="eastAsia" w:ascii="仿宋" w:hAnsi="仿宋" w:eastAsia="仿宋" w:cs="仿宋"/>
      <w:color w:val="000000"/>
      <w:sz w:val="22"/>
      <w:szCs w:val="22"/>
      <w:u w:val="none"/>
    </w:rPr>
  </w:style>
  <w:style w:type="paragraph" w:customStyle="1" w:styleId="34">
    <w:name w:val="样式1"/>
    <w:basedOn w:val="1"/>
    <w:autoRedefine/>
    <w:qFormat/>
    <w:uiPriority w:val="0"/>
    <w:pPr>
      <w:spacing w:line="240" w:lineRule="exact"/>
    </w:pPr>
    <w:rPr>
      <w:rFonts w:ascii="宋体" w:hAnsi="宋体" w:eastAsia="宋体"/>
      <w:sz w:val="24"/>
      <w:szCs w:val="24"/>
    </w:rPr>
  </w:style>
  <w:style w:type="character" w:customStyle="1" w:styleId="35">
    <w:name w:val="标题 1 Char"/>
    <w:link w:val="4"/>
    <w:autoRedefine/>
    <w:qFormat/>
    <w:uiPriority w:val="0"/>
    <w:rPr>
      <w:rFonts w:ascii="宋体" w:hAnsi="Arial" w:eastAsia="黑体"/>
      <w:b/>
      <w:color w:val="000000"/>
      <w:kern w:val="44"/>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4075</Words>
  <Characters>4189</Characters>
  <Lines>53</Lines>
  <Paragraphs>15</Paragraphs>
  <TotalTime>2</TotalTime>
  <ScaleCrop>false</ScaleCrop>
  <LinksUpToDate>false</LinksUpToDate>
  <CharactersWithSpaces>4378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cp:lastModifiedBy>
  <cp:lastPrinted>2021-06-17T01:09:00Z</cp:lastPrinted>
  <dcterms:modified xsi:type="dcterms:W3CDTF">2024-03-29T05:03:13Z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07DEC81FD3E8410C8FC7D2A5303090D3</vt:lpwstr>
  </property>
</Properties>
</file>