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12"/>
      </w:pPr>
    </w:p>
    <w:p>
      <w:pPr>
        <w:jc w:val="center"/>
        <w:rPr>
          <w:rFonts w:hint="default" w:ascii="仿宋_GB2312" w:hAnsi="宋体" w:eastAsia="仿宋_GB2312"/>
          <w:b/>
          <w:sz w:val="52"/>
          <w:szCs w:val="52"/>
          <w:lang w:val="en-US" w:eastAsia="zh-CN"/>
        </w:rPr>
      </w:pPr>
      <w:r>
        <w:rPr>
          <w:rFonts w:hint="eastAsia" w:ascii="仿宋_GB2312" w:hAnsi="宋体" w:eastAsia="仿宋_GB2312"/>
          <w:b/>
          <w:sz w:val="52"/>
          <w:szCs w:val="52"/>
          <w:lang w:val="en-US" w:eastAsia="zh-CN"/>
        </w:rPr>
        <w:t>年度热电偶采购项目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SX-CG-BJ-2401022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3"/>
      <w:bookmarkStart w:id="2" w:name="OLE_LINK52"/>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年度热电偶</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四</w:t>
      </w:r>
      <w:r>
        <w:rPr>
          <w:rFonts w:hint="eastAsia" w:ascii="仿宋" w:hAnsi="仿宋" w:eastAsia="仿宋" w:cs="仿宋"/>
          <w:sz w:val="32"/>
          <w:szCs w:val="32"/>
        </w:rPr>
        <w:t>年</w:t>
      </w:r>
      <w:r>
        <w:rPr>
          <w:rFonts w:hint="eastAsia" w:ascii="仿宋" w:hAnsi="仿宋" w:eastAsia="仿宋" w:cs="仿宋"/>
          <w:sz w:val="32"/>
          <w:szCs w:val="32"/>
          <w:lang w:val="en-US" w:eastAsia="zh-CN"/>
        </w:rPr>
        <w:t>一</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530583921"/>
      <w:bookmarkStart w:id="4" w:name="_Toc6995"/>
      <w:bookmarkStart w:id="5" w:name="_Toc530583878"/>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val="en-US" w:eastAsia="zh-CN"/>
        </w:rPr>
        <w:t>热电偶</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SX-CG-BJ-2401022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991" w:type="pct"/>
        <w:jc w:val="center"/>
        <w:tblLayout w:type="autofit"/>
        <w:tblCellMar>
          <w:top w:w="0" w:type="dxa"/>
          <w:left w:w="108" w:type="dxa"/>
          <w:bottom w:w="0" w:type="dxa"/>
          <w:right w:w="108" w:type="dxa"/>
        </w:tblCellMar>
      </w:tblPr>
      <w:tblGrid>
        <w:gridCol w:w="816"/>
        <w:gridCol w:w="1304"/>
        <w:gridCol w:w="3422"/>
        <w:gridCol w:w="837"/>
        <w:gridCol w:w="1234"/>
        <w:gridCol w:w="1656"/>
      </w:tblGrid>
      <w:tr>
        <w:tblPrEx>
          <w:tblCellMar>
            <w:top w:w="0" w:type="dxa"/>
            <w:left w:w="108" w:type="dxa"/>
            <w:bottom w:w="0" w:type="dxa"/>
            <w:right w:w="108" w:type="dxa"/>
          </w:tblCellMar>
        </w:tblPrEx>
        <w:trPr>
          <w:trHeight w:val="90"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741"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88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8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限价（单价）</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1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WRN-331NM，分度号：K，精度：Ⅱ级，测量范围：0~1300℃，总长度：L=960mm，插入长度：760mm，耐磨长度：480mm，保护管材料：GH3030,保护管直径:25，PN:10Mpa</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25</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支</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1300</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1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WRN-331NM，分度号：K，精度：Ⅱ级，测量范围：0~1300℃，总长度：L=1100mm，插入长度：900mm，耐磨长度：600mm，保护管材料：GH3030,保护管直径:25，PN:10Mpa</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50</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支</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1400</w:t>
            </w:r>
          </w:p>
        </w:tc>
      </w:tr>
      <w:tr>
        <w:tblPrEx>
          <w:tblCellMar>
            <w:top w:w="0" w:type="dxa"/>
            <w:left w:w="108" w:type="dxa"/>
            <w:bottom w:w="0" w:type="dxa"/>
            <w:right w:w="108" w:type="dxa"/>
          </w:tblCellMar>
        </w:tblPrEx>
        <w:trPr>
          <w:trHeight w:val="561" w:hRule="atLeast"/>
          <w:jc w:val="center"/>
        </w:trPr>
        <w:tc>
          <w:tcPr>
            <w:tcW w:w="47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3</w:t>
            </w:r>
          </w:p>
        </w:tc>
        <w:tc>
          <w:tcPr>
            <w:tcW w:w="74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188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WRN-331NM，分度号：K，精度：Ⅱ级，测量范围：0~1300℃，总长度：L=1400mm，插入长度：1200mm，耐磨长度：900mm，保护管材料：GH3030,保护管直径:25，PN:10Mpa</w:t>
            </w:r>
          </w:p>
        </w:tc>
        <w:tc>
          <w:tcPr>
            <w:tcW w:w="48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20</w:t>
            </w:r>
          </w:p>
        </w:tc>
        <w:tc>
          <w:tcPr>
            <w:tcW w:w="70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支</w:t>
            </w:r>
          </w:p>
        </w:tc>
        <w:tc>
          <w:tcPr>
            <w:tcW w:w="13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1800</w:t>
            </w:r>
          </w:p>
        </w:tc>
      </w:tr>
    </w:tbl>
    <w:p>
      <w:pPr>
        <w:pStyle w:val="1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壹拾肆万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达到该金额则合同自动终止</w:t>
      </w:r>
      <w:r>
        <w:rPr>
          <w:rFonts w:hint="eastAsia" w:ascii="仿宋" w:hAnsi="仿宋" w:eastAsia="仿宋" w:cs="仿宋"/>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4</w:t>
      </w:r>
      <w:r>
        <w:rPr>
          <w:rFonts w:hint="eastAsia" w:ascii="仿宋_GB2312" w:eastAsia="仿宋_GB2312"/>
          <w:sz w:val="30"/>
          <w:szCs w:val="30"/>
        </w:rPr>
        <w:t>年</w:t>
      </w:r>
      <w:r>
        <w:rPr>
          <w:rFonts w:hint="eastAsia" w:ascii="仿宋_GB2312" w:eastAsia="仿宋_GB2312"/>
          <w:sz w:val="30"/>
          <w:szCs w:val="30"/>
          <w:lang w:val="en-US" w:eastAsia="zh-CN"/>
        </w:rPr>
        <w:t>1月26</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2024</w:t>
      </w:r>
      <w:r>
        <w:rPr>
          <w:rFonts w:hint="default" w:ascii="仿宋_GB2312" w:eastAsia="仿宋_GB2312"/>
          <w:sz w:val="30"/>
          <w:szCs w:val="30"/>
          <w:lang w:val="en-US"/>
        </w:rPr>
        <w:t>年</w:t>
      </w:r>
      <w:r>
        <w:rPr>
          <w:rFonts w:hint="eastAsia" w:ascii="仿宋_GB2312" w:eastAsia="仿宋_GB2312"/>
          <w:sz w:val="30"/>
          <w:szCs w:val="30"/>
          <w:lang w:val="en-US" w:eastAsia="zh-CN"/>
        </w:rPr>
        <w:t>1月18</w:t>
      </w:r>
      <w:bookmarkStart w:id="20" w:name="_GoBack"/>
      <w:bookmarkEnd w:id="20"/>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530583922"/>
      <w:bookmarkStart w:id="9" w:name="_Toc530583879"/>
      <w:bookmarkStart w:id="10" w:name="_Toc23057"/>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ascii="仿宋" w:hAnsi="仿宋" w:eastAsia="仿宋" w:cs="仿宋"/>
          <w:snapToGrid w:val="0"/>
          <w:sz w:val="44"/>
          <w:szCs w:val="44"/>
        </w:rPr>
      </w:pPr>
    </w:p>
    <w:p>
      <w:pPr>
        <w:pStyle w:val="1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本项目供货期为</w:t>
      </w:r>
      <w:r>
        <w:rPr>
          <w:rFonts w:hint="eastAsia" w:ascii="仿宋" w:hAnsi="仿宋" w:eastAsia="仿宋" w:cs="仿宋"/>
          <w:color w:val="auto"/>
          <w:kern w:val="2"/>
          <w:sz w:val="30"/>
          <w:szCs w:val="30"/>
          <w:lang w:val="en-US" w:eastAsia="zh-CN"/>
        </w:rPr>
        <w:t>2024年4月1日-2024年12月31日</w:t>
      </w:r>
      <w:r>
        <w:rPr>
          <w:rFonts w:hint="eastAsia" w:ascii="仿宋" w:hAnsi="仿宋" w:eastAsia="仿宋" w:cs="仿宋"/>
          <w:color w:val="auto"/>
          <w:kern w:val="2"/>
          <w:sz w:val="30"/>
          <w:szCs w:val="30"/>
          <w:lang w:eastAsia="zh-CN"/>
        </w:rPr>
        <w:t>，</w:t>
      </w:r>
      <w:r>
        <w:rPr>
          <w:rFonts w:hint="eastAsia" w:ascii="仿宋" w:hAnsi="仿宋" w:eastAsia="仿宋" w:cs="仿宋"/>
          <w:color w:val="auto"/>
          <w:kern w:val="2"/>
          <w:sz w:val="30"/>
          <w:szCs w:val="30"/>
        </w:rPr>
        <w:t>根据采购人实际需要，分批次供货。供应商接到采购人送货通知后，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w:t>
      </w:r>
      <w:r>
        <w:rPr>
          <w:rFonts w:hint="eastAsia" w:ascii="仿宋" w:hAnsi="仿宋" w:eastAsia="仿宋" w:cs="仿宋"/>
          <w:color w:val="auto"/>
          <w:kern w:val="2"/>
          <w:sz w:val="30"/>
          <w:szCs w:val="30"/>
          <w:lang w:val="en-US" w:eastAsia="zh-CN"/>
        </w:rPr>
        <w:t>六个月</w:t>
      </w:r>
      <w:r>
        <w:rPr>
          <w:rFonts w:hint="eastAsia" w:ascii="仿宋" w:hAnsi="仿宋" w:eastAsia="仿宋" w:cs="仿宋"/>
          <w:color w:val="auto"/>
          <w:kern w:val="2"/>
          <w:sz w:val="30"/>
          <w:szCs w:val="30"/>
          <w:lang w:eastAsia="zh-CN"/>
        </w:rPr>
        <w:t>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供货范围及价格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第二条  交货时间、地点</w:t>
      </w:r>
      <w:r>
        <w:rPr>
          <w:rFonts w:hint="eastAsia" w:ascii="黑体" w:hAnsi="黑体" w:eastAsia="黑体" w:cs="黑体"/>
          <w:sz w:val="28"/>
          <w:szCs w:val="28"/>
          <w:lang w:eastAsia="zh-CN"/>
        </w:rPr>
        <w:t>、要求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1、交货时间：合同签订后</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天供货。</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2、交货地点：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3、交货要求：交货时，应附有相应的装货清单、合格证及相关技术资料。（如有）</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每次送货完成后，中标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w:t>
      </w:r>
      <w:r>
        <w:rPr>
          <w:rFonts w:hint="eastAsia" w:ascii="仿宋" w:hAnsi="仿宋" w:eastAsia="仿宋" w:cs="仿宋"/>
          <w:color w:val="auto"/>
          <w:kern w:val="2"/>
          <w:sz w:val="30"/>
          <w:szCs w:val="30"/>
          <w:lang w:val="en-US" w:eastAsia="zh-CN"/>
        </w:rPr>
        <w:t>六个月</w:t>
      </w:r>
      <w:r>
        <w:rPr>
          <w:rFonts w:hint="eastAsia" w:ascii="仿宋" w:hAnsi="仿宋" w:eastAsia="仿宋" w:cs="仿宋"/>
          <w:color w:val="auto"/>
          <w:kern w:val="2"/>
          <w:sz w:val="30"/>
          <w:szCs w:val="30"/>
          <w:lang w:eastAsia="zh-CN"/>
        </w:rPr>
        <w:t>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反商业贿赂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双方同意，双方将清楚并严格遵守关于反商业贿赂及其他相关法律规定，双方及其员工均不向对方业务人员或其他与本合同业务有关人员直接或间接地索要、收受、提供、给予协议约定外的任何利益，</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但不限于明扣、暗扣、现金、购物卡、实物、有价证券、旅游或其他非物质性利益等，及其他任何形式的、可能对本合同的签署或履行产生实质性影响的利益。若合同双方任意一方违反前述约定的，另一方有权解除本合同，不支付任何报酬或要求退还所支付的报酬:或要求违约方继续履行本合同，并向另一方支付相当于本合同总金额5%的违约金，在因本项目从任何第三人处收受未经披露的任何形式的报酬或利益时，还应将该报酬或利益转移给另一方。由此给另一方造成的损失以及可能引起的对第三人的责任，均由违约方承担。另一方同时可向国家有关部门就违约方的行为进行举报，违约方应当履行协助并配合调查等义务。</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4"/>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pPr>
        <w:jc w:val="left"/>
        <w:outlineLvl w:val="0"/>
        <w:rPr>
          <w:rStyle w:val="20"/>
          <w:rFonts w:hint="eastAsia" w:ascii="仿宋" w:hAnsi="仿宋" w:eastAsia="仿宋" w:cs="仿宋"/>
          <w:sz w:val="30"/>
        </w:rPr>
      </w:pPr>
      <w:bookmarkStart w:id="15" w:name="_Toc22901"/>
      <w:r>
        <w:rPr>
          <w:rStyle w:val="20"/>
          <w:rFonts w:hint="eastAsia" w:ascii="仿宋" w:hAnsi="仿宋" w:eastAsia="仿宋" w:cs="仿宋"/>
          <w:sz w:val="30"/>
        </w:rPr>
        <w:t>附件一：</w:t>
      </w:r>
      <w:bookmarkEnd w:id="15"/>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年度热电偶</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SX-CG-BJ-2401022</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4</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6" w:name="_Toc20355"/>
      <w:r>
        <w:rPr>
          <w:rStyle w:val="20"/>
          <w:rFonts w:hint="eastAsia" w:ascii="仿宋" w:hAnsi="仿宋" w:eastAsia="仿宋" w:cs="仿宋"/>
          <w:sz w:val="30"/>
        </w:rPr>
        <w:t>附件二</w:t>
      </w:r>
      <w:bookmarkEnd w:id="16"/>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绍兴市再生能源发展有限公司年度热电偶采购 </w:t>
      </w:r>
      <w:r>
        <w:rPr>
          <w:rFonts w:hint="eastAsia" w:ascii="仿宋" w:hAnsi="仿宋" w:eastAsia="仿宋" w:cs="仿宋"/>
          <w:sz w:val="30"/>
          <w:szCs w:val="30"/>
          <w:u w:val="none"/>
          <w:lang w:val="en-US" w:eastAsia="zh-CN"/>
        </w:rPr>
        <w:t>项目。</w:t>
      </w:r>
    </w:p>
    <w:tbl>
      <w:tblPr>
        <w:tblStyle w:val="13"/>
        <w:tblW w:w="4979" w:type="pct"/>
        <w:jc w:val="center"/>
        <w:tblLayout w:type="fixed"/>
        <w:tblCellMar>
          <w:top w:w="0" w:type="dxa"/>
          <w:left w:w="108" w:type="dxa"/>
          <w:bottom w:w="0" w:type="dxa"/>
          <w:right w:w="108" w:type="dxa"/>
        </w:tblCellMar>
      </w:tblPr>
      <w:tblGrid>
        <w:gridCol w:w="696"/>
        <w:gridCol w:w="1331"/>
        <w:gridCol w:w="2475"/>
        <w:gridCol w:w="750"/>
        <w:gridCol w:w="735"/>
        <w:gridCol w:w="866"/>
        <w:gridCol w:w="1198"/>
        <w:gridCol w:w="1198"/>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13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4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75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86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限价（单价）</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1</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WRN-331NM，分度号：K，精度：Ⅱ级，测量范围：0~1300℃，总长度：L=960mm，插入长度：760mm，耐磨长度：480mm，保护管材料：GH3030,保护管直径:25，PN:10Mpa</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25</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支</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1300</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WRN-331NM，分度号：K，精度：Ⅱ级，测量范围：0~1300℃，总长度：L=1100mm，插入长度：900mm，耐磨长度：600mm，保护管材料：GH3030,保护管直径:25，PN:10Mpa</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50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支</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1400</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3</w:t>
            </w:r>
          </w:p>
        </w:tc>
        <w:tc>
          <w:tcPr>
            <w:tcW w:w="13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装配热电偶</w:t>
            </w:r>
          </w:p>
        </w:tc>
        <w:tc>
          <w:tcPr>
            <w:tcW w:w="24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WRN-331NM，分度号：K，精度：Ⅱ级，测量范围：0~1300℃，总长度：L=1400mm，插入长度：1200mm，耐磨长度：900mm，保护管材料：GH3030,保护管直径:25，PN:10Mpa</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eastAsia="zh-CN"/>
              </w:rPr>
            </w:pPr>
            <w:r>
              <w:rPr>
                <w:rFonts w:hint="eastAsia" w:ascii="仿宋" w:hAnsi="仿宋" w:eastAsia="仿宋" w:cs="仿宋"/>
                <w:i w:val="0"/>
                <w:iCs w:val="0"/>
                <w:color w:val="auto"/>
                <w:kern w:val="0"/>
                <w:sz w:val="24"/>
                <w:szCs w:val="24"/>
                <w:highlight w:val="none"/>
                <w:u w:val="none"/>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lang w:val="en-US" w:eastAsia="zh-CN"/>
              </w:rPr>
            </w:pPr>
            <w:r>
              <w:rPr>
                <w:rFonts w:hint="eastAsia" w:ascii="仿宋" w:hAnsi="仿宋" w:eastAsia="仿宋" w:cs="仿宋"/>
                <w:i w:val="0"/>
                <w:iCs w:val="0"/>
                <w:color w:val="auto"/>
                <w:kern w:val="0"/>
                <w:sz w:val="24"/>
                <w:szCs w:val="24"/>
                <w:highlight w:val="none"/>
                <w:u w:val="none"/>
                <w:lang w:val="en-US" w:eastAsia="zh-CN" w:bidi="ar"/>
              </w:rPr>
              <w:t>支</w:t>
            </w:r>
          </w:p>
        </w:tc>
        <w:tc>
          <w:tcPr>
            <w:tcW w:w="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right"/>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1800</w:t>
            </w:r>
          </w:p>
        </w:tc>
      </w:tr>
    </w:tbl>
    <w:p>
      <w:pPr>
        <w:pStyle w:val="1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每次送货完成后，中标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w:t>
      </w:r>
      <w:r>
        <w:rPr>
          <w:rFonts w:hint="eastAsia" w:ascii="仿宋" w:hAnsi="仿宋" w:eastAsia="仿宋" w:cs="仿宋"/>
          <w:color w:val="auto"/>
          <w:kern w:val="2"/>
          <w:sz w:val="30"/>
          <w:szCs w:val="30"/>
          <w:lang w:val="en-US" w:eastAsia="zh-CN"/>
        </w:rPr>
        <w:t>六个月</w:t>
      </w:r>
      <w:r>
        <w:rPr>
          <w:rFonts w:hint="eastAsia" w:ascii="仿宋" w:hAnsi="仿宋" w:eastAsia="仿宋" w:cs="仿宋"/>
          <w:color w:val="auto"/>
          <w:kern w:val="2"/>
          <w:sz w:val="30"/>
          <w:szCs w:val="30"/>
          <w:lang w:eastAsia="zh-CN"/>
        </w:rPr>
        <w:t>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壹拾肆万</w:t>
      </w:r>
      <w:r>
        <w:rPr>
          <w:rFonts w:hint="eastAsia" w:ascii="仿宋" w:hAnsi="仿宋" w:eastAsia="仿宋" w:cs="仿宋"/>
          <w:sz w:val="30"/>
          <w:szCs w:val="30"/>
        </w:rPr>
        <w:t>元</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达到该金额或合同内标的物已全部供货完成则合同自动终止</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2、该采购项目履约保证金为合同价的5%。中标人于合同签订前将履约保证金打入招标人指定账户。合同履行完成后，履约保证金转为质保金。质保期满后，招标人退还质保金（无息）。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3、中标人在合同履行期间出现违约行为，招标人可扣除相应履约保证金/质保金，并向中标人追究相应经济损失。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5、预估数量并非全年确切送货数量。双方签订合同后，根据采购人的生产需求确定单次确切送货数量，供货方需存有备货或生产物料，在十日内完成生产并送达现场，送货地点绍兴市再生能源发展有限公司；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6、每批热电偶必须随货需附一份检测报告。若采购方需要额外检测报告则由采购方送检至第三方进行检测，检测费用由供货方负责。</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7、热电偶质保期需达到六个月。如质保期内的热电偶因质量问题造成生产损坏，供货方需免费换新，承担相应责任并赔偿采购方经济损失。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8、供货期间前四个月（2024年4月1日-2024年7月31日）为试用期。试用期内使用的热电偶若出现质量问题，款项不予结算，若因热电偶导致采购方设备损坏等情况，供货方需赔偿采购方相应经济损失。试用期内使用且并未出现质量问题的热电偶于试用期结束后供货方统一开票，采购方于次二月完成货款支付</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9、以上总价应为含税全包价，包括运费、税费等一切费用，发票必须为增值税专用发票。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4</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pPr>
        <w:spacing w:line="480" w:lineRule="auto"/>
        <w:jc w:val="left"/>
        <w:outlineLvl w:val="0"/>
        <w:rPr>
          <w:rFonts w:hint="eastAsia" w:ascii="仿宋" w:hAnsi="仿宋" w:eastAsia="仿宋" w:cs="仿宋"/>
          <w:b/>
          <w:spacing w:val="-2"/>
          <w:sz w:val="30"/>
        </w:rPr>
      </w:pPr>
      <w:bookmarkStart w:id="17" w:name="_Toc103165678"/>
      <w:bookmarkStart w:id="18" w:name="_Toc108839328"/>
      <w:bookmarkStart w:id="19" w:name="_Toc29413"/>
      <w:r>
        <w:rPr>
          <w:rStyle w:val="20"/>
          <w:rFonts w:hint="eastAsia" w:ascii="仿宋" w:hAnsi="仿宋" w:eastAsia="仿宋" w:cs="仿宋"/>
          <w:sz w:val="30"/>
        </w:rPr>
        <w:t>附件</w:t>
      </w:r>
      <w:bookmarkEnd w:id="17"/>
      <w:bookmarkEnd w:id="18"/>
      <w:r>
        <w:rPr>
          <w:rStyle w:val="20"/>
          <w:rFonts w:hint="eastAsia" w:ascii="仿宋" w:hAnsi="仿宋" w:eastAsia="仿宋" w:cs="仿宋"/>
          <w:sz w:val="30"/>
        </w:rPr>
        <w:t>三</w:t>
      </w:r>
      <w:bookmarkEnd w:id="19"/>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lang w:val="en-US" w:eastAsia="zh-CN"/>
        </w:rPr>
        <w:t>年度热电偶</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四</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C79575F"/>
    <w:multiLevelType w:val="singleLevel"/>
    <w:tmpl w:val="8C79575F"/>
    <w:lvl w:ilvl="0" w:tentative="0">
      <w:start w:val="12"/>
      <w:numFmt w:val="chineseCounting"/>
      <w:suff w:val="space"/>
      <w:lvlText w:val="第%1条"/>
      <w:lvlJc w:val="left"/>
      <w:rPr>
        <w:rFonts w:hint="eastAsia"/>
      </w:rPr>
    </w:lvl>
  </w:abstractNum>
  <w:abstractNum w:abstractNumId="2">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3">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AF6242"/>
    <w:multiLevelType w:val="singleLevel"/>
    <w:tmpl w:val="05AF6242"/>
    <w:lvl w:ilvl="0" w:tentative="0">
      <w:start w:val="5"/>
      <w:numFmt w:val="chineseCounting"/>
      <w:suff w:val="space"/>
      <w:lvlText w:val="第%1条"/>
      <w:lvlJc w:val="left"/>
      <w:rPr>
        <w:rFonts w:hint="eastAsia"/>
      </w:rPr>
    </w:lvl>
  </w:abstractNum>
  <w:abstractNum w:abstractNumId="5">
    <w:nsid w:val="4CC8527C"/>
    <w:multiLevelType w:val="singleLevel"/>
    <w:tmpl w:val="4CC8527C"/>
    <w:lvl w:ilvl="0" w:tentative="0">
      <w:start w:val="6"/>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276E3B"/>
    <w:rsid w:val="02834D04"/>
    <w:rsid w:val="038D5656"/>
    <w:rsid w:val="04605697"/>
    <w:rsid w:val="05D22118"/>
    <w:rsid w:val="06057AB3"/>
    <w:rsid w:val="067A3460"/>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AFB2B32"/>
    <w:rsid w:val="3B0953A4"/>
    <w:rsid w:val="3C302F1C"/>
    <w:rsid w:val="3C8719BD"/>
    <w:rsid w:val="3CE46170"/>
    <w:rsid w:val="3D7933CA"/>
    <w:rsid w:val="3DAC3CC7"/>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B81983"/>
    <w:rsid w:val="4DF66F25"/>
    <w:rsid w:val="4E376DB9"/>
    <w:rsid w:val="4E716394"/>
    <w:rsid w:val="4ECC39F8"/>
    <w:rsid w:val="4F0A3ECF"/>
    <w:rsid w:val="4F595384"/>
    <w:rsid w:val="4F7F3CCA"/>
    <w:rsid w:val="502844C8"/>
    <w:rsid w:val="516644C2"/>
    <w:rsid w:val="51D845E4"/>
    <w:rsid w:val="52341DDD"/>
    <w:rsid w:val="531111FC"/>
    <w:rsid w:val="533444FB"/>
    <w:rsid w:val="55C54FE9"/>
    <w:rsid w:val="55E07717"/>
    <w:rsid w:val="56397366"/>
    <w:rsid w:val="58080247"/>
    <w:rsid w:val="5950112B"/>
    <w:rsid w:val="59C3293C"/>
    <w:rsid w:val="5A1C766A"/>
    <w:rsid w:val="5CF528AB"/>
    <w:rsid w:val="5D132301"/>
    <w:rsid w:val="5F1E1E73"/>
    <w:rsid w:val="5F464BF6"/>
    <w:rsid w:val="612A3DEE"/>
    <w:rsid w:val="62B67083"/>
    <w:rsid w:val="63292888"/>
    <w:rsid w:val="649C599A"/>
    <w:rsid w:val="66B027B6"/>
    <w:rsid w:val="671A2875"/>
    <w:rsid w:val="67966EFB"/>
    <w:rsid w:val="67B628F5"/>
    <w:rsid w:val="682119CD"/>
    <w:rsid w:val="69A94E0C"/>
    <w:rsid w:val="6B656B47"/>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autoRedefine/>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style>
  <w:style w:type="paragraph" w:styleId="3">
    <w:name w:val="Body Text Indent"/>
    <w:basedOn w:val="1"/>
    <w:autoRedefine/>
    <w:qFormat/>
    <w:uiPriority w:val="0"/>
    <w:pPr>
      <w:spacing w:line="480" w:lineRule="auto"/>
      <w:ind w:firstLine="600"/>
    </w:pPr>
    <w:rPr>
      <w:sz w:val="28"/>
    </w:rPr>
  </w:style>
  <w:style w:type="paragraph" w:styleId="5">
    <w:name w:val="annotation text"/>
    <w:basedOn w:val="1"/>
    <w:autoRedefine/>
    <w:qFormat/>
    <w:uiPriority w:val="0"/>
    <w:pPr>
      <w:jc w:val="left"/>
    </w:pPr>
  </w:style>
  <w:style w:type="paragraph" w:styleId="6">
    <w:name w:val="Body Text"/>
    <w:basedOn w:val="1"/>
    <w:next w:val="1"/>
    <w:autoRedefine/>
    <w:qFormat/>
    <w:uiPriority w:val="1"/>
    <w:pPr>
      <w:spacing w:after="120" w:afterLines="0"/>
    </w:pPr>
  </w:style>
  <w:style w:type="paragraph" w:styleId="7">
    <w:name w:val="Balloon Text"/>
    <w:basedOn w:val="1"/>
    <w:link w:val="24"/>
    <w:autoRedefine/>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jc w:val="left"/>
    </w:pPr>
    <w:rPr>
      <w:b/>
      <w:caps/>
    </w:rPr>
  </w:style>
  <w:style w:type="paragraph" w:styleId="11">
    <w:name w:val="Title"/>
    <w:basedOn w:val="1"/>
    <w:autoRedefine/>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autoRedefine/>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autoRedefine/>
    <w:qFormat/>
    <w:uiPriority w:val="0"/>
  </w:style>
  <w:style w:type="character" w:styleId="17">
    <w:name w:val="Hyperlink"/>
    <w:autoRedefine/>
    <w:qFormat/>
    <w:uiPriority w:val="99"/>
    <w:rPr>
      <w:color w:val="0000FF"/>
      <w:u w:val="single"/>
    </w:rPr>
  </w:style>
  <w:style w:type="character" w:styleId="18">
    <w:name w:val="annotation reference"/>
    <w:basedOn w:val="15"/>
    <w:autoRedefine/>
    <w:qFormat/>
    <w:uiPriority w:val="0"/>
    <w:rPr>
      <w:sz w:val="21"/>
      <w:szCs w:val="21"/>
    </w:rPr>
  </w:style>
  <w:style w:type="paragraph" w:customStyle="1" w:styleId="19">
    <w:name w:val="正文文字缩进"/>
    <w:basedOn w:val="1"/>
    <w:autoRedefine/>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autoRedefine/>
    <w:qFormat/>
    <w:uiPriority w:val="0"/>
    <w:rPr>
      <w:rFonts w:eastAsia="宋体"/>
      <w:b/>
      <w:spacing w:val="-2"/>
      <w:sz w:val="24"/>
      <w:lang w:val="en-US" w:eastAsia="zh-CN"/>
    </w:rPr>
  </w:style>
  <w:style w:type="paragraph" w:customStyle="1" w:styleId="21">
    <w:name w:val="一、标题"/>
    <w:basedOn w:val="1"/>
    <w:autoRedefine/>
    <w:qFormat/>
    <w:uiPriority w:val="0"/>
    <w:rPr>
      <w:b/>
      <w:sz w:val="28"/>
    </w:rPr>
  </w:style>
  <w:style w:type="paragraph" w:styleId="22">
    <w:name w:val="List Paragraph"/>
    <w:basedOn w:val="1"/>
    <w:autoRedefine/>
    <w:qFormat/>
    <w:uiPriority w:val="34"/>
    <w:pPr>
      <w:ind w:firstLine="420" w:firstLineChars="200"/>
    </w:pPr>
  </w:style>
  <w:style w:type="character" w:customStyle="1" w:styleId="23">
    <w:name w:val="页眉 Char"/>
    <w:basedOn w:val="15"/>
    <w:link w:val="9"/>
    <w:autoRedefine/>
    <w:qFormat/>
    <w:uiPriority w:val="0"/>
    <w:rPr>
      <w:kern w:val="2"/>
      <w:sz w:val="18"/>
      <w:szCs w:val="18"/>
    </w:rPr>
  </w:style>
  <w:style w:type="character" w:customStyle="1" w:styleId="24">
    <w:name w:val="批注框文本 Char"/>
    <w:basedOn w:val="15"/>
    <w:link w:val="7"/>
    <w:autoRedefine/>
    <w:qFormat/>
    <w:uiPriority w:val="0"/>
    <w:rPr>
      <w:kern w:val="2"/>
      <w:sz w:val="18"/>
      <w:szCs w:val="18"/>
    </w:rPr>
  </w:style>
  <w:style w:type="character" w:customStyle="1" w:styleId="25">
    <w:name w:val="font31"/>
    <w:basedOn w:val="15"/>
    <w:autoRedefine/>
    <w:qFormat/>
    <w:uiPriority w:val="0"/>
    <w:rPr>
      <w:rFonts w:hint="eastAsia" w:ascii="宋体" w:hAnsi="宋体" w:eastAsia="宋体" w:cs="宋体"/>
      <w:color w:val="000000"/>
      <w:sz w:val="22"/>
      <w:szCs w:val="22"/>
      <w:u w:val="none"/>
    </w:rPr>
  </w:style>
  <w:style w:type="character" w:customStyle="1" w:styleId="26">
    <w:name w:val="font51"/>
    <w:basedOn w:val="15"/>
    <w:autoRedefine/>
    <w:qFormat/>
    <w:uiPriority w:val="0"/>
    <w:rPr>
      <w:rFonts w:hint="default" w:ascii="Times New Roman" w:hAnsi="Times New Roman" w:cs="Times New Roman"/>
      <w:color w:val="000000"/>
      <w:sz w:val="22"/>
      <w:szCs w:val="22"/>
      <w:u w:val="none"/>
    </w:rPr>
  </w:style>
  <w:style w:type="character" w:customStyle="1" w:styleId="27">
    <w:name w:val="font41"/>
    <w:basedOn w:val="15"/>
    <w:autoRedefine/>
    <w:qFormat/>
    <w:uiPriority w:val="0"/>
    <w:rPr>
      <w:rFonts w:ascii="仿宋_GB2312" w:eastAsia="仿宋_GB2312" w:cs="仿宋_GB2312"/>
      <w:color w:val="000000"/>
      <w:sz w:val="22"/>
      <w:szCs w:val="22"/>
      <w:u w:val="none"/>
    </w:rPr>
  </w:style>
  <w:style w:type="character" w:customStyle="1" w:styleId="28">
    <w:name w:val="font21"/>
    <w:basedOn w:val="15"/>
    <w:autoRedefine/>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autoRedefine/>
    <w:qFormat/>
    <w:uiPriority w:val="0"/>
    <w:rPr>
      <w:rFonts w:hint="eastAsia" w:ascii="宋体" w:hAnsi="宋体" w:eastAsia="宋体" w:cs="宋体"/>
      <w:color w:val="000000"/>
      <w:sz w:val="22"/>
      <w:szCs w:val="22"/>
      <w:u w:val="none"/>
    </w:rPr>
  </w:style>
  <w:style w:type="character" w:customStyle="1" w:styleId="30">
    <w:name w:val="font11"/>
    <w:basedOn w:val="15"/>
    <w:autoRedefine/>
    <w:qFormat/>
    <w:uiPriority w:val="0"/>
    <w:rPr>
      <w:rFonts w:hint="eastAsia" w:ascii="宋体" w:hAnsi="宋体" w:eastAsia="宋体" w:cs="宋体"/>
      <w:color w:val="000000"/>
      <w:sz w:val="24"/>
      <w:szCs w:val="24"/>
      <w:u w:val="none"/>
    </w:rPr>
  </w:style>
  <w:style w:type="paragraph" w:customStyle="1" w:styleId="31">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autoRedefine/>
    <w:qFormat/>
    <w:uiPriority w:val="0"/>
    <w:rPr>
      <w:rFonts w:ascii="宋体" w:hAnsi="宋体" w:eastAsia="宋体" w:cs="宋体"/>
      <w:color w:val="000000"/>
      <w:sz w:val="20"/>
      <w:szCs w:val="20"/>
      <w:u w:val="none"/>
    </w:rPr>
  </w:style>
  <w:style w:type="character" w:customStyle="1" w:styleId="33">
    <w:name w:val="font71"/>
    <w:basedOn w:val="15"/>
    <w:autoRedefine/>
    <w:qFormat/>
    <w:uiPriority w:val="0"/>
    <w:rPr>
      <w:rFonts w:hint="eastAsia" w:ascii="仿宋" w:hAnsi="仿宋" w:eastAsia="仿宋" w:cs="仿宋"/>
      <w:color w:val="000000"/>
      <w:sz w:val="22"/>
      <w:szCs w:val="22"/>
      <w:u w:val="none"/>
    </w:rPr>
  </w:style>
  <w:style w:type="paragraph" w:customStyle="1" w:styleId="34">
    <w:name w:val="样式1"/>
    <w:basedOn w:val="1"/>
    <w:autoRedefine/>
    <w:qFormat/>
    <w:uiPriority w:val="0"/>
    <w:pPr>
      <w:spacing w:line="240" w:lineRule="exact"/>
    </w:pPr>
    <w:rPr>
      <w:rFonts w:ascii="宋体" w:hAnsi="宋体" w:eastAsia="宋体"/>
      <w:sz w:val="24"/>
      <w:szCs w:val="24"/>
    </w:rPr>
  </w:style>
  <w:style w:type="character" w:customStyle="1" w:styleId="35">
    <w:name w:val="标题 1 Char"/>
    <w:link w:val="4"/>
    <w:autoRedefine/>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4075</Words>
  <Characters>4189</Characters>
  <Lines>53</Lines>
  <Paragraphs>15</Paragraphs>
  <TotalTime>0</TotalTime>
  <ScaleCrop>false</ScaleCrop>
  <LinksUpToDate>false</LinksUpToDate>
  <CharactersWithSpaces>4378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2024-01-18T01:54:49Z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07DEC81FD3E8410C8FC7D2A5303090D3</vt:lpwstr>
  </property>
</Properties>
</file>