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72"/>
        </w:rPr>
      </w:pPr>
    </w:p>
    <w:p>
      <w:pPr>
        <w:jc w:val="center"/>
        <w:rPr>
          <w:rFonts w:hint="eastAsia" w:ascii="仿宋" w:hAnsi="仿宋" w:eastAsia="仿宋" w:cs="仿宋"/>
          <w:sz w:val="72"/>
        </w:rPr>
      </w:pPr>
    </w:p>
    <w:p>
      <w:pPr>
        <w:jc w:val="center"/>
        <w:outlineLvl w:val="0"/>
        <w:rPr>
          <w:rFonts w:hint="eastAsia" w:ascii="仿宋_GB2312" w:hAnsi="宋体" w:eastAsia="仿宋_GB2312"/>
          <w:b/>
          <w:sz w:val="52"/>
          <w:szCs w:val="52"/>
        </w:rPr>
      </w:pPr>
      <w:bookmarkStart w:id="0" w:name="_Toc28009"/>
      <w:r>
        <w:rPr>
          <w:rFonts w:hint="eastAsia" w:ascii="仿宋_GB2312" w:hAnsi="宋体" w:eastAsia="仿宋_GB2312"/>
          <w:b/>
          <w:sz w:val="52"/>
          <w:szCs w:val="52"/>
          <w:lang w:eastAsia="zh-CN"/>
        </w:rPr>
        <w:t>绍兴市再生能源发展有限公司</w:t>
      </w:r>
      <w:bookmarkEnd w:id="0"/>
    </w:p>
    <w:p>
      <w:pPr>
        <w:pStyle w:val="12"/>
      </w:pPr>
    </w:p>
    <w:p>
      <w:pPr>
        <w:jc w:val="center"/>
        <w:rPr>
          <w:rFonts w:hint="default" w:ascii="仿宋_GB2312" w:hAnsi="宋体" w:eastAsia="仿宋_GB2312"/>
          <w:b/>
          <w:sz w:val="52"/>
          <w:szCs w:val="52"/>
          <w:lang w:val="en-US" w:eastAsia="zh-CN"/>
        </w:rPr>
      </w:pPr>
      <w:r>
        <w:rPr>
          <w:rFonts w:hint="eastAsia" w:ascii="仿宋_GB2312" w:hAnsi="宋体" w:eastAsia="仿宋_GB2312"/>
          <w:b/>
          <w:sz w:val="52"/>
          <w:szCs w:val="52"/>
          <w:lang w:val="en-US" w:eastAsia="zh-CN"/>
        </w:rPr>
        <w:t>电气备件采购项目</w:t>
      </w:r>
    </w:p>
    <w:p>
      <w:pPr>
        <w:jc w:val="center"/>
        <w:rPr>
          <w:rFonts w:hint="eastAsia" w:ascii="仿宋_GB2312" w:hAnsi="宋体" w:eastAsia="仿宋_GB2312"/>
          <w:b/>
          <w:sz w:val="52"/>
          <w:szCs w:val="52"/>
          <w:lang w:eastAsia="zh-CN"/>
        </w:rPr>
      </w:pPr>
      <w:r>
        <w:rPr>
          <w:rFonts w:hint="eastAsia" w:ascii="仿宋_GB2312" w:hAnsi="宋体" w:eastAsia="仿宋_GB2312"/>
          <w:b/>
          <w:sz w:val="52"/>
          <w:szCs w:val="52"/>
          <w:lang w:eastAsia="zh-CN"/>
        </w:rPr>
        <w:t>挂网</w:t>
      </w:r>
      <w:r>
        <w:rPr>
          <w:rFonts w:hint="eastAsia" w:ascii="仿宋_GB2312" w:hAnsi="宋体" w:eastAsia="仿宋_GB2312"/>
          <w:b/>
          <w:sz w:val="52"/>
          <w:szCs w:val="52"/>
        </w:rPr>
        <w:t>文件</w:t>
      </w:r>
    </w:p>
    <w:p>
      <w:pPr>
        <w:jc w:val="center"/>
        <w:rPr>
          <w:rFonts w:hint="eastAsia" w:ascii="仿宋" w:hAnsi="仿宋" w:eastAsia="仿宋" w:cs="仿宋"/>
          <w:b/>
          <w:sz w:val="48"/>
          <w:szCs w:val="48"/>
        </w:rPr>
      </w:pPr>
    </w:p>
    <w:p>
      <w:pPr>
        <w:spacing w:line="360" w:lineRule="auto"/>
        <w:rPr>
          <w:rFonts w:hint="eastAsia" w:ascii="仿宋" w:hAnsi="仿宋" w:eastAsia="仿宋" w:cs="仿宋"/>
          <w:sz w:val="40"/>
          <w:szCs w:val="48"/>
        </w:rPr>
      </w:pPr>
    </w:p>
    <w:p>
      <w:pPr>
        <w:spacing w:line="360" w:lineRule="auto"/>
        <w:rPr>
          <w:rFonts w:hint="eastAsia" w:ascii="仿宋" w:hAnsi="仿宋" w:eastAsia="仿宋" w:cs="仿宋"/>
          <w:sz w:val="40"/>
          <w:szCs w:val="48"/>
        </w:rPr>
      </w:pPr>
    </w:p>
    <w:p>
      <w:pPr>
        <w:spacing w:line="360" w:lineRule="auto"/>
        <w:rPr>
          <w:rFonts w:hint="eastAsia" w:ascii="仿宋" w:hAnsi="仿宋" w:eastAsia="仿宋" w:cs="仿宋"/>
          <w:sz w:val="40"/>
          <w:szCs w:val="48"/>
        </w:rPr>
      </w:pPr>
    </w:p>
    <w:p>
      <w:pPr>
        <w:spacing w:line="360" w:lineRule="auto"/>
        <w:jc w:val="center"/>
        <w:rPr>
          <w:rFonts w:hint="eastAsia" w:ascii="仿宋" w:hAnsi="仿宋" w:eastAsia="仿宋" w:cs="仿宋"/>
          <w:sz w:val="32"/>
          <w:szCs w:val="32"/>
          <w:u w:val="single"/>
          <w:lang w:val="en-US" w:eastAsia="zh-CN"/>
        </w:rPr>
      </w:pPr>
      <w:r>
        <w:rPr>
          <w:rFonts w:hint="eastAsia" w:ascii="仿宋" w:hAnsi="仿宋" w:eastAsia="仿宋" w:cs="仿宋"/>
          <w:sz w:val="32"/>
          <w:szCs w:val="32"/>
        </w:rPr>
        <w:t>采购编号：</w:t>
      </w:r>
      <w:r>
        <w:rPr>
          <w:rFonts w:hint="eastAsia" w:ascii="仿宋" w:hAnsi="仿宋" w:eastAsia="仿宋" w:cs="仿宋"/>
          <w:sz w:val="32"/>
          <w:szCs w:val="32"/>
          <w:u w:val="single"/>
          <w:lang w:val="en-US" w:eastAsia="zh-CN"/>
        </w:rPr>
        <w:t xml:space="preserve"> SX-CG-BJ-2401013 </w:t>
      </w:r>
    </w:p>
    <w:p>
      <w:pPr>
        <w:spacing w:line="360" w:lineRule="auto"/>
        <w:ind w:firstLine="80" w:firstLineChars="25"/>
        <w:jc w:val="center"/>
        <w:rPr>
          <w:rFonts w:hint="eastAsia" w:ascii="仿宋" w:hAnsi="仿宋" w:eastAsia="仿宋" w:cs="仿宋"/>
          <w:sz w:val="32"/>
          <w:szCs w:val="32"/>
          <w:u w:val="single"/>
          <w:lang w:val="en-US" w:eastAsia="zh-CN"/>
        </w:rPr>
      </w:pPr>
      <w:bookmarkStart w:id="1" w:name="OLE_LINK52"/>
      <w:bookmarkStart w:id="2" w:name="OLE_LINK53"/>
      <w:r>
        <w:rPr>
          <w:rFonts w:hint="eastAsia" w:ascii="仿宋" w:hAnsi="仿宋" w:eastAsia="仿宋" w:cs="仿宋"/>
          <w:sz w:val="32"/>
          <w:szCs w:val="32"/>
        </w:rPr>
        <w:t>项目名称：</w:t>
      </w:r>
      <w:bookmarkEnd w:id="1"/>
      <w:bookmarkEnd w:id="2"/>
      <w:r>
        <w:rPr>
          <w:rFonts w:hint="eastAsia" w:ascii="仿宋" w:hAnsi="仿宋" w:eastAsia="仿宋" w:cs="仿宋"/>
          <w:sz w:val="32"/>
          <w:szCs w:val="32"/>
          <w:u w:val="single"/>
          <w:lang w:val="en-US" w:eastAsia="zh-CN"/>
        </w:rPr>
        <w:t xml:space="preserve"> 电气备件</w:t>
      </w:r>
      <w:r>
        <w:rPr>
          <w:rFonts w:hint="eastAsia" w:ascii="仿宋" w:hAnsi="仿宋" w:eastAsia="仿宋" w:cs="仿宋"/>
          <w:sz w:val="32"/>
          <w:szCs w:val="32"/>
          <w:u w:val="single"/>
        </w:rPr>
        <w:t>采购</w:t>
      </w:r>
      <w:r>
        <w:rPr>
          <w:rFonts w:hint="eastAsia" w:ascii="仿宋" w:hAnsi="仿宋" w:eastAsia="仿宋" w:cs="仿宋"/>
          <w:sz w:val="32"/>
          <w:szCs w:val="32"/>
          <w:u w:val="single"/>
          <w:lang w:val="en-US" w:eastAsia="zh-CN"/>
        </w:rPr>
        <w:t>项目</w:t>
      </w:r>
    </w:p>
    <w:p>
      <w:pPr>
        <w:rPr>
          <w:rFonts w:hint="eastAsia" w:ascii="仿宋" w:hAnsi="仿宋" w:eastAsia="仿宋" w:cs="仿宋"/>
          <w:sz w:val="84"/>
        </w:rPr>
      </w:pPr>
    </w:p>
    <w:p>
      <w:pPr>
        <w:rPr>
          <w:rFonts w:hint="eastAsia" w:ascii="仿宋" w:hAnsi="仿宋" w:eastAsia="仿宋" w:cs="仿宋"/>
          <w:sz w:val="84"/>
        </w:rPr>
      </w:pPr>
    </w:p>
    <w:p>
      <w:pPr>
        <w:rPr>
          <w:rFonts w:hint="eastAsia" w:ascii="仿宋" w:hAnsi="仿宋" w:eastAsia="仿宋" w:cs="仿宋"/>
          <w:sz w:val="84"/>
        </w:rPr>
      </w:pPr>
    </w:p>
    <w:p>
      <w:pPr>
        <w:snapToGrid w:val="0"/>
        <w:spacing w:line="480" w:lineRule="auto"/>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绍兴市再生能源发展有限公司</w:t>
      </w:r>
    </w:p>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t>二○二</w:t>
      </w:r>
      <w:r>
        <w:rPr>
          <w:rFonts w:hint="eastAsia" w:ascii="仿宋" w:hAnsi="仿宋" w:eastAsia="仿宋" w:cs="仿宋"/>
          <w:sz w:val="32"/>
          <w:szCs w:val="32"/>
          <w:lang w:val="en-US" w:eastAsia="zh-CN"/>
        </w:rPr>
        <w:t>四</w:t>
      </w:r>
      <w:r>
        <w:rPr>
          <w:rFonts w:hint="eastAsia" w:ascii="仿宋" w:hAnsi="仿宋" w:eastAsia="仿宋" w:cs="仿宋"/>
          <w:sz w:val="32"/>
          <w:szCs w:val="32"/>
        </w:rPr>
        <w:t>年</w:t>
      </w:r>
      <w:r>
        <w:rPr>
          <w:rFonts w:hint="eastAsia" w:ascii="仿宋" w:hAnsi="仿宋" w:eastAsia="仿宋" w:cs="仿宋"/>
          <w:sz w:val="32"/>
          <w:szCs w:val="32"/>
          <w:lang w:val="en-US" w:eastAsia="zh-CN"/>
        </w:rPr>
        <w:t>一</w:t>
      </w:r>
      <w:r>
        <w:rPr>
          <w:rFonts w:hint="eastAsia" w:ascii="仿宋" w:hAnsi="仿宋" w:eastAsia="仿宋" w:cs="仿宋"/>
          <w:sz w:val="32"/>
          <w:szCs w:val="32"/>
        </w:rPr>
        <w:t>月</w:t>
      </w:r>
    </w:p>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br w:type="page"/>
      </w:r>
      <w:r>
        <w:rPr>
          <w:rFonts w:hint="eastAsia" w:ascii="仿宋" w:hAnsi="仿宋" w:eastAsia="仿宋" w:cs="仿宋"/>
          <w:sz w:val="52"/>
          <w:szCs w:val="32"/>
        </w:rPr>
        <w:t>目录</w:t>
      </w:r>
    </w:p>
    <w:p>
      <w:pPr>
        <w:pStyle w:val="10"/>
        <w:tabs>
          <w:tab w:val="right" w:leader="dot" w:pos="9070"/>
        </w:tabs>
        <w:rPr>
          <w:b w:val="0"/>
          <w:bCs/>
          <w:sz w:val="32"/>
          <w:szCs w:val="28"/>
        </w:rPr>
      </w:pPr>
      <w:r>
        <w:rPr>
          <w:rFonts w:hint="eastAsia" w:ascii="仿宋" w:hAnsi="仿宋" w:eastAsia="仿宋" w:cs="仿宋"/>
          <w:b w:val="0"/>
          <w:bCs/>
          <w:sz w:val="52"/>
          <w:szCs w:val="28"/>
        </w:rPr>
        <w:fldChar w:fldCharType="begin"/>
      </w:r>
      <w:r>
        <w:rPr>
          <w:rFonts w:hint="eastAsia" w:ascii="仿宋" w:hAnsi="仿宋" w:eastAsia="仿宋" w:cs="仿宋"/>
          <w:b w:val="0"/>
          <w:bCs/>
          <w:sz w:val="52"/>
          <w:szCs w:val="28"/>
        </w:rPr>
        <w:instrText xml:space="preserve">TOC \o "1-1" \h \u </w:instrText>
      </w:r>
      <w:r>
        <w:rPr>
          <w:rFonts w:hint="eastAsia" w:ascii="仿宋" w:hAnsi="仿宋" w:eastAsia="仿宋" w:cs="仿宋"/>
          <w:b w:val="0"/>
          <w:bCs/>
          <w:sz w:val="52"/>
          <w:szCs w:val="28"/>
        </w:rPr>
        <w:fldChar w:fldCharType="separate"/>
      </w: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_Toc28009 </w:instrText>
      </w:r>
      <w:r>
        <w:rPr>
          <w:rFonts w:hint="eastAsia" w:ascii="仿宋" w:hAnsi="仿宋" w:eastAsia="仿宋" w:cs="仿宋"/>
          <w:b w:val="0"/>
          <w:bCs/>
          <w:sz w:val="32"/>
          <w:szCs w:val="28"/>
        </w:rPr>
        <w:fldChar w:fldCharType="separate"/>
      </w:r>
      <w:r>
        <w:rPr>
          <w:rFonts w:hint="eastAsia" w:ascii="仿宋_GB2312" w:hAnsi="宋体" w:eastAsia="仿宋_GB2312"/>
          <w:b w:val="0"/>
          <w:bCs/>
          <w:sz w:val="32"/>
          <w:szCs w:val="144"/>
          <w:lang w:eastAsia="zh-CN"/>
        </w:rPr>
        <w:t>绍兴市再生能源发展有限公司</w:t>
      </w:r>
      <w:r>
        <w:rPr>
          <w:b w:val="0"/>
          <w:bCs/>
          <w:sz w:val="32"/>
          <w:szCs w:val="28"/>
        </w:rPr>
        <w:tab/>
      </w:r>
      <w:r>
        <w:rPr>
          <w:b w:val="0"/>
          <w:bCs/>
          <w:sz w:val="32"/>
          <w:szCs w:val="28"/>
        </w:rPr>
        <w:fldChar w:fldCharType="begin"/>
      </w:r>
      <w:r>
        <w:rPr>
          <w:b w:val="0"/>
          <w:bCs/>
          <w:sz w:val="32"/>
          <w:szCs w:val="28"/>
        </w:rPr>
        <w:instrText xml:space="preserve"> PAGEREF _Toc28009 \h </w:instrText>
      </w:r>
      <w:r>
        <w:rPr>
          <w:b w:val="0"/>
          <w:bCs/>
          <w:sz w:val="32"/>
          <w:szCs w:val="28"/>
        </w:rPr>
        <w:fldChar w:fldCharType="separate"/>
      </w:r>
      <w:r>
        <w:rPr>
          <w:b w:val="0"/>
          <w:bCs/>
          <w:sz w:val="32"/>
          <w:szCs w:val="28"/>
        </w:rPr>
        <w:t>1</w:t>
      </w:r>
      <w:r>
        <w:rPr>
          <w:b w:val="0"/>
          <w:bCs/>
          <w:sz w:val="32"/>
          <w:szCs w:val="28"/>
        </w:rPr>
        <w:fldChar w:fldCharType="end"/>
      </w:r>
      <w:r>
        <w:rPr>
          <w:rFonts w:hint="eastAsia" w:ascii="仿宋" w:hAnsi="仿宋" w:eastAsia="仿宋" w:cs="仿宋"/>
          <w:b w:val="0"/>
          <w:bCs/>
          <w:sz w:val="32"/>
          <w:szCs w:val="28"/>
        </w:rPr>
        <w:fldChar w:fldCharType="end"/>
      </w:r>
    </w:p>
    <w:p>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_Toc6995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kern w:val="44"/>
          <w:sz w:val="32"/>
          <w:szCs w:val="72"/>
          <w:lang w:val="en-US" w:eastAsia="zh-CN" w:bidi="ar-SA"/>
        </w:rPr>
        <w:t>第一部分   询价公告</w:t>
      </w:r>
      <w:r>
        <w:rPr>
          <w:b w:val="0"/>
          <w:bCs/>
          <w:sz w:val="32"/>
          <w:szCs w:val="28"/>
        </w:rPr>
        <w:tab/>
      </w:r>
      <w:r>
        <w:rPr>
          <w:b w:val="0"/>
          <w:bCs/>
          <w:sz w:val="32"/>
          <w:szCs w:val="28"/>
        </w:rPr>
        <w:fldChar w:fldCharType="begin"/>
      </w:r>
      <w:r>
        <w:rPr>
          <w:b w:val="0"/>
          <w:bCs/>
          <w:sz w:val="32"/>
          <w:szCs w:val="28"/>
        </w:rPr>
        <w:instrText xml:space="preserve"> PAGEREF _Toc6995 \h </w:instrText>
      </w:r>
      <w:r>
        <w:rPr>
          <w:b w:val="0"/>
          <w:bCs/>
          <w:sz w:val="32"/>
          <w:szCs w:val="28"/>
        </w:rPr>
        <w:fldChar w:fldCharType="separate"/>
      </w:r>
      <w:r>
        <w:rPr>
          <w:b w:val="0"/>
          <w:bCs/>
          <w:sz w:val="32"/>
          <w:szCs w:val="28"/>
        </w:rPr>
        <w:t>3</w:t>
      </w:r>
      <w:r>
        <w:rPr>
          <w:b w:val="0"/>
          <w:bCs/>
          <w:sz w:val="32"/>
          <w:szCs w:val="28"/>
        </w:rPr>
        <w:fldChar w:fldCharType="end"/>
      </w:r>
      <w:r>
        <w:rPr>
          <w:rFonts w:hint="eastAsia" w:ascii="仿宋" w:hAnsi="仿宋" w:eastAsia="仿宋" w:cs="仿宋"/>
          <w:b w:val="0"/>
          <w:bCs/>
          <w:sz w:val="32"/>
          <w:szCs w:val="28"/>
        </w:rPr>
        <w:fldChar w:fldCharType="end"/>
      </w:r>
    </w:p>
    <w:p>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_Toc23057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kern w:val="44"/>
          <w:sz w:val="32"/>
          <w:szCs w:val="72"/>
          <w:lang w:val="en-US" w:eastAsia="zh-CN" w:bidi="ar-SA"/>
        </w:rPr>
        <w:t>第二部分   采购须知</w:t>
      </w:r>
      <w:r>
        <w:rPr>
          <w:b w:val="0"/>
          <w:bCs/>
          <w:sz w:val="32"/>
          <w:szCs w:val="28"/>
        </w:rPr>
        <w:tab/>
      </w:r>
      <w:r>
        <w:rPr>
          <w:b w:val="0"/>
          <w:bCs/>
          <w:sz w:val="32"/>
          <w:szCs w:val="28"/>
        </w:rPr>
        <w:fldChar w:fldCharType="begin"/>
      </w:r>
      <w:r>
        <w:rPr>
          <w:b w:val="0"/>
          <w:bCs/>
          <w:sz w:val="32"/>
          <w:szCs w:val="28"/>
        </w:rPr>
        <w:instrText xml:space="preserve"> PAGEREF _Toc23057 \h </w:instrText>
      </w:r>
      <w:r>
        <w:rPr>
          <w:b w:val="0"/>
          <w:bCs/>
          <w:sz w:val="32"/>
          <w:szCs w:val="28"/>
        </w:rPr>
        <w:fldChar w:fldCharType="separate"/>
      </w:r>
      <w:r>
        <w:rPr>
          <w:b w:val="0"/>
          <w:bCs/>
          <w:sz w:val="32"/>
          <w:szCs w:val="28"/>
        </w:rPr>
        <w:t>6</w:t>
      </w:r>
      <w:r>
        <w:rPr>
          <w:b w:val="0"/>
          <w:bCs/>
          <w:sz w:val="32"/>
          <w:szCs w:val="28"/>
        </w:rPr>
        <w:fldChar w:fldCharType="end"/>
      </w:r>
      <w:r>
        <w:rPr>
          <w:rFonts w:hint="eastAsia" w:ascii="仿宋" w:hAnsi="仿宋" w:eastAsia="仿宋" w:cs="仿宋"/>
          <w:b w:val="0"/>
          <w:bCs/>
          <w:sz w:val="32"/>
          <w:szCs w:val="28"/>
        </w:rPr>
        <w:fldChar w:fldCharType="end"/>
      </w:r>
    </w:p>
    <w:p>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_Toc4053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rPr>
        <w:t>第三部分   询价内容</w:t>
      </w:r>
      <w:r>
        <w:rPr>
          <w:b w:val="0"/>
          <w:bCs/>
          <w:sz w:val="32"/>
          <w:szCs w:val="28"/>
        </w:rPr>
        <w:tab/>
      </w:r>
      <w:r>
        <w:rPr>
          <w:b w:val="0"/>
          <w:bCs/>
          <w:sz w:val="32"/>
          <w:szCs w:val="28"/>
        </w:rPr>
        <w:fldChar w:fldCharType="begin"/>
      </w:r>
      <w:r>
        <w:rPr>
          <w:b w:val="0"/>
          <w:bCs/>
          <w:sz w:val="32"/>
          <w:szCs w:val="28"/>
        </w:rPr>
        <w:instrText xml:space="preserve"> PAGEREF _Toc4053 \h </w:instrText>
      </w:r>
      <w:r>
        <w:rPr>
          <w:b w:val="0"/>
          <w:bCs/>
          <w:sz w:val="32"/>
          <w:szCs w:val="28"/>
        </w:rPr>
        <w:fldChar w:fldCharType="separate"/>
      </w:r>
      <w:r>
        <w:rPr>
          <w:b w:val="0"/>
          <w:bCs/>
          <w:sz w:val="32"/>
          <w:szCs w:val="28"/>
        </w:rPr>
        <w:t>10</w:t>
      </w:r>
      <w:r>
        <w:rPr>
          <w:b w:val="0"/>
          <w:bCs/>
          <w:sz w:val="32"/>
          <w:szCs w:val="28"/>
        </w:rPr>
        <w:fldChar w:fldCharType="end"/>
      </w:r>
      <w:r>
        <w:rPr>
          <w:rFonts w:hint="eastAsia" w:ascii="仿宋" w:hAnsi="仿宋" w:eastAsia="仿宋" w:cs="仿宋"/>
          <w:b w:val="0"/>
          <w:bCs/>
          <w:sz w:val="32"/>
          <w:szCs w:val="28"/>
        </w:rPr>
        <w:fldChar w:fldCharType="end"/>
      </w:r>
    </w:p>
    <w:p>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_Toc30277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lang w:val="en-US" w:eastAsia="zh-CN"/>
        </w:rPr>
        <w:t>第四部分   合同主要条款</w:t>
      </w:r>
      <w:r>
        <w:rPr>
          <w:b w:val="0"/>
          <w:bCs/>
          <w:sz w:val="32"/>
          <w:szCs w:val="28"/>
        </w:rPr>
        <w:tab/>
      </w:r>
      <w:r>
        <w:rPr>
          <w:b w:val="0"/>
          <w:bCs/>
          <w:sz w:val="32"/>
          <w:szCs w:val="28"/>
        </w:rPr>
        <w:fldChar w:fldCharType="begin"/>
      </w:r>
      <w:r>
        <w:rPr>
          <w:b w:val="0"/>
          <w:bCs/>
          <w:sz w:val="32"/>
          <w:szCs w:val="28"/>
        </w:rPr>
        <w:instrText xml:space="preserve"> PAGEREF _Toc30277 \h </w:instrText>
      </w:r>
      <w:r>
        <w:rPr>
          <w:b w:val="0"/>
          <w:bCs/>
          <w:sz w:val="32"/>
          <w:szCs w:val="28"/>
        </w:rPr>
        <w:fldChar w:fldCharType="separate"/>
      </w:r>
      <w:r>
        <w:rPr>
          <w:b w:val="0"/>
          <w:bCs/>
          <w:sz w:val="32"/>
          <w:szCs w:val="28"/>
        </w:rPr>
        <w:t>11</w:t>
      </w:r>
      <w:r>
        <w:rPr>
          <w:b w:val="0"/>
          <w:bCs/>
          <w:sz w:val="32"/>
          <w:szCs w:val="28"/>
        </w:rPr>
        <w:fldChar w:fldCharType="end"/>
      </w:r>
      <w:r>
        <w:rPr>
          <w:rFonts w:hint="eastAsia" w:ascii="仿宋" w:hAnsi="仿宋" w:eastAsia="仿宋" w:cs="仿宋"/>
          <w:b w:val="0"/>
          <w:bCs/>
          <w:sz w:val="32"/>
          <w:szCs w:val="28"/>
        </w:rPr>
        <w:fldChar w:fldCharType="end"/>
      </w:r>
    </w:p>
    <w:p>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_Toc21167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rPr>
        <w:t>第</w:t>
      </w:r>
      <w:r>
        <w:rPr>
          <w:rFonts w:hint="eastAsia" w:ascii="仿宋" w:hAnsi="仿宋" w:eastAsia="仿宋" w:cs="仿宋"/>
          <w:b w:val="0"/>
          <w:bCs/>
          <w:snapToGrid w:val="0"/>
          <w:sz w:val="32"/>
          <w:szCs w:val="72"/>
          <w:lang w:eastAsia="zh-CN"/>
        </w:rPr>
        <w:t>五</w:t>
      </w:r>
      <w:r>
        <w:rPr>
          <w:rFonts w:hint="eastAsia" w:ascii="仿宋" w:hAnsi="仿宋" w:eastAsia="仿宋" w:cs="仿宋"/>
          <w:b w:val="0"/>
          <w:bCs/>
          <w:snapToGrid w:val="0"/>
          <w:sz w:val="32"/>
          <w:szCs w:val="72"/>
        </w:rPr>
        <w:t>部分   报价文件格式</w:t>
      </w:r>
      <w:r>
        <w:rPr>
          <w:b w:val="0"/>
          <w:bCs/>
          <w:sz w:val="32"/>
          <w:szCs w:val="28"/>
        </w:rPr>
        <w:tab/>
      </w:r>
      <w:r>
        <w:rPr>
          <w:b w:val="0"/>
          <w:bCs/>
          <w:sz w:val="32"/>
          <w:szCs w:val="28"/>
        </w:rPr>
        <w:fldChar w:fldCharType="begin"/>
      </w:r>
      <w:r>
        <w:rPr>
          <w:b w:val="0"/>
          <w:bCs/>
          <w:sz w:val="32"/>
          <w:szCs w:val="28"/>
        </w:rPr>
        <w:instrText xml:space="preserve"> PAGEREF _Toc21167 \h </w:instrText>
      </w:r>
      <w:r>
        <w:rPr>
          <w:b w:val="0"/>
          <w:bCs/>
          <w:sz w:val="32"/>
          <w:szCs w:val="28"/>
        </w:rPr>
        <w:fldChar w:fldCharType="separate"/>
      </w:r>
      <w:r>
        <w:rPr>
          <w:b w:val="0"/>
          <w:bCs/>
          <w:sz w:val="32"/>
          <w:szCs w:val="28"/>
        </w:rPr>
        <w:t>15</w:t>
      </w:r>
      <w:r>
        <w:rPr>
          <w:b w:val="0"/>
          <w:bCs/>
          <w:sz w:val="32"/>
          <w:szCs w:val="28"/>
        </w:rPr>
        <w:fldChar w:fldCharType="end"/>
      </w:r>
      <w:r>
        <w:rPr>
          <w:rFonts w:hint="eastAsia" w:ascii="仿宋" w:hAnsi="仿宋" w:eastAsia="仿宋" w:cs="仿宋"/>
          <w:b w:val="0"/>
          <w:bCs/>
          <w:sz w:val="32"/>
          <w:szCs w:val="28"/>
        </w:rPr>
        <w:fldChar w:fldCharType="end"/>
      </w:r>
    </w:p>
    <w:p>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_Toc22901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附件一：</w:t>
      </w:r>
      <w:r>
        <w:rPr>
          <w:b w:val="0"/>
          <w:bCs/>
          <w:sz w:val="32"/>
          <w:szCs w:val="28"/>
        </w:rPr>
        <w:tab/>
      </w:r>
      <w:r>
        <w:rPr>
          <w:b w:val="0"/>
          <w:bCs/>
          <w:sz w:val="32"/>
          <w:szCs w:val="28"/>
        </w:rPr>
        <w:fldChar w:fldCharType="begin"/>
      </w:r>
      <w:r>
        <w:rPr>
          <w:b w:val="0"/>
          <w:bCs/>
          <w:sz w:val="32"/>
          <w:szCs w:val="28"/>
        </w:rPr>
        <w:instrText xml:space="preserve"> PAGEREF _Toc22901 \h </w:instrText>
      </w:r>
      <w:r>
        <w:rPr>
          <w:b w:val="0"/>
          <w:bCs/>
          <w:sz w:val="32"/>
          <w:szCs w:val="28"/>
        </w:rPr>
        <w:fldChar w:fldCharType="separate"/>
      </w:r>
      <w:r>
        <w:rPr>
          <w:b w:val="0"/>
          <w:bCs/>
          <w:sz w:val="32"/>
          <w:szCs w:val="28"/>
        </w:rPr>
        <w:t>15</w:t>
      </w:r>
      <w:r>
        <w:rPr>
          <w:b w:val="0"/>
          <w:bCs/>
          <w:sz w:val="32"/>
          <w:szCs w:val="28"/>
        </w:rPr>
        <w:fldChar w:fldCharType="end"/>
      </w:r>
      <w:r>
        <w:rPr>
          <w:rFonts w:hint="eastAsia" w:ascii="仿宋" w:hAnsi="仿宋" w:eastAsia="仿宋" w:cs="仿宋"/>
          <w:b w:val="0"/>
          <w:bCs/>
          <w:sz w:val="32"/>
          <w:szCs w:val="28"/>
        </w:rPr>
        <w:fldChar w:fldCharType="end"/>
      </w:r>
    </w:p>
    <w:p>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_Toc20355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附件二</w:t>
      </w:r>
      <w:r>
        <w:rPr>
          <w:b w:val="0"/>
          <w:bCs/>
          <w:sz w:val="32"/>
          <w:szCs w:val="28"/>
        </w:rPr>
        <w:tab/>
      </w:r>
      <w:r>
        <w:rPr>
          <w:b w:val="0"/>
          <w:bCs/>
          <w:sz w:val="32"/>
          <w:szCs w:val="28"/>
        </w:rPr>
        <w:fldChar w:fldCharType="begin"/>
      </w:r>
      <w:r>
        <w:rPr>
          <w:b w:val="0"/>
          <w:bCs/>
          <w:sz w:val="32"/>
          <w:szCs w:val="28"/>
        </w:rPr>
        <w:instrText xml:space="preserve"> PAGEREF _Toc20355 \h </w:instrText>
      </w:r>
      <w:r>
        <w:rPr>
          <w:b w:val="0"/>
          <w:bCs/>
          <w:sz w:val="32"/>
          <w:szCs w:val="28"/>
        </w:rPr>
        <w:fldChar w:fldCharType="separate"/>
      </w:r>
      <w:r>
        <w:rPr>
          <w:b w:val="0"/>
          <w:bCs/>
          <w:sz w:val="32"/>
          <w:szCs w:val="28"/>
        </w:rPr>
        <w:t>16</w:t>
      </w:r>
      <w:r>
        <w:rPr>
          <w:b w:val="0"/>
          <w:bCs/>
          <w:sz w:val="32"/>
          <w:szCs w:val="28"/>
        </w:rPr>
        <w:fldChar w:fldCharType="end"/>
      </w:r>
      <w:r>
        <w:rPr>
          <w:rFonts w:hint="eastAsia" w:ascii="仿宋" w:hAnsi="仿宋" w:eastAsia="仿宋" w:cs="仿宋"/>
          <w:b w:val="0"/>
          <w:bCs/>
          <w:sz w:val="32"/>
          <w:szCs w:val="28"/>
        </w:rPr>
        <w:fldChar w:fldCharType="end"/>
      </w:r>
    </w:p>
    <w:p>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_Toc29413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附件三</w:t>
      </w:r>
      <w:r>
        <w:rPr>
          <w:b w:val="0"/>
          <w:bCs/>
          <w:sz w:val="32"/>
          <w:szCs w:val="28"/>
        </w:rPr>
        <w:tab/>
      </w:r>
      <w:r>
        <w:rPr>
          <w:b w:val="0"/>
          <w:bCs/>
          <w:sz w:val="32"/>
          <w:szCs w:val="28"/>
        </w:rPr>
        <w:fldChar w:fldCharType="begin"/>
      </w:r>
      <w:r>
        <w:rPr>
          <w:b w:val="0"/>
          <w:bCs/>
          <w:sz w:val="32"/>
          <w:szCs w:val="28"/>
        </w:rPr>
        <w:instrText xml:space="preserve"> PAGEREF _Toc29413 \h </w:instrText>
      </w:r>
      <w:r>
        <w:rPr>
          <w:b w:val="0"/>
          <w:bCs/>
          <w:sz w:val="32"/>
          <w:szCs w:val="28"/>
        </w:rPr>
        <w:fldChar w:fldCharType="separate"/>
      </w:r>
      <w:r>
        <w:rPr>
          <w:b w:val="0"/>
          <w:bCs/>
          <w:sz w:val="32"/>
          <w:szCs w:val="28"/>
        </w:rPr>
        <w:t>18</w:t>
      </w:r>
      <w:r>
        <w:rPr>
          <w:b w:val="0"/>
          <w:bCs/>
          <w:sz w:val="32"/>
          <w:szCs w:val="28"/>
        </w:rPr>
        <w:fldChar w:fldCharType="end"/>
      </w:r>
      <w:r>
        <w:rPr>
          <w:rFonts w:hint="eastAsia" w:ascii="仿宋" w:hAnsi="仿宋" w:eastAsia="仿宋" w:cs="仿宋"/>
          <w:b w:val="0"/>
          <w:bCs/>
          <w:sz w:val="32"/>
          <w:szCs w:val="28"/>
        </w:rPr>
        <w:fldChar w:fldCharType="end"/>
      </w:r>
    </w:p>
    <w:p>
      <w:pPr>
        <w:rPr>
          <w:rFonts w:hint="eastAsia" w:ascii="仿宋" w:hAnsi="仿宋" w:eastAsia="仿宋" w:cs="仿宋"/>
          <w:sz w:val="56"/>
          <w:szCs w:val="32"/>
        </w:rPr>
      </w:pPr>
      <w:r>
        <w:rPr>
          <w:rFonts w:hint="eastAsia" w:ascii="仿宋" w:hAnsi="仿宋" w:eastAsia="仿宋" w:cs="仿宋"/>
          <w:b w:val="0"/>
          <w:bCs/>
          <w:sz w:val="32"/>
          <w:szCs w:val="28"/>
        </w:rPr>
        <w:fldChar w:fldCharType="end"/>
      </w:r>
    </w:p>
    <w:p>
      <w:pPr>
        <w:rPr>
          <w:rFonts w:hint="eastAsia" w:ascii="仿宋" w:hAnsi="仿宋" w:eastAsia="仿宋" w:cs="仿宋"/>
          <w:sz w:val="36"/>
        </w:rPr>
      </w:pPr>
    </w:p>
    <w:p>
      <w:pPr>
        <w:snapToGrid w:val="0"/>
        <w:jc w:val="center"/>
        <w:outlineLvl w:val="0"/>
        <w:rPr>
          <w:rFonts w:hint="eastAsia" w:ascii="仿宋" w:hAnsi="仿宋" w:eastAsia="仿宋" w:cs="仿宋"/>
          <w:snapToGrid w:val="0"/>
          <w:sz w:val="30"/>
          <w:szCs w:val="30"/>
        </w:rPr>
      </w:pPr>
      <w:r>
        <w:rPr>
          <w:rFonts w:hint="eastAsia" w:ascii="仿宋" w:hAnsi="仿宋" w:eastAsia="仿宋" w:cs="仿宋"/>
          <w:sz w:val="32"/>
          <w:szCs w:val="32"/>
        </w:rPr>
        <w:br w:type="page"/>
      </w:r>
      <w:bookmarkStart w:id="3" w:name="_Toc6995"/>
      <w:bookmarkStart w:id="4" w:name="_Toc530583921"/>
      <w:bookmarkStart w:id="5" w:name="_Toc530583878"/>
      <w:r>
        <w:rPr>
          <w:rFonts w:hint="eastAsia" w:ascii="仿宋" w:hAnsi="仿宋" w:eastAsia="仿宋" w:cs="仿宋"/>
          <w:b/>
          <w:snapToGrid w:val="0"/>
          <w:color w:val="000000"/>
          <w:kern w:val="44"/>
          <w:sz w:val="44"/>
          <w:szCs w:val="44"/>
          <w:lang w:val="en-US" w:eastAsia="zh-CN" w:bidi="ar-SA"/>
        </w:rPr>
        <w:t>第一部分   询价公告</w:t>
      </w:r>
      <w:bookmarkEnd w:id="3"/>
      <w:bookmarkEnd w:id="4"/>
      <w:bookmarkEnd w:id="5"/>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eastAsia="zh-CN"/>
        </w:rPr>
        <w:t>绍兴市再生能源发展有限公司</w:t>
      </w:r>
      <w:r>
        <w:rPr>
          <w:rFonts w:hint="eastAsia" w:ascii="仿宋" w:hAnsi="仿宋" w:eastAsia="仿宋" w:cs="仿宋"/>
          <w:sz w:val="30"/>
          <w:szCs w:val="30"/>
        </w:rPr>
        <w:t>因日常生产需要，需采购</w:t>
      </w:r>
      <w:r>
        <w:rPr>
          <w:rFonts w:hint="eastAsia" w:ascii="仿宋" w:hAnsi="仿宋" w:eastAsia="仿宋" w:cs="仿宋"/>
          <w:sz w:val="30"/>
          <w:szCs w:val="30"/>
          <w:lang w:val="en-US" w:eastAsia="zh-CN"/>
        </w:rPr>
        <w:t>电气备件</w:t>
      </w:r>
      <w:r>
        <w:rPr>
          <w:rFonts w:hint="eastAsia" w:ascii="仿宋" w:hAnsi="仿宋" w:eastAsia="仿宋" w:cs="仿宋"/>
          <w:sz w:val="30"/>
          <w:szCs w:val="30"/>
        </w:rPr>
        <w:t>一批，欢迎符合要求的供应商积极参与。</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一、采购内容及相关说明。</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1.项目编号：</w:t>
      </w:r>
      <w:r>
        <w:rPr>
          <w:rFonts w:hint="eastAsia" w:ascii="仿宋" w:hAnsi="仿宋" w:eastAsia="仿宋" w:cs="仿宋"/>
          <w:sz w:val="30"/>
          <w:szCs w:val="30"/>
          <w:lang w:val="en-US" w:eastAsia="zh-CN"/>
        </w:rPr>
        <w:t xml:space="preserve">SX-CG-BJ-2401013  </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2.采购内容：</w:t>
      </w:r>
    </w:p>
    <w:tbl>
      <w:tblPr>
        <w:tblStyle w:val="13"/>
        <w:tblW w:w="4990" w:type="pct"/>
        <w:jc w:val="center"/>
        <w:tblLayout w:type="autofit"/>
        <w:tblCellMar>
          <w:top w:w="0" w:type="dxa"/>
          <w:left w:w="108" w:type="dxa"/>
          <w:bottom w:w="0" w:type="dxa"/>
          <w:right w:w="108" w:type="dxa"/>
        </w:tblCellMar>
      </w:tblPr>
      <w:tblGrid>
        <w:gridCol w:w="885"/>
        <w:gridCol w:w="1973"/>
        <w:gridCol w:w="2895"/>
        <w:gridCol w:w="907"/>
        <w:gridCol w:w="903"/>
        <w:gridCol w:w="1704"/>
      </w:tblGrid>
      <w:tr>
        <w:tblPrEx>
          <w:tblCellMar>
            <w:top w:w="0" w:type="dxa"/>
            <w:left w:w="108" w:type="dxa"/>
            <w:bottom w:w="0" w:type="dxa"/>
            <w:right w:w="108" w:type="dxa"/>
          </w:tblCellMar>
        </w:tblPrEx>
        <w:trPr>
          <w:trHeight w:val="90" w:hRule="atLeast"/>
          <w:jc w:val="center"/>
        </w:trPr>
        <w:tc>
          <w:tcPr>
            <w:tcW w:w="4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10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产品名称</w:t>
            </w:r>
          </w:p>
        </w:tc>
        <w:tc>
          <w:tcPr>
            <w:tcW w:w="156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型号规格</w:t>
            </w:r>
          </w:p>
        </w:tc>
        <w:tc>
          <w:tcPr>
            <w:tcW w:w="4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数量</w:t>
            </w:r>
          </w:p>
        </w:tc>
        <w:tc>
          <w:tcPr>
            <w:tcW w:w="48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单位</w:t>
            </w:r>
          </w:p>
        </w:tc>
        <w:tc>
          <w:tcPr>
            <w:tcW w:w="9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限价（单价）</w:t>
            </w:r>
          </w:p>
        </w:tc>
      </w:tr>
      <w:tr>
        <w:tblPrEx>
          <w:tblCellMar>
            <w:top w:w="0" w:type="dxa"/>
            <w:left w:w="108" w:type="dxa"/>
            <w:bottom w:w="0" w:type="dxa"/>
            <w:right w:w="108" w:type="dxa"/>
          </w:tblCellMar>
        </w:tblPrEx>
        <w:trPr>
          <w:trHeight w:val="561" w:hRule="atLeast"/>
          <w:jc w:val="center"/>
        </w:trPr>
        <w:tc>
          <w:tcPr>
            <w:tcW w:w="4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10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转换开关</w:t>
            </w:r>
          </w:p>
        </w:tc>
        <w:tc>
          <w:tcPr>
            <w:tcW w:w="15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带灯LA160-22A-3-11DN</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19</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只</w:t>
            </w:r>
          </w:p>
        </w:tc>
        <w:tc>
          <w:tcPr>
            <w:tcW w:w="1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15</w:t>
            </w:r>
          </w:p>
        </w:tc>
      </w:tr>
      <w:tr>
        <w:tblPrEx>
          <w:tblCellMar>
            <w:top w:w="0" w:type="dxa"/>
            <w:left w:w="108" w:type="dxa"/>
            <w:bottom w:w="0" w:type="dxa"/>
            <w:right w:w="108" w:type="dxa"/>
          </w:tblCellMar>
        </w:tblPrEx>
        <w:trPr>
          <w:trHeight w:val="561" w:hRule="atLeast"/>
          <w:jc w:val="center"/>
        </w:trPr>
        <w:tc>
          <w:tcPr>
            <w:tcW w:w="4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w:t>
            </w:r>
          </w:p>
        </w:tc>
        <w:tc>
          <w:tcPr>
            <w:tcW w:w="10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漏电开关</w:t>
            </w:r>
          </w:p>
        </w:tc>
        <w:tc>
          <w:tcPr>
            <w:tcW w:w="15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EA9RN2C3230CA</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8</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只</w:t>
            </w:r>
          </w:p>
        </w:tc>
        <w:tc>
          <w:tcPr>
            <w:tcW w:w="1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150</w:t>
            </w:r>
          </w:p>
        </w:tc>
      </w:tr>
      <w:tr>
        <w:tblPrEx>
          <w:tblCellMar>
            <w:top w:w="0" w:type="dxa"/>
            <w:left w:w="108" w:type="dxa"/>
            <w:bottom w:w="0" w:type="dxa"/>
            <w:right w:w="108" w:type="dxa"/>
          </w:tblCellMar>
        </w:tblPrEx>
        <w:trPr>
          <w:trHeight w:val="561" w:hRule="atLeast"/>
          <w:jc w:val="center"/>
        </w:trPr>
        <w:tc>
          <w:tcPr>
            <w:tcW w:w="4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w:t>
            </w:r>
          </w:p>
        </w:tc>
        <w:tc>
          <w:tcPr>
            <w:tcW w:w="10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接触器</w:t>
            </w:r>
          </w:p>
        </w:tc>
        <w:tc>
          <w:tcPr>
            <w:tcW w:w="15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3RT2015-2BB41</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只</w:t>
            </w:r>
          </w:p>
        </w:tc>
        <w:tc>
          <w:tcPr>
            <w:tcW w:w="1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300</w:t>
            </w:r>
          </w:p>
        </w:tc>
      </w:tr>
      <w:tr>
        <w:tblPrEx>
          <w:tblCellMar>
            <w:top w:w="0" w:type="dxa"/>
            <w:left w:w="108" w:type="dxa"/>
            <w:bottom w:w="0" w:type="dxa"/>
            <w:right w:w="108" w:type="dxa"/>
          </w:tblCellMar>
        </w:tblPrEx>
        <w:trPr>
          <w:trHeight w:val="561" w:hRule="atLeast"/>
          <w:jc w:val="center"/>
        </w:trPr>
        <w:tc>
          <w:tcPr>
            <w:tcW w:w="4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w:t>
            </w:r>
          </w:p>
        </w:tc>
        <w:tc>
          <w:tcPr>
            <w:tcW w:w="10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接触器</w:t>
            </w:r>
          </w:p>
        </w:tc>
        <w:tc>
          <w:tcPr>
            <w:tcW w:w="15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3RT2016-2BB41</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只</w:t>
            </w:r>
          </w:p>
        </w:tc>
        <w:tc>
          <w:tcPr>
            <w:tcW w:w="1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320</w:t>
            </w:r>
          </w:p>
        </w:tc>
      </w:tr>
      <w:tr>
        <w:tblPrEx>
          <w:tblCellMar>
            <w:top w:w="0" w:type="dxa"/>
            <w:left w:w="108" w:type="dxa"/>
            <w:bottom w:w="0" w:type="dxa"/>
            <w:right w:w="108" w:type="dxa"/>
          </w:tblCellMar>
        </w:tblPrEx>
        <w:trPr>
          <w:trHeight w:val="561" w:hRule="atLeast"/>
          <w:jc w:val="center"/>
        </w:trPr>
        <w:tc>
          <w:tcPr>
            <w:tcW w:w="4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w:t>
            </w:r>
          </w:p>
        </w:tc>
        <w:tc>
          <w:tcPr>
            <w:tcW w:w="10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防爆立杆灯</w:t>
            </w:r>
          </w:p>
        </w:tc>
        <w:tc>
          <w:tcPr>
            <w:tcW w:w="15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2.5米 400W</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30</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只</w:t>
            </w:r>
          </w:p>
        </w:tc>
        <w:tc>
          <w:tcPr>
            <w:tcW w:w="1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1200</w:t>
            </w:r>
          </w:p>
        </w:tc>
      </w:tr>
      <w:tr>
        <w:tblPrEx>
          <w:tblCellMar>
            <w:top w:w="0" w:type="dxa"/>
            <w:left w:w="108" w:type="dxa"/>
            <w:bottom w:w="0" w:type="dxa"/>
            <w:right w:w="108" w:type="dxa"/>
          </w:tblCellMar>
        </w:tblPrEx>
        <w:trPr>
          <w:trHeight w:val="561" w:hRule="atLeast"/>
          <w:jc w:val="center"/>
        </w:trPr>
        <w:tc>
          <w:tcPr>
            <w:tcW w:w="4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w:t>
            </w:r>
          </w:p>
        </w:tc>
        <w:tc>
          <w:tcPr>
            <w:tcW w:w="10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LED方形防爆灯</w:t>
            </w:r>
          </w:p>
        </w:tc>
        <w:tc>
          <w:tcPr>
            <w:tcW w:w="15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27*35 200W</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20</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个</w:t>
            </w:r>
          </w:p>
        </w:tc>
        <w:tc>
          <w:tcPr>
            <w:tcW w:w="1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510</w:t>
            </w:r>
          </w:p>
        </w:tc>
      </w:tr>
      <w:tr>
        <w:tblPrEx>
          <w:tblCellMar>
            <w:top w:w="0" w:type="dxa"/>
            <w:left w:w="108" w:type="dxa"/>
            <w:bottom w:w="0" w:type="dxa"/>
            <w:right w:w="108" w:type="dxa"/>
          </w:tblCellMar>
        </w:tblPrEx>
        <w:trPr>
          <w:trHeight w:val="561" w:hRule="atLeast"/>
          <w:jc w:val="center"/>
        </w:trPr>
        <w:tc>
          <w:tcPr>
            <w:tcW w:w="4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7</w:t>
            </w:r>
          </w:p>
        </w:tc>
        <w:tc>
          <w:tcPr>
            <w:tcW w:w="10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LED圆形防爆灯</w:t>
            </w:r>
          </w:p>
        </w:tc>
        <w:tc>
          <w:tcPr>
            <w:tcW w:w="15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飞碟形，直杆 200W</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15</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个</w:t>
            </w:r>
          </w:p>
        </w:tc>
        <w:tc>
          <w:tcPr>
            <w:tcW w:w="1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450</w:t>
            </w:r>
          </w:p>
        </w:tc>
      </w:tr>
      <w:tr>
        <w:tblPrEx>
          <w:tblCellMar>
            <w:top w:w="0" w:type="dxa"/>
            <w:left w:w="108" w:type="dxa"/>
            <w:bottom w:w="0" w:type="dxa"/>
            <w:right w:w="108" w:type="dxa"/>
          </w:tblCellMar>
        </w:tblPrEx>
        <w:trPr>
          <w:trHeight w:val="561" w:hRule="atLeast"/>
          <w:jc w:val="center"/>
        </w:trPr>
        <w:tc>
          <w:tcPr>
            <w:tcW w:w="4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8</w:t>
            </w:r>
          </w:p>
        </w:tc>
        <w:tc>
          <w:tcPr>
            <w:tcW w:w="10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欧普LED灯板</w:t>
            </w:r>
          </w:p>
        </w:tc>
        <w:tc>
          <w:tcPr>
            <w:tcW w:w="15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方形24W</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50</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只</w:t>
            </w:r>
          </w:p>
        </w:tc>
        <w:tc>
          <w:tcPr>
            <w:tcW w:w="1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35</w:t>
            </w:r>
          </w:p>
        </w:tc>
      </w:tr>
      <w:tr>
        <w:tblPrEx>
          <w:tblCellMar>
            <w:top w:w="0" w:type="dxa"/>
            <w:left w:w="108" w:type="dxa"/>
            <w:bottom w:w="0" w:type="dxa"/>
            <w:right w:w="108" w:type="dxa"/>
          </w:tblCellMar>
        </w:tblPrEx>
        <w:trPr>
          <w:trHeight w:val="561" w:hRule="atLeast"/>
          <w:jc w:val="center"/>
        </w:trPr>
        <w:tc>
          <w:tcPr>
            <w:tcW w:w="4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9</w:t>
            </w:r>
          </w:p>
        </w:tc>
        <w:tc>
          <w:tcPr>
            <w:tcW w:w="10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浮球开关</w:t>
            </w:r>
          </w:p>
        </w:tc>
        <w:tc>
          <w:tcPr>
            <w:tcW w:w="15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UK221</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15</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只</w:t>
            </w:r>
          </w:p>
        </w:tc>
        <w:tc>
          <w:tcPr>
            <w:tcW w:w="1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75</w:t>
            </w:r>
          </w:p>
        </w:tc>
      </w:tr>
      <w:tr>
        <w:tblPrEx>
          <w:tblCellMar>
            <w:top w:w="0" w:type="dxa"/>
            <w:left w:w="108" w:type="dxa"/>
            <w:bottom w:w="0" w:type="dxa"/>
            <w:right w:w="108" w:type="dxa"/>
          </w:tblCellMar>
        </w:tblPrEx>
        <w:trPr>
          <w:trHeight w:val="561" w:hRule="atLeast"/>
          <w:jc w:val="center"/>
        </w:trPr>
        <w:tc>
          <w:tcPr>
            <w:tcW w:w="4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10</w:t>
            </w:r>
          </w:p>
        </w:tc>
        <w:tc>
          <w:tcPr>
            <w:tcW w:w="10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散热风扇</w:t>
            </w:r>
          </w:p>
        </w:tc>
        <w:tc>
          <w:tcPr>
            <w:tcW w:w="15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6314HR</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只</w:t>
            </w:r>
          </w:p>
        </w:tc>
        <w:tc>
          <w:tcPr>
            <w:tcW w:w="1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120</w:t>
            </w:r>
          </w:p>
        </w:tc>
      </w:tr>
      <w:tr>
        <w:tblPrEx>
          <w:tblCellMar>
            <w:top w:w="0" w:type="dxa"/>
            <w:left w:w="108" w:type="dxa"/>
            <w:bottom w:w="0" w:type="dxa"/>
            <w:right w:w="108" w:type="dxa"/>
          </w:tblCellMar>
        </w:tblPrEx>
        <w:trPr>
          <w:trHeight w:val="561" w:hRule="atLeast"/>
          <w:jc w:val="center"/>
        </w:trPr>
        <w:tc>
          <w:tcPr>
            <w:tcW w:w="4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11</w:t>
            </w:r>
          </w:p>
        </w:tc>
        <w:tc>
          <w:tcPr>
            <w:tcW w:w="10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轴流风机</w:t>
            </w:r>
          </w:p>
        </w:tc>
        <w:tc>
          <w:tcPr>
            <w:tcW w:w="15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SJ1725HA2</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8</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只</w:t>
            </w:r>
          </w:p>
        </w:tc>
        <w:tc>
          <w:tcPr>
            <w:tcW w:w="1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120</w:t>
            </w:r>
          </w:p>
        </w:tc>
      </w:tr>
      <w:tr>
        <w:tblPrEx>
          <w:tblCellMar>
            <w:top w:w="0" w:type="dxa"/>
            <w:left w:w="108" w:type="dxa"/>
            <w:bottom w:w="0" w:type="dxa"/>
            <w:right w:w="108" w:type="dxa"/>
          </w:tblCellMar>
        </w:tblPrEx>
        <w:trPr>
          <w:trHeight w:val="561" w:hRule="atLeast"/>
          <w:jc w:val="center"/>
        </w:trPr>
        <w:tc>
          <w:tcPr>
            <w:tcW w:w="4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12</w:t>
            </w:r>
          </w:p>
        </w:tc>
        <w:tc>
          <w:tcPr>
            <w:tcW w:w="10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轴流风机</w:t>
            </w:r>
          </w:p>
        </w:tc>
        <w:tc>
          <w:tcPr>
            <w:tcW w:w="15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3-2 单相</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w:t>
            </w:r>
          </w:p>
        </w:tc>
        <w:tc>
          <w:tcPr>
            <w:tcW w:w="1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300</w:t>
            </w:r>
          </w:p>
        </w:tc>
      </w:tr>
      <w:tr>
        <w:tblPrEx>
          <w:tblCellMar>
            <w:top w:w="0" w:type="dxa"/>
            <w:left w:w="108" w:type="dxa"/>
            <w:bottom w:w="0" w:type="dxa"/>
            <w:right w:w="108" w:type="dxa"/>
          </w:tblCellMar>
        </w:tblPrEx>
        <w:trPr>
          <w:trHeight w:val="561" w:hRule="atLeast"/>
          <w:jc w:val="center"/>
        </w:trPr>
        <w:tc>
          <w:tcPr>
            <w:tcW w:w="4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13</w:t>
            </w:r>
          </w:p>
        </w:tc>
        <w:tc>
          <w:tcPr>
            <w:tcW w:w="10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碳刷</w:t>
            </w:r>
          </w:p>
        </w:tc>
        <w:tc>
          <w:tcPr>
            <w:tcW w:w="15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J164/45*16*40</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8</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只</w:t>
            </w:r>
          </w:p>
        </w:tc>
        <w:tc>
          <w:tcPr>
            <w:tcW w:w="1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130</w:t>
            </w:r>
          </w:p>
        </w:tc>
      </w:tr>
    </w:tbl>
    <w:p>
      <w:pPr>
        <w:pStyle w:val="12"/>
        <w:rPr>
          <w:rFonts w:hint="eastAsia"/>
        </w:rPr>
      </w:pP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3.本项目采购总金额限价为</w:t>
      </w:r>
      <w:r>
        <w:rPr>
          <w:rFonts w:hint="eastAsia" w:ascii="仿宋" w:hAnsi="仿宋" w:eastAsia="仿宋" w:cs="仿宋"/>
          <w:sz w:val="30"/>
          <w:szCs w:val="30"/>
          <w:lang w:eastAsia="zh-CN"/>
        </w:rPr>
        <w:t>人民币</w:t>
      </w:r>
      <w:r>
        <w:rPr>
          <w:rFonts w:hint="eastAsia" w:ascii="仿宋" w:hAnsi="仿宋" w:eastAsia="仿宋" w:cs="仿宋"/>
          <w:sz w:val="30"/>
          <w:szCs w:val="30"/>
          <w:lang w:val="en-US" w:eastAsia="zh-CN"/>
        </w:rPr>
        <w:t>陆万伍仟</w:t>
      </w:r>
      <w:r>
        <w:rPr>
          <w:rFonts w:hint="eastAsia" w:ascii="仿宋" w:hAnsi="仿宋" w:eastAsia="仿宋" w:cs="仿宋"/>
          <w:sz w:val="30"/>
          <w:szCs w:val="30"/>
        </w:rPr>
        <w:t>元。</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二、供应商要求。</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1.报价人必须是在中华人民共和国境内注册，具有独立法人资格和独立承担民事责任的能力；投标人经营范围须包含相关的销售资质。</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供应商在“信用中国”（www.creditchina.gov.cn）、中国政府采购网（www.ccgp.gov.cn）等其它官方网站没有被列入失信被执行人、重大税收违法案件当事人名单、政府采购严重违法失信行为记录名单、有责合同纠纷、重点关注名单、黑名单等不良记录；</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3.报价单位负责人为同一人或者存在控股、管理关系的不同单位，不得同时参加本项目。  </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4.本项目不接受联合体报价。</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rPr>
      </w:pPr>
      <w:bookmarkStart w:id="6" w:name="_Toc530583880"/>
      <w:bookmarkStart w:id="7" w:name="_Toc530583923"/>
      <w:r>
        <w:rPr>
          <w:rFonts w:hint="eastAsia" w:ascii="仿宋_GB2312" w:eastAsia="仿宋_GB2312"/>
          <w:b/>
          <w:bCs/>
          <w:sz w:val="30"/>
          <w:szCs w:val="30"/>
          <w:lang w:eastAsia="zh-CN"/>
        </w:rPr>
        <w:t>三</w:t>
      </w:r>
      <w:r>
        <w:rPr>
          <w:rFonts w:hint="eastAsia" w:ascii="仿宋_GB2312" w:eastAsia="仿宋_GB2312"/>
          <w:b/>
          <w:bCs/>
          <w:sz w:val="30"/>
          <w:szCs w:val="30"/>
        </w:rPr>
        <w:t>、</w:t>
      </w:r>
      <w:r>
        <w:rPr>
          <w:rFonts w:hint="eastAsia" w:ascii="仿宋_GB2312" w:eastAsia="仿宋_GB2312"/>
          <w:b/>
          <w:bCs/>
          <w:sz w:val="30"/>
          <w:szCs w:val="30"/>
          <w:lang w:eastAsia="zh-CN"/>
        </w:rPr>
        <w:t>开标</w:t>
      </w:r>
      <w:r>
        <w:rPr>
          <w:rFonts w:hint="eastAsia" w:ascii="仿宋_GB2312" w:eastAsia="仿宋_GB2312"/>
          <w:b/>
          <w:bCs/>
          <w:sz w:val="30"/>
          <w:szCs w:val="30"/>
        </w:rPr>
        <w:t>时间及递交方式。</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1.</w:t>
      </w:r>
      <w:r>
        <w:rPr>
          <w:rFonts w:hint="eastAsia" w:ascii="仿宋_GB2312" w:eastAsia="仿宋_GB2312"/>
          <w:sz w:val="30"/>
          <w:szCs w:val="30"/>
          <w:lang w:eastAsia="zh-CN"/>
        </w:rPr>
        <w:t>开标</w:t>
      </w:r>
      <w:r>
        <w:rPr>
          <w:rFonts w:hint="eastAsia" w:ascii="仿宋_GB2312" w:eastAsia="仿宋_GB2312"/>
          <w:sz w:val="30"/>
          <w:szCs w:val="30"/>
        </w:rPr>
        <w:t>时间：202</w:t>
      </w:r>
      <w:r>
        <w:rPr>
          <w:rFonts w:hint="eastAsia" w:ascii="仿宋_GB2312" w:eastAsia="仿宋_GB2312"/>
          <w:sz w:val="30"/>
          <w:szCs w:val="30"/>
          <w:lang w:val="en-US" w:eastAsia="zh-CN"/>
        </w:rPr>
        <w:t>4</w:t>
      </w:r>
      <w:r>
        <w:rPr>
          <w:rFonts w:hint="eastAsia" w:ascii="仿宋_GB2312" w:eastAsia="仿宋_GB2312"/>
          <w:sz w:val="30"/>
          <w:szCs w:val="30"/>
        </w:rPr>
        <w:t>年</w:t>
      </w:r>
      <w:r>
        <w:rPr>
          <w:rFonts w:hint="eastAsia" w:ascii="仿宋_GB2312" w:eastAsia="仿宋_GB2312"/>
          <w:sz w:val="30"/>
          <w:szCs w:val="30"/>
          <w:lang w:val="en-US" w:eastAsia="zh-CN"/>
        </w:rPr>
        <w:t>1月26</w:t>
      </w:r>
      <w:r>
        <w:rPr>
          <w:rFonts w:hint="eastAsia" w:ascii="仿宋_GB2312" w:eastAsia="仿宋_GB2312"/>
          <w:sz w:val="30"/>
          <w:szCs w:val="30"/>
        </w:rPr>
        <w:t>日10:</w:t>
      </w:r>
      <w:r>
        <w:rPr>
          <w:rFonts w:hint="eastAsia" w:ascii="仿宋_GB2312" w:eastAsia="仿宋_GB2312"/>
          <w:sz w:val="30"/>
          <w:szCs w:val="30"/>
          <w:lang w:val="en-US" w:eastAsia="zh-CN"/>
        </w:rPr>
        <w:t>30</w:t>
      </w:r>
      <w:r>
        <w:rPr>
          <w:rFonts w:hint="eastAsia"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2.</w:t>
      </w:r>
      <w:r>
        <w:rPr>
          <w:rFonts w:hint="eastAsia" w:ascii="仿宋_GB2312" w:eastAsia="仿宋_GB2312"/>
          <w:sz w:val="30"/>
          <w:szCs w:val="30"/>
          <w:lang w:eastAsia="zh-CN"/>
        </w:rPr>
        <w:t>开标</w:t>
      </w:r>
      <w:r>
        <w:rPr>
          <w:rFonts w:hint="eastAsia" w:ascii="仿宋_GB2312" w:eastAsia="仿宋_GB2312"/>
          <w:sz w:val="30"/>
          <w:szCs w:val="30"/>
        </w:rPr>
        <w:t>地点：</w:t>
      </w:r>
      <w:r>
        <w:rPr>
          <w:rFonts w:hint="eastAsia" w:ascii="仿宋_GB2312" w:eastAsia="仿宋_GB2312"/>
          <w:sz w:val="30"/>
          <w:szCs w:val="30"/>
          <w:lang w:eastAsia="zh-CN"/>
        </w:rPr>
        <w:t>浙江省绍兴市柯桥区钱滨线二线海塘绍兴市再生能源发展有限公司。</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3.报价文件的递交：</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eastAsia="仿宋_GB2312"/>
          <w:b/>
          <w:bCs/>
          <w:sz w:val="30"/>
          <w:szCs w:val="30"/>
          <w:lang w:val="en-US"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1</w:t>
      </w:r>
      <w:r>
        <w:rPr>
          <w:rFonts w:hint="eastAsia" w:ascii="仿宋_GB2312" w:eastAsia="仿宋_GB2312"/>
          <w:sz w:val="30"/>
          <w:szCs w:val="30"/>
          <w:lang w:eastAsia="zh-CN"/>
        </w:rPr>
        <w:t>）本次询价开标采用线</w:t>
      </w:r>
      <w:r>
        <w:rPr>
          <w:rFonts w:hint="eastAsia" w:ascii="仿宋_GB2312" w:eastAsia="仿宋_GB2312"/>
          <w:sz w:val="30"/>
          <w:szCs w:val="30"/>
          <w:lang w:val="en-US" w:eastAsia="zh-CN"/>
        </w:rPr>
        <w:t>下开标</w:t>
      </w:r>
      <w:r>
        <w:rPr>
          <w:rFonts w:hint="eastAsia" w:ascii="仿宋_GB2312" w:eastAsia="仿宋_GB2312"/>
          <w:sz w:val="30"/>
          <w:szCs w:val="30"/>
          <w:lang w:eastAsia="zh-CN"/>
        </w:rPr>
        <w:t>方式，报价人需在开标时间前将报价文件递交至绍兴市再生能源发展有限公司综合楼一楼投标箱。报价人可</w:t>
      </w:r>
      <w:r>
        <w:rPr>
          <w:rFonts w:hint="eastAsia" w:ascii="仿宋_GB2312" w:eastAsia="仿宋_GB2312"/>
          <w:sz w:val="30"/>
          <w:szCs w:val="30"/>
        </w:rPr>
        <w:t>现场提交</w:t>
      </w:r>
      <w:r>
        <w:rPr>
          <w:rFonts w:hint="eastAsia" w:ascii="仿宋_GB2312" w:eastAsia="仿宋_GB2312"/>
          <w:sz w:val="30"/>
          <w:szCs w:val="30"/>
          <w:lang w:eastAsia="zh-CN"/>
        </w:rPr>
        <w:t>报价</w:t>
      </w:r>
      <w:r>
        <w:rPr>
          <w:rFonts w:hint="eastAsia" w:ascii="仿宋_GB2312" w:eastAsia="仿宋_GB2312"/>
          <w:sz w:val="30"/>
          <w:szCs w:val="30"/>
        </w:rPr>
        <w:t>文件</w:t>
      </w:r>
      <w:r>
        <w:rPr>
          <w:rFonts w:hint="eastAsia" w:ascii="仿宋_GB2312" w:eastAsia="仿宋_GB2312"/>
          <w:sz w:val="30"/>
          <w:szCs w:val="30"/>
          <w:lang w:eastAsia="zh-CN"/>
        </w:rPr>
        <w:t>，也可以通过邮寄（快递）递交报价文件，</w:t>
      </w:r>
      <w:r>
        <w:rPr>
          <w:rFonts w:hint="eastAsia" w:ascii="仿宋" w:hAnsi="仿宋" w:eastAsia="仿宋" w:cs="仿宋"/>
          <w:color w:val="auto"/>
          <w:sz w:val="30"/>
          <w:szCs w:val="30"/>
          <w:highlight w:val="none"/>
          <w:lang w:eastAsia="zh-CN"/>
        </w:rPr>
        <w:t>报价人在报价文件寄出后，应将邮寄信息及时反馈给采购人收件人。</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eastAsia="仿宋_GB2312"/>
          <w:sz w:val="30"/>
          <w:szCs w:val="30"/>
          <w:lang w:val="en-US"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2</w:t>
      </w:r>
      <w:r>
        <w:rPr>
          <w:rFonts w:hint="eastAsia" w:ascii="仿宋_GB2312" w:eastAsia="仿宋_GB2312"/>
          <w:sz w:val="30"/>
          <w:szCs w:val="30"/>
          <w:lang w:eastAsia="zh-CN"/>
        </w:rPr>
        <w:t>）</w:t>
      </w:r>
      <w:r>
        <w:rPr>
          <w:rFonts w:hint="eastAsia" w:ascii="仿宋_GB2312" w:eastAsia="仿宋_GB2312"/>
          <w:sz w:val="30"/>
          <w:szCs w:val="30"/>
        </w:rPr>
        <w:t>邮寄地址：</w:t>
      </w:r>
      <w:r>
        <w:rPr>
          <w:rFonts w:hint="eastAsia" w:ascii="仿宋_GB2312" w:eastAsia="仿宋_GB2312"/>
          <w:sz w:val="30"/>
          <w:szCs w:val="30"/>
          <w:lang w:eastAsia="zh-CN"/>
        </w:rPr>
        <w:t>浙江省绍兴市柯桥区钱滨线二线海塘绍兴市再生能源发展有限公司</w:t>
      </w:r>
      <w:r>
        <w:rPr>
          <w:rFonts w:hint="eastAsia" w:ascii="仿宋_GB2312" w:eastAsia="仿宋_GB2312"/>
          <w:sz w:val="30"/>
          <w:szCs w:val="30"/>
        </w:rPr>
        <w:t>  </w:t>
      </w:r>
      <w:r>
        <w:rPr>
          <w:rFonts w:hint="eastAsia" w:ascii="仿宋_GB2312" w:eastAsia="仿宋_GB2312"/>
          <w:sz w:val="30"/>
          <w:szCs w:val="30"/>
          <w:lang w:eastAsia="zh-CN"/>
        </w:rPr>
        <w:t xml:space="preserve"> 采购供应部 </w:t>
      </w:r>
      <w:r>
        <w:rPr>
          <w:rFonts w:hint="eastAsia" w:ascii="仿宋_GB2312" w:eastAsia="仿宋_GB2312"/>
          <w:sz w:val="30"/>
          <w:szCs w:val="30"/>
          <w:lang w:val="en-US" w:eastAsia="zh-CN"/>
        </w:rPr>
        <w:t>0575-85791916</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3</w:t>
      </w:r>
      <w:r>
        <w:rPr>
          <w:rFonts w:hint="eastAsia" w:ascii="仿宋_GB2312" w:eastAsia="仿宋_GB2312"/>
          <w:sz w:val="30"/>
          <w:szCs w:val="30"/>
          <w:lang w:eastAsia="zh-CN"/>
        </w:rPr>
        <w:t>）</w:t>
      </w:r>
      <w:r>
        <w:rPr>
          <w:rFonts w:hint="eastAsia" w:ascii="仿宋_GB2312" w:eastAsia="仿宋_GB2312"/>
          <w:sz w:val="30"/>
          <w:szCs w:val="30"/>
        </w:rPr>
        <w:t>报价文件邮寄封装要求：供应商除按照文件要求封装报价文件外，还需在快递外包装上醒目注明项目名称、</w:t>
      </w:r>
      <w:r>
        <w:rPr>
          <w:rFonts w:hint="eastAsia" w:ascii="仿宋_GB2312" w:eastAsia="仿宋_GB2312"/>
          <w:sz w:val="30"/>
          <w:szCs w:val="30"/>
          <w:lang w:eastAsia="zh-CN"/>
        </w:rPr>
        <w:t>询价</w:t>
      </w:r>
      <w:r>
        <w:rPr>
          <w:rFonts w:hint="eastAsia" w:ascii="仿宋_GB2312" w:eastAsia="仿宋_GB2312"/>
          <w:sz w:val="30"/>
          <w:szCs w:val="30"/>
        </w:rPr>
        <w:t>编号，且注明报价人联系人、联系人电话；快递包装务必牢固可靠，因包装原因出现影响</w:t>
      </w:r>
      <w:r>
        <w:rPr>
          <w:rFonts w:hint="eastAsia" w:ascii="仿宋_GB2312" w:eastAsia="仿宋_GB2312"/>
          <w:sz w:val="30"/>
          <w:szCs w:val="30"/>
          <w:lang w:val="en-US" w:eastAsia="zh-CN"/>
        </w:rPr>
        <w:t>报价</w:t>
      </w:r>
      <w:r>
        <w:rPr>
          <w:rFonts w:hint="eastAsia" w:ascii="仿宋_GB2312" w:eastAsia="仿宋_GB2312"/>
          <w:sz w:val="30"/>
          <w:szCs w:val="30"/>
        </w:rPr>
        <w:t>文件完整性、密封性等后果由供应商自行负责。</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4</w:t>
      </w:r>
      <w:r>
        <w:rPr>
          <w:rFonts w:hint="eastAsia" w:ascii="仿宋_GB2312" w:eastAsia="仿宋_GB2312"/>
          <w:sz w:val="30"/>
          <w:szCs w:val="30"/>
          <w:lang w:eastAsia="zh-CN"/>
        </w:rPr>
        <w:t>）</w:t>
      </w:r>
      <w:r>
        <w:rPr>
          <w:rFonts w:hint="eastAsia" w:ascii="仿宋_GB2312" w:eastAsia="仿宋_GB2312"/>
          <w:sz w:val="30"/>
          <w:szCs w:val="30"/>
        </w:rPr>
        <w:t>报价文件邮递递交截止时间：以邮寄签收时间为准，因邮寄原因导致报价文件不能如期送达等风险由供应商自行承担。</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hAnsi="Times New Roman" w:eastAsia="仿宋_GB2312" w:cs="Times New Roman"/>
          <w:b/>
          <w:bCs/>
          <w:sz w:val="30"/>
          <w:szCs w:val="30"/>
          <w:lang w:val="en-US" w:eastAsia="zh-CN"/>
        </w:rPr>
      </w:pPr>
      <w:r>
        <w:rPr>
          <w:rFonts w:hint="eastAsia" w:ascii="仿宋_GB2312" w:hAnsi="Times New Roman" w:eastAsia="仿宋_GB2312" w:cs="Times New Roman"/>
          <w:b/>
          <w:bCs/>
          <w:sz w:val="30"/>
          <w:szCs w:val="30"/>
          <w:lang w:val="en-US" w:eastAsia="zh-CN"/>
        </w:rPr>
        <w:t>四、技术规范</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1.报价人如对询价文件中采购内容的技术规范/型号规格存在疑义，应在投标前向采购人进行咨询。开标后采购人不再回答相关问题。若报价人提供货品与供货要求不符，则由报价人自行负责。</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2.联系人：王工    联系电话：18367809201</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rPr>
      </w:pPr>
      <w:r>
        <w:rPr>
          <w:rFonts w:hint="eastAsia" w:ascii="仿宋_GB2312" w:eastAsia="仿宋_GB2312"/>
          <w:b/>
          <w:bCs/>
          <w:sz w:val="30"/>
          <w:szCs w:val="30"/>
          <w:lang w:eastAsia="zh-CN"/>
        </w:rPr>
        <w:t>五</w:t>
      </w:r>
      <w:r>
        <w:rPr>
          <w:rFonts w:hint="eastAsia" w:ascii="仿宋_GB2312" w:eastAsia="仿宋_GB2312"/>
          <w:b/>
          <w:bCs/>
          <w:sz w:val="30"/>
          <w:szCs w:val="30"/>
        </w:rPr>
        <w:t>、质疑。</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报价人</w:t>
      </w:r>
      <w:r>
        <w:rPr>
          <w:rFonts w:hint="eastAsia" w:ascii="仿宋_GB2312" w:eastAsia="仿宋_GB2312"/>
          <w:sz w:val="30"/>
          <w:szCs w:val="30"/>
        </w:rPr>
        <w:t>如认为询价文件使自身的合法权益受到损害的，应于自</w:t>
      </w:r>
      <w:r>
        <w:rPr>
          <w:rFonts w:hint="eastAsia" w:ascii="仿宋_GB2312" w:eastAsia="仿宋_GB2312"/>
          <w:sz w:val="30"/>
          <w:szCs w:val="30"/>
          <w:lang w:eastAsia="zh-CN"/>
        </w:rPr>
        <w:t>公告</w:t>
      </w:r>
      <w:r>
        <w:rPr>
          <w:rFonts w:hint="eastAsia" w:ascii="仿宋_GB2312" w:eastAsia="仿宋_GB2312"/>
          <w:sz w:val="30"/>
          <w:szCs w:val="30"/>
        </w:rPr>
        <w:t>之日起1日内以书面形式向采购人提出质疑。逾期视作无异议。</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其他</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lang w:val="en-US" w:eastAsia="zh-CN"/>
        </w:rPr>
      </w:pPr>
      <w:r>
        <w:rPr>
          <w:rFonts w:hint="eastAsia" w:ascii="仿宋_GB2312" w:hAnsi="Times New Roman" w:eastAsia="仿宋_GB2312" w:cs="Times New Roman"/>
          <w:sz w:val="30"/>
          <w:szCs w:val="30"/>
          <w:lang w:val="en-US" w:eastAsia="zh-CN"/>
        </w:rPr>
        <w:t>本项目未委托任何招标代理进行对外询价，且禁止第三方平台用于相关经济项目活动。若未经本公司授权，直接对本项目进行二次利用，产生的相关纠纷，本公司保留追责权利。</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sz w:val="30"/>
          <w:szCs w:val="30"/>
        </w:rPr>
      </w:pPr>
      <w:r>
        <w:rPr>
          <w:rFonts w:hint="eastAsia" w:ascii="仿宋_GB2312" w:eastAsia="仿宋_GB2312"/>
          <w:b/>
          <w:bCs/>
          <w:sz w:val="30"/>
          <w:szCs w:val="30"/>
          <w:lang w:eastAsia="zh-CN"/>
        </w:rPr>
        <w:t>七</w:t>
      </w:r>
      <w:r>
        <w:rPr>
          <w:rFonts w:hint="eastAsia" w:ascii="仿宋_GB2312" w:eastAsia="仿宋_GB2312"/>
          <w:b/>
          <w:bCs/>
          <w:sz w:val="30"/>
          <w:szCs w:val="30"/>
        </w:rPr>
        <w:t>、监督部门</w:t>
      </w:r>
      <w:r>
        <w:rPr>
          <w:rFonts w:hint="eastAsia" w:ascii="仿宋_GB2312" w:eastAsia="仿宋_GB2312"/>
          <w:b/>
          <w:bCs/>
          <w:sz w:val="30"/>
          <w:szCs w:val="30"/>
          <w:lang w:val="en-US" w:eastAsia="zh-CN"/>
        </w:rPr>
        <w:t xml:space="preserve">  </w:t>
      </w:r>
      <w:r>
        <w:rPr>
          <w:rFonts w:hint="eastAsia" w:ascii="仿宋_GB2312" w:hAnsi="Times New Roman" w:eastAsia="仿宋_GB2312" w:cs="Times New Roman"/>
          <w:sz w:val="30"/>
          <w:szCs w:val="30"/>
          <w:lang w:val="en-US" w:eastAsia="zh-CN"/>
        </w:rPr>
        <w:t>联系电话：13017709799</w:t>
      </w:r>
    </w:p>
    <w:p>
      <w:pPr>
        <w:keepNext w:val="0"/>
        <w:keepLines w:val="0"/>
        <w:pageBreakBefore w:val="0"/>
        <w:widowControl w:val="0"/>
        <w:kinsoku/>
        <w:wordWrap/>
        <w:overflowPunct/>
        <w:topLinePunct w:val="0"/>
        <w:autoSpaceDE/>
        <w:autoSpaceDN/>
        <w:bidi w:val="0"/>
        <w:adjustRightInd/>
        <w:snapToGrid w:val="0"/>
        <w:spacing w:line="360" w:lineRule="auto"/>
        <w:ind w:firstLine="585"/>
        <w:jc w:val="right"/>
        <w:textAlignment w:val="auto"/>
        <w:rPr>
          <w:rFonts w:hint="eastAsia" w:ascii="仿宋_GB2312" w:eastAsia="仿宋_GB2312"/>
          <w:sz w:val="30"/>
          <w:szCs w:val="30"/>
          <w:lang w:eastAsia="zh-CN"/>
        </w:rPr>
      </w:pPr>
      <w:r>
        <w:rPr>
          <w:rFonts w:hint="eastAsia" w:ascii="仿宋_GB2312" w:eastAsia="仿宋_GB2312"/>
          <w:sz w:val="30"/>
          <w:szCs w:val="30"/>
          <w:lang w:eastAsia="zh-CN"/>
        </w:rPr>
        <w:t>绍兴市再生能源发展有限公司</w:t>
      </w:r>
    </w:p>
    <w:p>
      <w:pPr>
        <w:keepNext w:val="0"/>
        <w:keepLines w:val="0"/>
        <w:pageBreakBefore w:val="0"/>
        <w:widowControl w:val="0"/>
        <w:kinsoku/>
        <w:wordWrap/>
        <w:overflowPunct/>
        <w:topLinePunct w:val="0"/>
        <w:autoSpaceDE/>
        <w:autoSpaceDN/>
        <w:bidi w:val="0"/>
        <w:adjustRightInd/>
        <w:snapToGrid w:val="0"/>
        <w:spacing w:line="360" w:lineRule="auto"/>
        <w:ind w:firstLine="585"/>
        <w:jc w:val="right"/>
        <w:textAlignment w:val="auto"/>
        <w:rPr>
          <w:rFonts w:hint="eastAsia" w:ascii="仿宋_GB2312" w:eastAsia="仿宋_GB2312"/>
          <w:sz w:val="30"/>
          <w:szCs w:val="30"/>
        </w:rPr>
      </w:pPr>
      <w:r>
        <w:rPr>
          <w:rFonts w:hint="eastAsia" w:ascii="仿宋_GB2312" w:eastAsia="仿宋_GB2312"/>
          <w:sz w:val="30"/>
          <w:szCs w:val="30"/>
          <w:lang w:val="en-US" w:eastAsia="zh-CN"/>
        </w:rPr>
        <w:t>2024</w:t>
      </w:r>
      <w:r>
        <w:rPr>
          <w:rFonts w:hint="default" w:ascii="仿宋_GB2312" w:eastAsia="仿宋_GB2312"/>
          <w:sz w:val="30"/>
          <w:szCs w:val="30"/>
          <w:lang w:val="en-US"/>
        </w:rPr>
        <w:t>年</w:t>
      </w:r>
      <w:r>
        <w:rPr>
          <w:rFonts w:hint="eastAsia" w:ascii="仿宋_GB2312" w:eastAsia="仿宋_GB2312"/>
          <w:sz w:val="30"/>
          <w:szCs w:val="30"/>
          <w:lang w:val="en-US" w:eastAsia="zh-CN"/>
        </w:rPr>
        <w:t>1月18</w:t>
      </w:r>
      <w:bookmarkStart w:id="20" w:name="_GoBack"/>
      <w:bookmarkEnd w:id="20"/>
      <w:r>
        <w:rPr>
          <w:rFonts w:hint="eastAsia" w:ascii="仿宋_GB2312" w:eastAsia="仿宋_GB2312"/>
          <w:sz w:val="30"/>
          <w:szCs w:val="30"/>
        </w:rPr>
        <w:t>日</w:t>
      </w:r>
    </w:p>
    <w:p>
      <w:pPr>
        <w:pageBreakBefore w:val="0"/>
        <w:kinsoku/>
        <w:wordWrap/>
        <w:topLinePunct w:val="0"/>
        <w:bidi w:val="0"/>
        <w:snapToGrid w:val="0"/>
        <w:spacing w:line="360" w:lineRule="auto"/>
        <w:ind w:firstLine="585"/>
        <w:jc w:val="center"/>
        <w:outlineLvl w:val="0"/>
        <w:rPr>
          <w:rFonts w:ascii="仿宋_GB2312" w:eastAsia="仿宋_GB2312"/>
          <w:snapToGrid w:val="0"/>
          <w:sz w:val="30"/>
          <w:szCs w:val="30"/>
        </w:rPr>
      </w:pPr>
      <w:r>
        <w:rPr>
          <w:rFonts w:hint="eastAsia" w:ascii="仿宋_GB2312" w:eastAsia="仿宋_GB2312"/>
          <w:sz w:val="30"/>
          <w:szCs w:val="30"/>
        </w:rPr>
        <w:br w:type="page"/>
      </w:r>
      <w:bookmarkStart w:id="8" w:name="_Toc530583922"/>
      <w:bookmarkStart w:id="9" w:name="_Toc530583879"/>
      <w:bookmarkStart w:id="10" w:name="_Toc23057"/>
      <w:r>
        <w:rPr>
          <w:rFonts w:hint="eastAsia" w:ascii="仿宋" w:hAnsi="仿宋" w:eastAsia="仿宋" w:cs="仿宋"/>
          <w:b/>
          <w:snapToGrid w:val="0"/>
          <w:color w:val="000000"/>
          <w:kern w:val="44"/>
          <w:sz w:val="44"/>
          <w:szCs w:val="44"/>
          <w:lang w:val="en-US" w:eastAsia="zh-CN" w:bidi="ar-SA"/>
        </w:rPr>
        <w:t>第二部分   采购须知</w:t>
      </w:r>
      <w:bookmarkEnd w:id="8"/>
      <w:bookmarkEnd w:id="9"/>
      <w:bookmarkEnd w:id="10"/>
    </w:p>
    <w:p>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一、适用范围。</w:t>
      </w:r>
    </w:p>
    <w:p>
      <w:pPr>
        <w:pageBreakBefore w:val="0"/>
        <w:kinsoku/>
        <w:wordWrap/>
        <w:topLinePunct w:val="0"/>
        <w:bidi w:val="0"/>
        <w:snapToGrid w:val="0"/>
        <w:spacing w:line="360" w:lineRule="auto"/>
        <w:rPr>
          <w:rFonts w:ascii="仿宋_GB2312" w:hAnsi="宋体" w:eastAsia="仿宋_GB2312"/>
          <w:sz w:val="30"/>
          <w:szCs w:val="30"/>
        </w:rPr>
      </w:pPr>
      <w:r>
        <w:rPr>
          <w:rFonts w:hint="eastAsia" w:ascii="仿宋_GB2312" w:hAnsi="宋体" w:eastAsia="仿宋_GB2312"/>
          <w:sz w:val="30"/>
          <w:szCs w:val="30"/>
        </w:rPr>
        <w:t xml:space="preserve">    仅适用于本次询价采购所叙述的货物和服务。</w:t>
      </w:r>
      <w:r>
        <w:rPr>
          <w:rFonts w:hint="eastAsia" w:ascii="仿宋_GB2312" w:eastAsia="仿宋_GB2312"/>
          <w:sz w:val="30"/>
          <w:szCs w:val="30"/>
        </w:rPr>
        <w:t>无论询价采购过程和结果如何，</w:t>
      </w:r>
      <w:r>
        <w:rPr>
          <w:rFonts w:hint="eastAsia" w:ascii="仿宋_GB2312" w:eastAsia="仿宋_GB2312"/>
          <w:sz w:val="30"/>
          <w:szCs w:val="30"/>
          <w:lang w:val="en-US" w:eastAsia="zh-CN"/>
        </w:rPr>
        <w:t>报价人</w:t>
      </w:r>
      <w:r>
        <w:rPr>
          <w:rFonts w:hint="eastAsia" w:ascii="仿宋_GB2312" w:eastAsia="仿宋_GB2312"/>
          <w:sz w:val="30"/>
          <w:szCs w:val="30"/>
        </w:rPr>
        <w:t>自行承担全部费用。</w:t>
      </w:r>
    </w:p>
    <w:p>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二、定义。</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”系指</w:t>
      </w:r>
      <w:r>
        <w:rPr>
          <w:rFonts w:hint="eastAsia" w:ascii="仿宋_GB2312" w:hAnsi="宋体" w:eastAsia="仿宋_GB2312"/>
          <w:sz w:val="30"/>
          <w:szCs w:val="30"/>
          <w:lang w:eastAsia="zh-CN"/>
        </w:rPr>
        <w:t>绍兴市再生能源发展有限公司</w:t>
      </w:r>
      <w:r>
        <w:rPr>
          <w:rFonts w:hint="eastAsia" w:ascii="仿宋_GB2312" w:hAnsi="宋体" w:eastAsia="仿宋_GB2312"/>
          <w:sz w:val="30"/>
          <w:szCs w:val="30"/>
        </w:rPr>
        <w:t>。</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”系指向采购人提交报价文件的商家。</w:t>
      </w:r>
    </w:p>
    <w:p>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（三）“货物和服务”系指按询价文件要求的货物和服务。</w:t>
      </w:r>
    </w:p>
    <w:p>
      <w:pPr>
        <w:pageBreakBefore w:val="0"/>
        <w:kinsoku/>
        <w:wordWrap/>
        <w:topLinePunct w:val="0"/>
        <w:bidi w:val="0"/>
        <w:snapToGrid w:val="0"/>
        <w:spacing w:line="360" w:lineRule="auto"/>
        <w:ind w:firstLine="600" w:firstLineChars="200"/>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（四）“中标人”系指向经评审确定为本次询价成交商家</w:t>
      </w:r>
    </w:p>
    <w:p>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三、采购报价。</w:t>
      </w:r>
    </w:p>
    <w:p>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（一）本项目以人民币为结算货币。</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应按询价文件要求认真制作《报价一览表》，报价时，报价文件中的报价金额如有大写和小写不一致的，以大写金额为准；总价金额与按单价汇总金额不一致的，以单价金额计算结果为准。</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报价应为一次性报价。如果出现两个或两个以上报价，则报价无效。</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报价超过最高限价的，作无效报价处理。</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报价应包括</w:t>
      </w:r>
      <w:r>
        <w:rPr>
          <w:rFonts w:hint="eastAsia" w:ascii="仿宋_GB2312" w:hAnsi="宋体" w:eastAsia="仿宋_GB2312"/>
          <w:sz w:val="30"/>
          <w:szCs w:val="30"/>
          <w:lang w:val="en-US" w:eastAsia="zh-CN"/>
        </w:rPr>
        <w:t>运输</w:t>
      </w:r>
      <w:r>
        <w:rPr>
          <w:rFonts w:hint="eastAsia" w:ascii="仿宋_GB2312" w:hAnsi="宋体" w:eastAsia="仿宋_GB2312"/>
          <w:sz w:val="30"/>
          <w:szCs w:val="30"/>
        </w:rPr>
        <w:t>费</w:t>
      </w:r>
      <w:r>
        <w:rPr>
          <w:rFonts w:hint="eastAsia" w:ascii="仿宋_GB2312" w:hAnsi="宋体" w:eastAsia="仿宋_GB2312"/>
          <w:sz w:val="30"/>
          <w:szCs w:val="30"/>
          <w:lang w:val="en-US" w:eastAsia="zh-CN"/>
        </w:rPr>
        <w:t>和</w:t>
      </w:r>
      <w:r>
        <w:rPr>
          <w:rFonts w:hint="eastAsia" w:ascii="仿宋_GB2312" w:hAnsi="宋体" w:eastAsia="仿宋_GB2312"/>
          <w:sz w:val="30"/>
          <w:szCs w:val="30"/>
        </w:rPr>
        <w:t>税费等。</w:t>
      </w:r>
    </w:p>
    <w:p>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四、报价有效期。</w:t>
      </w:r>
    </w:p>
    <w:p>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（一）从报价截止之日起，报价文件有效期为30日。</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（二）特殊情况下，</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可与</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协商延缓报价有效期，这种要求和答复均以书面形式进行。</w:t>
      </w:r>
    </w:p>
    <w:p>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五、报价文件的组成。</w:t>
      </w:r>
    </w:p>
    <w:p>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1.报价文件</w:t>
      </w:r>
      <w:r>
        <w:rPr>
          <w:rFonts w:hint="eastAsia" w:ascii="仿宋_GB2312" w:hAnsi="宋体" w:eastAsia="仿宋_GB2312"/>
          <w:sz w:val="30"/>
          <w:szCs w:val="30"/>
          <w:lang w:eastAsia="zh-CN"/>
        </w:rPr>
        <w:t>密封</w:t>
      </w:r>
      <w:r>
        <w:rPr>
          <w:rFonts w:hint="eastAsia" w:ascii="仿宋_GB2312" w:hAnsi="宋体" w:eastAsia="仿宋_GB2312"/>
          <w:sz w:val="30"/>
          <w:szCs w:val="30"/>
        </w:rPr>
        <w:t>封面（附件一）；</w:t>
      </w:r>
    </w:p>
    <w:p>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lang w:val="en-US" w:eastAsia="zh-CN"/>
        </w:rPr>
        <w:t>2</w:t>
      </w:r>
      <w:r>
        <w:rPr>
          <w:rFonts w:hint="eastAsia" w:ascii="仿宋_GB2312" w:hAnsi="宋体" w:eastAsia="仿宋_GB2312"/>
          <w:sz w:val="30"/>
          <w:szCs w:val="30"/>
        </w:rPr>
        <w:t>.报价一览表（附件</w:t>
      </w:r>
      <w:r>
        <w:rPr>
          <w:rFonts w:hint="eastAsia" w:ascii="仿宋_GB2312" w:hAnsi="宋体" w:eastAsia="仿宋_GB2312"/>
          <w:sz w:val="30"/>
          <w:szCs w:val="30"/>
          <w:lang w:eastAsia="zh-CN"/>
        </w:rPr>
        <w:t>二</w:t>
      </w:r>
      <w:r>
        <w:rPr>
          <w:rFonts w:hint="eastAsia" w:ascii="仿宋_GB2312" w:hAnsi="宋体" w:eastAsia="仿宋_GB2312"/>
          <w:sz w:val="30"/>
          <w:szCs w:val="30"/>
        </w:rPr>
        <w:t>）；</w:t>
      </w:r>
    </w:p>
    <w:p>
      <w:pPr>
        <w:pageBreakBefore w:val="0"/>
        <w:kinsoku/>
        <w:wordWrap/>
        <w:topLinePunct w:val="0"/>
        <w:bidi w:val="0"/>
        <w:snapToGrid w:val="0"/>
        <w:spacing w:line="360" w:lineRule="auto"/>
        <w:ind w:firstLine="600" w:firstLineChars="200"/>
        <w:rPr>
          <w:rFonts w:hint="default" w:eastAsia="仿宋_GB2312"/>
          <w:lang w:val="en-US" w:eastAsia="zh-CN"/>
        </w:rPr>
      </w:pPr>
      <w:r>
        <w:rPr>
          <w:rFonts w:hint="eastAsia" w:ascii="仿宋_GB2312" w:hAnsi="宋体" w:eastAsia="仿宋_GB2312"/>
          <w:sz w:val="30"/>
          <w:szCs w:val="30"/>
          <w:lang w:val="en-US" w:eastAsia="zh-CN"/>
        </w:rPr>
        <w:t>3</w:t>
      </w:r>
      <w:r>
        <w:rPr>
          <w:rFonts w:hint="eastAsia" w:ascii="仿宋_GB2312" w:hAnsi="宋体" w:eastAsia="仿宋_GB2312"/>
          <w:sz w:val="30"/>
          <w:szCs w:val="30"/>
        </w:rPr>
        <w:t>.产品质量保证承诺函（附件</w:t>
      </w:r>
      <w:r>
        <w:rPr>
          <w:rFonts w:hint="eastAsia" w:ascii="仿宋_GB2312" w:hAnsi="宋体" w:eastAsia="仿宋_GB2312"/>
          <w:sz w:val="30"/>
          <w:szCs w:val="30"/>
          <w:lang w:eastAsia="zh-CN"/>
        </w:rPr>
        <w:t>三</w:t>
      </w:r>
      <w:r>
        <w:rPr>
          <w:rFonts w:hint="eastAsia" w:ascii="仿宋_GB2312" w:hAnsi="宋体" w:eastAsia="仿宋_GB2312"/>
          <w:sz w:val="30"/>
          <w:szCs w:val="30"/>
        </w:rPr>
        <w:t>）；</w:t>
      </w:r>
    </w:p>
    <w:p>
      <w:pPr>
        <w:pageBreakBefore w:val="0"/>
        <w:kinsoku/>
        <w:wordWrap/>
        <w:topLinePunct w:val="0"/>
        <w:bidi w:val="0"/>
        <w:snapToGrid w:val="0"/>
        <w:spacing w:line="360" w:lineRule="auto"/>
        <w:ind w:firstLine="600" w:firstLineChars="200"/>
        <w:rPr>
          <w:rFonts w:hint="eastAsia" w:ascii="仿宋_GB2312" w:hAnsi="宋体" w:eastAsia="仿宋_GB2312"/>
          <w:b/>
          <w:bCs/>
          <w:sz w:val="30"/>
          <w:szCs w:val="30"/>
          <w:lang w:eastAsia="zh-CN"/>
        </w:rPr>
      </w:pPr>
      <w:r>
        <w:rPr>
          <w:rFonts w:hint="eastAsia" w:ascii="仿宋_GB2312" w:hAnsi="宋体" w:eastAsia="仿宋_GB2312"/>
          <w:sz w:val="30"/>
          <w:szCs w:val="30"/>
          <w:lang w:val="en-US" w:eastAsia="zh-CN"/>
        </w:rPr>
        <w:t>4</w:t>
      </w:r>
      <w:r>
        <w:rPr>
          <w:rFonts w:hint="eastAsia" w:ascii="仿宋_GB2312" w:hAnsi="宋体" w:eastAsia="仿宋_GB2312"/>
          <w:sz w:val="30"/>
          <w:szCs w:val="30"/>
        </w:rPr>
        <w:t>.有效资质证明并加盖公章：通过年检的营业执照复印件。报价文件装订密封，并</w:t>
      </w:r>
      <w:r>
        <w:rPr>
          <w:rFonts w:hint="eastAsia" w:ascii="仿宋_GB2312" w:hAnsi="宋体" w:eastAsia="仿宋_GB2312"/>
          <w:b/>
          <w:bCs/>
          <w:sz w:val="30"/>
          <w:szCs w:val="30"/>
        </w:rPr>
        <w:t>在封</w:t>
      </w:r>
      <w:r>
        <w:rPr>
          <w:rFonts w:hint="eastAsia" w:ascii="仿宋_GB2312" w:hAnsi="宋体" w:eastAsia="仿宋_GB2312"/>
          <w:b/>
          <w:bCs/>
          <w:sz w:val="30"/>
          <w:szCs w:val="30"/>
          <w:lang w:eastAsia="zh-CN"/>
        </w:rPr>
        <w:t>面</w:t>
      </w:r>
      <w:r>
        <w:rPr>
          <w:rFonts w:hint="eastAsia" w:ascii="仿宋_GB2312" w:hAnsi="宋体" w:eastAsia="仿宋_GB2312"/>
          <w:b/>
          <w:bCs/>
          <w:sz w:val="30"/>
          <w:szCs w:val="30"/>
        </w:rPr>
        <w:t>上注明：采购项目名称、采购项目编号、报价单位名称、</w:t>
      </w:r>
      <w:r>
        <w:rPr>
          <w:rFonts w:hint="eastAsia" w:ascii="仿宋_GB2312" w:hAnsi="宋体" w:eastAsia="仿宋_GB2312"/>
          <w:b/>
          <w:bCs/>
          <w:sz w:val="30"/>
          <w:szCs w:val="30"/>
          <w:lang w:eastAsia="zh-CN"/>
        </w:rPr>
        <w:t>联系人、联系方式；</w:t>
      </w:r>
    </w:p>
    <w:p>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六、报价文件的签署和份数。</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（一）报价文件需打印或用不褪色的墨水填写。报价文件的装订顺序应按本章第六条所叙顺序装订。</w:t>
      </w:r>
    </w:p>
    <w:p>
      <w:pPr>
        <w:pageBreakBefore w:val="0"/>
        <w:kinsoku/>
        <w:wordWrap/>
        <w:topLinePunct w:val="0"/>
        <w:bidi w:val="0"/>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（二）报价文件凡需要盖章处均须由报价单位盖公章，并由法定代表人或</w:t>
      </w:r>
      <w:r>
        <w:rPr>
          <w:rFonts w:hint="eastAsia" w:ascii="仿宋_GB2312" w:eastAsia="仿宋_GB2312"/>
          <w:sz w:val="30"/>
          <w:szCs w:val="30"/>
          <w:lang w:eastAsia="zh-CN"/>
        </w:rPr>
        <w:t>授权</w:t>
      </w:r>
      <w:r>
        <w:rPr>
          <w:rFonts w:hint="eastAsia" w:ascii="仿宋_GB2312" w:eastAsia="仿宋_GB2312"/>
          <w:sz w:val="30"/>
          <w:szCs w:val="30"/>
        </w:rPr>
        <w:t>代表签署，</w:t>
      </w:r>
      <w:r>
        <w:rPr>
          <w:rFonts w:hint="eastAsia" w:ascii="仿宋_GB2312" w:eastAsia="仿宋_GB2312"/>
          <w:sz w:val="30"/>
          <w:szCs w:val="30"/>
          <w:lang w:val="en-US" w:eastAsia="zh-CN"/>
        </w:rPr>
        <w:t>报价人</w:t>
      </w:r>
      <w:r>
        <w:rPr>
          <w:rFonts w:hint="eastAsia" w:ascii="仿宋_GB2312" w:eastAsia="仿宋_GB2312"/>
          <w:sz w:val="30"/>
          <w:szCs w:val="30"/>
        </w:rPr>
        <w:t>单位应写全称。</w:t>
      </w:r>
    </w:p>
    <w:p>
      <w:pPr>
        <w:pageBreakBefore w:val="0"/>
        <w:kinsoku/>
        <w:wordWrap/>
        <w:topLinePunct w:val="0"/>
        <w:bidi w:val="0"/>
        <w:snapToGrid w:val="0"/>
        <w:spacing w:line="360" w:lineRule="auto"/>
        <w:ind w:firstLine="615" w:firstLineChars="205"/>
        <w:jc w:val="left"/>
        <w:rPr>
          <w:rFonts w:hint="eastAsia" w:ascii="仿宋_GB2312" w:eastAsia="仿宋_GB2312"/>
          <w:sz w:val="30"/>
          <w:szCs w:val="30"/>
          <w:lang w:eastAsia="zh-CN"/>
        </w:rPr>
      </w:pPr>
      <w:r>
        <w:rPr>
          <w:rFonts w:hint="eastAsia" w:ascii="仿宋_GB2312" w:eastAsia="仿宋_GB2312"/>
          <w:sz w:val="30"/>
          <w:szCs w:val="30"/>
        </w:rPr>
        <w:t>（三）</w:t>
      </w:r>
      <w:r>
        <w:rPr>
          <w:rFonts w:hint="eastAsia" w:ascii="仿宋_GB2312" w:eastAsia="仿宋_GB2312"/>
          <w:sz w:val="30"/>
          <w:szCs w:val="30"/>
          <w:lang w:val="en-US" w:eastAsia="zh-CN"/>
        </w:rPr>
        <w:t>报价人</w:t>
      </w:r>
      <w:r>
        <w:rPr>
          <w:rFonts w:hint="eastAsia" w:ascii="仿宋_GB2312" w:eastAsia="仿宋_GB2312"/>
          <w:sz w:val="30"/>
          <w:szCs w:val="30"/>
        </w:rPr>
        <w:t>应按照询价文件的格式要求制作报价文件，报价文件正本1份</w:t>
      </w:r>
      <w:r>
        <w:rPr>
          <w:rFonts w:hint="eastAsia" w:ascii="仿宋_GB2312" w:eastAsia="仿宋_GB2312"/>
          <w:sz w:val="30"/>
          <w:szCs w:val="30"/>
          <w:lang w:eastAsia="zh-CN"/>
        </w:rPr>
        <w:t>，副本</w:t>
      </w:r>
      <w:r>
        <w:rPr>
          <w:rFonts w:hint="eastAsia" w:ascii="仿宋_GB2312" w:eastAsia="仿宋_GB2312"/>
          <w:sz w:val="30"/>
          <w:szCs w:val="30"/>
          <w:lang w:val="en-US" w:eastAsia="zh-CN"/>
        </w:rPr>
        <w:t>4份</w:t>
      </w:r>
      <w:r>
        <w:rPr>
          <w:rFonts w:hint="eastAsia" w:ascii="仿宋_GB2312" w:eastAsia="仿宋_GB2312"/>
          <w:sz w:val="30"/>
          <w:szCs w:val="30"/>
          <w:lang w:eastAsia="zh-CN"/>
        </w:rPr>
        <w:t>。</w:t>
      </w:r>
    </w:p>
    <w:p>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七、报价文件的递交。</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（一）如果</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未加写标记，</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对报价文件的误投和提前启封不负责任。</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接受</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报价文件时间：在报价截止时间前接受报价文件。</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（三）报价截止时间前，</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可以书面形式向</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已递交的报价文件提出补充和修改，</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以最后的补充和修改为准。该书面材料应密封，由法定代表人或授权委托人签字并加盖公章。</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（四）报价文件填写字迹必须清楚、工整，对不同文字文本报价文件的解释发生异议的，以中文文本为准。</w:t>
      </w:r>
    </w:p>
    <w:p>
      <w:pPr>
        <w:pageBreakBefore w:val="0"/>
        <w:kinsoku/>
        <w:wordWrap/>
        <w:topLinePunct w:val="0"/>
        <w:bidi w:val="0"/>
        <w:snapToGrid w:val="0"/>
        <w:spacing w:line="360" w:lineRule="auto"/>
        <w:ind w:left="1" w:firstLine="774" w:firstLineChars="257"/>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八</w:t>
      </w:r>
      <w:r>
        <w:rPr>
          <w:rFonts w:hint="eastAsia" w:ascii="仿宋_GB2312" w:eastAsia="仿宋_GB2312"/>
          <w:b/>
          <w:bCs/>
          <w:sz w:val="30"/>
          <w:szCs w:val="30"/>
        </w:rPr>
        <w:t>、无效报价</w:t>
      </w:r>
      <w:r>
        <w:rPr>
          <w:rFonts w:hint="eastAsia" w:ascii="仿宋_GB2312" w:eastAsia="仿宋_GB2312"/>
          <w:b/>
          <w:bCs/>
          <w:sz w:val="30"/>
          <w:szCs w:val="30"/>
          <w:lang w:eastAsia="zh-CN"/>
        </w:rPr>
        <w:t>。</w:t>
      </w:r>
    </w:p>
    <w:p>
      <w:pPr>
        <w:pageBreakBefore w:val="0"/>
        <w:kinsoku/>
        <w:wordWrap/>
        <w:topLinePunct w:val="0"/>
        <w:bidi w:val="0"/>
        <w:snapToGrid w:val="0"/>
        <w:spacing w:line="360" w:lineRule="auto"/>
        <w:ind w:left="1" w:firstLine="771" w:firstLineChars="257"/>
        <w:rPr>
          <w:rFonts w:ascii="仿宋_GB2312" w:eastAsia="仿宋_GB2312"/>
          <w:sz w:val="30"/>
          <w:szCs w:val="30"/>
        </w:rPr>
      </w:pPr>
      <w:r>
        <w:rPr>
          <w:rFonts w:hint="eastAsia" w:ascii="仿宋_GB2312" w:eastAsia="仿宋_GB2312"/>
          <w:sz w:val="30"/>
          <w:szCs w:val="30"/>
        </w:rPr>
        <w:t>发生下列情况之一的，</w:t>
      </w:r>
      <w:r>
        <w:rPr>
          <w:rFonts w:hint="eastAsia" w:ascii="仿宋_GB2312" w:eastAsia="仿宋_GB2312"/>
          <w:sz w:val="30"/>
          <w:szCs w:val="30"/>
          <w:lang w:val="en-US" w:eastAsia="zh-CN"/>
        </w:rPr>
        <w:t>采购人</w:t>
      </w:r>
      <w:r>
        <w:rPr>
          <w:rFonts w:hint="eastAsia" w:ascii="仿宋_GB2312" w:eastAsia="仿宋_GB2312"/>
          <w:sz w:val="30"/>
          <w:szCs w:val="30"/>
        </w:rPr>
        <w:t>可视情况作无效报价处理：</w:t>
      </w:r>
    </w:p>
    <w:p>
      <w:pPr>
        <w:pageBreakBefore w:val="0"/>
        <w:kinsoku/>
        <w:wordWrap/>
        <w:topLinePunct w:val="0"/>
        <w:bidi w:val="0"/>
        <w:snapToGrid w:val="0"/>
        <w:spacing w:line="360" w:lineRule="auto"/>
        <w:ind w:firstLine="612" w:firstLineChars="204"/>
        <w:rPr>
          <w:rFonts w:ascii="仿宋_GB2312" w:eastAsia="仿宋_GB2312"/>
          <w:sz w:val="30"/>
          <w:szCs w:val="30"/>
        </w:rPr>
      </w:pPr>
      <w:r>
        <w:rPr>
          <w:rFonts w:hint="eastAsia" w:ascii="仿宋_GB2312" w:eastAsia="仿宋_GB2312"/>
          <w:sz w:val="30"/>
          <w:szCs w:val="30"/>
        </w:rPr>
        <w:t>（一）在</w:t>
      </w:r>
      <w:r>
        <w:rPr>
          <w:rFonts w:hint="eastAsia" w:ascii="仿宋_GB2312" w:eastAsia="仿宋_GB2312"/>
          <w:sz w:val="30"/>
          <w:szCs w:val="30"/>
          <w:lang w:val="en-US" w:eastAsia="zh-CN"/>
        </w:rPr>
        <w:t>采购人</w:t>
      </w:r>
      <w:r>
        <w:rPr>
          <w:rFonts w:hint="eastAsia" w:ascii="仿宋_GB2312" w:eastAsia="仿宋_GB2312"/>
          <w:sz w:val="30"/>
          <w:szCs w:val="30"/>
        </w:rPr>
        <w:t>规定的截止时间以后送达的报价文件。</w:t>
      </w:r>
    </w:p>
    <w:p>
      <w:pPr>
        <w:pageBreakBefore w:val="0"/>
        <w:kinsoku/>
        <w:wordWrap/>
        <w:topLinePunct w:val="0"/>
        <w:bidi w:val="0"/>
        <w:snapToGrid w:val="0"/>
        <w:spacing w:line="360" w:lineRule="auto"/>
        <w:ind w:firstLine="612" w:firstLineChars="204"/>
        <w:rPr>
          <w:rFonts w:ascii="仿宋_GB2312" w:eastAsia="仿宋_GB2312"/>
          <w:sz w:val="30"/>
          <w:szCs w:val="30"/>
        </w:rPr>
      </w:pPr>
      <w:r>
        <w:rPr>
          <w:rFonts w:hint="eastAsia" w:ascii="仿宋_GB2312" w:eastAsia="仿宋_GB2312"/>
          <w:sz w:val="30"/>
          <w:szCs w:val="30"/>
        </w:rPr>
        <w:t>（二）提供两个或两个以上报价方案的。</w:t>
      </w:r>
    </w:p>
    <w:p>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rPr>
        <w:t>（三）报价文件应盖公章而未盖公章或盖非公司公章、未装订、</w:t>
      </w:r>
      <w:r>
        <w:rPr>
          <w:rFonts w:hint="eastAsia" w:ascii="仿宋_GB2312" w:eastAsia="仿宋_GB2312"/>
          <w:sz w:val="30"/>
          <w:szCs w:val="30"/>
          <w:lang w:val="en-US" w:eastAsia="zh-CN"/>
        </w:rPr>
        <w:t>未密封、未有效授权的。</w:t>
      </w:r>
    </w:p>
    <w:p>
      <w:pPr>
        <w:pageBreakBefore w:val="0"/>
        <w:kinsoku/>
        <w:wordWrap/>
        <w:topLinePunct w:val="0"/>
        <w:bidi w:val="0"/>
        <w:snapToGrid w:val="0"/>
        <w:spacing w:line="360" w:lineRule="auto"/>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（四）报价总价超过最高限价的。</w:t>
      </w:r>
    </w:p>
    <w:p>
      <w:pPr>
        <w:pageBreakBefore w:val="0"/>
        <w:kinsoku/>
        <w:wordWrap/>
        <w:topLinePunct w:val="0"/>
        <w:bidi w:val="0"/>
        <w:snapToGrid w:val="0"/>
        <w:spacing w:line="360" w:lineRule="auto"/>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（五）所提供的资料存在弄虚作假的。</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（六）不符合法律、法规和本询价文件规定的其他要求的。</w:t>
      </w:r>
    </w:p>
    <w:p>
      <w:pPr>
        <w:pageBreakBefore w:val="0"/>
        <w:kinsoku/>
        <w:wordWrap/>
        <w:topLinePunct w:val="0"/>
        <w:bidi w:val="0"/>
        <w:snapToGrid w:val="0"/>
        <w:spacing w:line="360" w:lineRule="auto"/>
        <w:ind w:left="1" w:firstLine="774" w:firstLineChars="257"/>
        <w:outlineLvl w:val="1"/>
        <w:rPr>
          <w:rFonts w:hint="eastAsia" w:ascii="仿宋_GB2312" w:eastAsia="仿宋_GB2312"/>
          <w:b/>
          <w:bCs/>
          <w:sz w:val="30"/>
          <w:szCs w:val="30"/>
          <w:lang w:val="en-US" w:eastAsia="zh-CN"/>
        </w:rPr>
      </w:pPr>
      <w:r>
        <w:rPr>
          <w:rFonts w:hint="eastAsia" w:ascii="仿宋_GB2312" w:eastAsia="仿宋_GB2312"/>
          <w:b/>
          <w:bCs/>
          <w:sz w:val="30"/>
          <w:szCs w:val="30"/>
          <w:lang w:val="en-US" w:eastAsia="zh-CN"/>
        </w:rPr>
        <w:t>九、询价过程。</w:t>
      </w:r>
    </w:p>
    <w:p>
      <w:pPr>
        <w:pageBreakBefore w:val="0"/>
        <w:kinsoku/>
        <w:wordWrap/>
        <w:topLinePunct w:val="0"/>
        <w:bidi w:val="0"/>
        <w:snapToGrid w:val="0"/>
        <w:spacing w:line="360" w:lineRule="auto"/>
        <w:jc w:val="left"/>
        <w:rPr>
          <w:rFonts w:ascii="仿宋_GB2312" w:eastAsia="仿宋_GB2312"/>
          <w:sz w:val="30"/>
          <w:szCs w:val="30"/>
        </w:rPr>
      </w:pPr>
      <w:r>
        <w:rPr>
          <w:rFonts w:hint="eastAsia" w:ascii="仿宋_GB2312" w:eastAsia="仿宋_GB2312"/>
          <w:sz w:val="30"/>
          <w:szCs w:val="30"/>
        </w:rPr>
        <w:t xml:space="preserve">    （一）</w:t>
      </w:r>
      <w:r>
        <w:rPr>
          <w:rFonts w:hint="eastAsia" w:ascii="仿宋_GB2312" w:eastAsia="仿宋_GB2312"/>
          <w:sz w:val="30"/>
          <w:szCs w:val="30"/>
          <w:lang w:val="en-US" w:eastAsia="zh-CN"/>
        </w:rPr>
        <w:t>采购人</w:t>
      </w:r>
      <w:r>
        <w:rPr>
          <w:rFonts w:hint="eastAsia" w:ascii="仿宋_GB2312" w:eastAsia="仿宋_GB2312"/>
          <w:sz w:val="30"/>
          <w:szCs w:val="30"/>
        </w:rPr>
        <w:t>组织3人</w:t>
      </w:r>
      <w:r>
        <w:rPr>
          <w:rFonts w:hint="eastAsia" w:ascii="仿宋_GB2312" w:eastAsia="仿宋_GB2312"/>
          <w:sz w:val="30"/>
          <w:szCs w:val="30"/>
          <w:lang w:eastAsia="zh-CN"/>
        </w:rPr>
        <w:t>或</w:t>
      </w:r>
      <w:r>
        <w:rPr>
          <w:rFonts w:hint="eastAsia" w:ascii="仿宋_GB2312" w:eastAsia="仿宋_GB2312"/>
          <w:sz w:val="30"/>
          <w:szCs w:val="30"/>
          <w:lang w:val="en-US" w:eastAsia="zh-CN"/>
        </w:rPr>
        <w:t>3人以上</w:t>
      </w:r>
      <w:r>
        <w:rPr>
          <w:rFonts w:hint="eastAsia" w:ascii="仿宋_GB2312" w:eastAsia="仿宋_GB2312"/>
          <w:sz w:val="30"/>
          <w:szCs w:val="30"/>
        </w:rPr>
        <w:t>组成询价评审小组。</w:t>
      </w:r>
    </w:p>
    <w:p>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（二）</w:t>
      </w:r>
      <w:r>
        <w:rPr>
          <w:rFonts w:hint="eastAsia" w:ascii="仿宋_GB2312" w:eastAsia="仿宋_GB2312"/>
          <w:sz w:val="30"/>
          <w:szCs w:val="30"/>
          <w:lang w:val="en-US" w:eastAsia="zh-CN"/>
        </w:rPr>
        <w:t>采购人</w:t>
      </w:r>
      <w:r>
        <w:rPr>
          <w:rFonts w:hint="eastAsia" w:ascii="仿宋_GB2312" w:eastAsia="仿宋_GB2312"/>
          <w:sz w:val="30"/>
          <w:szCs w:val="30"/>
        </w:rPr>
        <w:t>在询价文件规定的时间和地点</w:t>
      </w:r>
      <w:r>
        <w:rPr>
          <w:rFonts w:hint="eastAsia" w:ascii="仿宋_GB2312" w:eastAsia="仿宋_GB2312"/>
          <w:sz w:val="30"/>
          <w:szCs w:val="30"/>
          <w:lang w:eastAsia="zh-CN"/>
        </w:rPr>
        <w:t>进行开标</w:t>
      </w:r>
      <w:r>
        <w:rPr>
          <w:rFonts w:hint="eastAsia" w:ascii="仿宋_GB2312" w:eastAsia="仿宋_GB2312"/>
          <w:sz w:val="30"/>
          <w:szCs w:val="30"/>
        </w:rPr>
        <w:t>。</w:t>
      </w:r>
    </w:p>
    <w:p>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（三）</w:t>
      </w:r>
      <w:r>
        <w:rPr>
          <w:rFonts w:hint="eastAsia" w:ascii="仿宋_GB2312" w:eastAsia="仿宋_GB2312"/>
          <w:sz w:val="30"/>
          <w:szCs w:val="30"/>
          <w:lang w:eastAsia="zh-CN"/>
        </w:rPr>
        <w:t>开标</w:t>
      </w:r>
      <w:r>
        <w:rPr>
          <w:rFonts w:hint="eastAsia" w:ascii="仿宋_GB2312" w:eastAsia="仿宋_GB2312"/>
          <w:sz w:val="30"/>
          <w:szCs w:val="30"/>
        </w:rPr>
        <w:t>时，</w:t>
      </w:r>
      <w:r>
        <w:rPr>
          <w:rFonts w:hint="eastAsia" w:ascii="仿宋_GB2312" w:eastAsia="仿宋_GB2312"/>
          <w:sz w:val="30"/>
          <w:szCs w:val="30"/>
          <w:lang w:val="en-US" w:eastAsia="zh-CN"/>
        </w:rPr>
        <w:t>采购人</w:t>
      </w:r>
      <w:r>
        <w:rPr>
          <w:rFonts w:hint="eastAsia" w:ascii="仿宋_GB2312" w:eastAsia="仿宋_GB2312"/>
          <w:sz w:val="30"/>
          <w:szCs w:val="30"/>
        </w:rPr>
        <w:t>将查验报价文件密封情况，确认无误后公开拆封报价文件报价。</w:t>
      </w:r>
    </w:p>
    <w:p>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lang w:eastAsia="zh-CN"/>
        </w:rPr>
      </w:pPr>
      <w:r>
        <w:rPr>
          <w:rFonts w:hint="eastAsia" w:ascii="仿宋_GB2312" w:eastAsia="仿宋_GB2312"/>
          <w:b/>
          <w:bCs/>
          <w:sz w:val="30"/>
          <w:szCs w:val="30"/>
        </w:rPr>
        <w:t>十、</w:t>
      </w:r>
      <w:r>
        <w:rPr>
          <w:rFonts w:hint="eastAsia" w:ascii="仿宋_GB2312" w:eastAsia="仿宋_GB2312"/>
          <w:b/>
          <w:bCs/>
          <w:sz w:val="30"/>
          <w:szCs w:val="30"/>
          <w:lang w:eastAsia="zh-CN"/>
        </w:rPr>
        <w:t>重新询价和不再询价。</w:t>
      </w:r>
    </w:p>
    <w:p>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（一）重新询价</w:t>
      </w:r>
    </w:p>
    <w:p>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eastAsia="zh-CN"/>
        </w:rPr>
        <w:t>询价截止时间止，报价人少于3家的或经评审后有效标不足3家，采购人将重新询价。</w:t>
      </w:r>
    </w:p>
    <w:p>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（二）不再询价</w:t>
      </w:r>
    </w:p>
    <w:p>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重新询价后报价人仍少于3个或者经评审有效标不足3家，直接转为竞争性谈判，询价文件即为谈判文件，评标小组成员即为谈判小组成员。</w:t>
      </w:r>
    </w:p>
    <w:p>
      <w:pPr>
        <w:pageBreakBefore w:val="0"/>
        <w:kinsoku/>
        <w:wordWrap/>
        <w:topLinePunct w:val="0"/>
        <w:bidi w:val="0"/>
        <w:snapToGrid w:val="0"/>
        <w:spacing w:line="360" w:lineRule="auto"/>
        <w:ind w:firstLine="602" w:firstLineChars="200"/>
        <w:jc w:val="left"/>
        <w:outlineLvl w:val="1"/>
        <w:rPr>
          <w:rFonts w:ascii="仿宋_GB2312" w:eastAsia="仿宋_GB2312"/>
          <w:b/>
          <w:bCs/>
          <w:sz w:val="30"/>
          <w:szCs w:val="30"/>
        </w:rPr>
      </w:pPr>
      <w:r>
        <w:rPr>
          <w:rFonts w:hint="eastAsia" w:ascii="仿宋_GB2312" w:eastAsia="仿宋_GB2312"/>
          <w:b/>
          <w:bCs/>
          <w:sz w:val="30"/>
          <w:szCs w:val="30"/>
          <w:lang w:eastAsia="zh-CN"/>
        </w:rPr>
        <w:t>十一、</w:t>
      </w:r>
      <w:r>
        <w:rPr>
          <w:rFonts w:hint="eastAsia" w:ascii="仿宋_GB2312" w:eastAsia="仿宋_GB2312"/>
          <w:b/>
          <w:bCs/>
          <w:sz w:val="30"/>
          <w:szCs w:val="30"/>
        </w:rPr>
        <w:t>成交原则与方法。</w:t>
      </w:r>
    </w:p>
    <w:p>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（一）</w:t>
      </w:r>
      <w:r>
        <w:rPr>
          <w:rFonts w:hint="eastAsia" w:ascii="仿宋_GB2312" w:eastAsia="仿宋_GB2312"/>
          <w:sz w:val="30"/>
          <w:szCs w:val="30"/>
          <w:lang w:val="en-US" w:eastAsia="zh-CN"/>
        </w:rPr>
        <w:t>采购人</w:t>
      </w:r>
      <w:r>
        <w:rPr>
          <w:rFonts w:hint="eastAsia" w:ascii="仿宋_GB2312" w:eastAsia="仿宋_GB2312"/>
          <w:sz w:val="30"/>
          <w:szCs w:val="30"/>
        </w:rPr>
        <w:t>组织评审小组对各单位的报价资料进行审核，在满足</w:t>
      </w:r>
      <w:r>
        <w:rPr>
          <w:rFonts w:hint="eastAsia" w:ascii="仿宋_GB2312" w:eastAsia="仿宋_GB2312"/>
          <w:sz w:val="30"/>
          <w:szCs w:val="30"/>
          <w:lang w:val="en-US" w:eastAsia="zh-CN"/>
        </w:rPr>
        <w:t>采购人</w:t>
      </w:r>
      <w:r>
        <w:rPr>
          <w:rFonts w:hint="eastAsia" w:ascii="仿宋_GB2312" w:eastAsia="仿宋_GB2312"/>
          <w:sz w:val="30"/>
          <w:szCs w:val="30"/>
        </w:rPr>
        <w:t>要求的前提下，按经评审通过后总金额最低价成交的原则确定</w:t>
      </w:r>
      <w:r>
        <w:rPr>
          <w:rFonts w:hint="eastAsia" w:ascii="仿宋_GB2312" w:eastAsia="仿宋_GB2312"/>
          <w:sz w:val="30"/>
          <w:szCs w:val="30"/>
          <w:lang w:val="en-US" w:eastAsia="zh-CN"/>
        </w:rPr>
        <w:t>中标单位，</w:t>
      </w:r>
      <w:r>
        <w:rPr>
          <w:rFonts w:hint="eastAsia" w:ascii="仿宋_GB2312" w:eastAsia="仿宋_GB2312"/>
          <w:sz w:val="30"/>
          <w:szCs w:val="30"/>
        </w:rPr>
        <w:t>若出现税率不一致的情况，以除税</w:t>
      </w:r>
      <w:r>
        <w:rPr>
          <w:rFonts w:hint="eastAsia" w:ascii="仿宋_GB2312" w:eastAsia="仿宋_GB2312"/>
          <w:sz w:val="30"/>
          <w:szCs w:val="30"/>
          <w:lang w:eastAsia="zh-CN"/>
        </w:rPr>
        <w:t>总金额</w:t>
      </w:r>
      <w:r>
        <w:rPr>
          <w:rFonts w:hint="eastAsia" w:ascii="仿宋_GB2312" w:eastAsia="仿宋_GB2312"/>
          <w:sz w:val="30"/>
          <w:szCs w:val="30"/>
        </w:rPr>
        <w:t>相对比。如果出现相同总金额最低报价情况时，总金额最低报价相同的</w:t>
      </w:r>
      <w:r>
        <w:rPr>
          <w:rFonts w:hint="eastAsia" w:ascii="仿宋_GB2312" w:eastAsia="仿宋_GB2312"/>
          <w:sz w:val="30"/>
          <w:szCs w:val="30"/>
          <w:lang w:val="en-US" w:eastAsia="zh-CN"/>
        </w:rPr>
        <w:t>报价人</w:t>
      </w:r>
      <w:r>
        <w:rPr>
          <w:rFonts w:hint="eastAsia" w:ascii="仿宋_GB2312" w:eastAsia="仿宋_GB2312"/>
          <w:sz w:val="30"/>
          <w:szCs w:val="30"/>
        </w:rPr>
        <w:t>再进行一轮报价。如报价再相同，则由</w:t>
      </w:r>
      <w:r>
        <w:rPr>
          <w:rFonts w:hint="eastAsia" w:ascii="仿宋_GB2312" w:eastAsia="仿宋_GB2312"/>
          <w:sz w:val="30"/>
          <w:szCs w:val="30"/>
          <w:lang w:val="en-US" w:eastAsia="zh-CN"/>
        </w:rPr>
        <w:t>采购人</w:t>
      </w:r>
      <w:r>
        <w:rPr>
          <w:rFonts w:hint="eastAsia" w:ascii="仿宋_GB2312" w:eastAsia="仿宋_GB2312"/>
          <w:sz w:val="30"/>
          <w:szCs w:val="30"/>
        </w:rPr>
        <w:t>抽签决定</w:t>
      </w:r>
      <w:r>
        <w:rPr>
          <w:rFonts w:hint="eastAsia" w:ascii="仿宋_GB2312" w:eastAsia="仿宋_GB2312"/>
          <w:sz w:val="30"/>
          <w:szCs w:val="30"/>
          <w:lang w:val="en-US" w:eastAsia="zh-CN"/>
        </w:rPr>
        <w:t>中标单位</w:t>
      </w:r>
      <w:r>
        <w:rPr>
          <w:rFonts w:hint="eastAsia" w:ascii="仿宋_GB2312" w:eastAsia="仿宋_GB2312"/>
          <w:sz w:val="30"/>
          <w:szCs w:val="30"/>
        </w:rPr>
        <w:t>。</w:t>
      </w:r>
    </w:p>
    <w:p>
      <w:pPr>
        <w:pageBreakBefore w:val="0"/>
        <w:kinsoku/>
        <w:wordWrap/>
        <w:topLinePunct w:val="0"/>
        <w:bidi w:val="0"/>
        <w:snapToGrid w:val="0"/>
        <w:spacing w:line="360" w:lineRule="auto"/>
        <w:jc w:val="left"/>
        <w:rPr>
          <w:rFonts w:ascii="仿宋_GB2312" w:eastAsia="仿宋_GB2312"/>
          <w:sz w:val="30"/>
          <w:szCs w:val="30"/>
        </w:rPr>
      </w:pPr>
      <w:r>
        <w:rPr>
          <w:rFonts w:hint="eastAsia" w:ascii="仿宋_GB2312" w:eastAsia="仿宋_GB2312"/>
          <w:sz w:val="30"/>
          <w:szCs w:val="30"/>
        </w:rPr>
        <w:t xml:space="preserve">   （二）</w:t>
      </w:r>
      <w:r>
        <w:rPr>
          <w:rFonts w:hint="eastAsia" w:ascii="仿宋_GB2312" w:eastAsia="仿宋_GB2312"/>
          <w:sz w:val="30"/>
          <w:szCs w:val="30"/>
          <w:lang w:val="en-US" w:eastAsia="zh-CN"/>
        </w:rPr>
        <w:t>采购人</w:t>
      </w:r>
      <w:r>
        <w:rPr>
          <w:rFonts w:hint="eastAsia" w:ascii="仿宋_GB2312" w:eastAsia="仿宋_GB2312"/>
          <w:sz w:val="30"/>
          <w:szCs w:val="30"/>
        </w:rPr>
        <w:t>不向未</w:t>
      </w:r>
      <w:r>
        <w:rPr>
          <w:rFonts w:hint="eastAsia" w:ascii="仿宋_GB2312" w:eastAsia="仿宋_GB2312"/>
          <w:sz w:val="30"/>
          <w:szCs w:val="30"/>
          <w:lang w:val="en-US" w:eastAsia="zh-CN"/>
        </w:rPr>
        <w:t>中标单位</w:t>
      </w:r>
      <w:r>
        <w:rPr>
          <w:rFonts w:hint="eastAsia" w:ascii="仿宋_GB2312" w:eastAsia="仿宋_GB2312"/>
          <w:sz w:val="30"/>
          <w:szCs w:val="30"/>
        </w:rPr>
        <w:t>解释未成交原因，不退还报价文件。</w:t>
      </w:r>
    </w:p>
    <w:p>
      <w:pPr>
        <w:pStyle w:val="19"/>
        <w:pageBreakBefore w:val="0"/>
        <w:widowControl w:val="0"/>
        <w:kinsoku/>
        <w:wordWrap/>
        <w:topLinePunct w:val="0"/>
        <w:bidi w:val="0"/>
        <w:snapToGrid w:val="0"/>
        <w:spacing w:line="360" w:lineRule="auto"/>
        <w:ind w:firstLine="601"/>
        <w:outlineLvl w:val="1"/>
        <w:rPr>
          <w:rFonts w:hint="eastAsia" w:ascii="仿宋_GB2312" w:eastAsia="仿宋_GB2312"/>
          <w:b/>
          <w:bCs/>
          <w:sz w:val="30"/>
          <w:szCs w:val="30"/>
          <w:lang w:eastAsia="zh-CN"/>
        </w:rPr>
      </w:pPr>
      <w:r>
        <w:rPr>
          <w:rFonts w:hint="eastAsia" w:ascii="仿宋_GB2312" w:eastAsia="仿宋_GB2312"/>
          <w:b/>
          <w:bCs/>
          <w:sz w:val="30"/>
          <w:szCs w:val="30"/>
        </w:rPr>
        <w:t>十</w:t>
      </w:r>
      <w:r>
        <w:rPr>
          <w:rFonts w:hint="eastAsia" w:ascii="仿宋_GB2312" w:eastAsia="仿宋_GB2312"/>
          <w:b/>
          <w:bCs/>
          <w:sz w:val="30"/>
          <w:szCs w:val="30"/>
          <w:lang w:eastAsia="zh-CN"/>
        </w:rPr>
        <w:t>二</w:t>
      </w:r>
      <w:r>
        <w:rPr>
          <w:rFonts w:hint="eastAsia" w:ascii="仿宋_GB2312" w:eastAsia="仿宋_GB2312"/>
          <w:b/>
          <w:bCs/>
          <w:sz w:val="30"/>
          <w:szCs w:val="30"/>
        </w:rPr>
        <w:t>、合同</w:t>
      </w:r>
      <w:r>
        <w:rPr>
          <w:rFonts w:hint="eastAsia" w:ascii="仿宋_GB2312" w:eastAsia="仿宋_GB2312"/>
          <w:b/>
          <w:bCs/>
          <w:sz w:val="30"/>
          <w:szCs w:val="30"/>
          <w:lang w:eastAsia="zh-CN"/>
        </w:rPr>
        <w:t>。</w:t>
      </w:r>
    </w:p>
    <w:p>
      <w:pPr>
        <w:pageBreakBefore w:val="0"/>
        <w:kinsoku/>
        <w:wordWrap/>
        <w:topLinePunct w:val="0"/>
        <w:bidi w:val="0"/>
        <w:snapToGrid w:val="0"/>
        <w:spacing w:line="360" w:lineRule="auto"/>
        <w:ind w:firstLine="600" w:firstLineChars="200"/>
        <w:jc w:val="left"/>
        <w:rPr>
          <w:rFonts w:hint="eastAsia" w:ascii="仿宋_GB2312" w:hAnsi="Times New Roman" w:eastAsia="仿宋_GB2312" w:cs="Times New Roman"/>
          <w:sz w:val="30"/>
          <w:szCs w:val="30"/>
          <w:lang w:eastAsia="zh-CN"/>
        </w:rPr>
      </w:pPr>
      <w:r>
        <w:rPr>
          <w:rFonts w:hint="eastAsia" w:ascii="仿宋_GB2312" w:eastAsia="仿宋_GB2312"/>
          <w:sz w:val="30"/>
          <w:szCs w:val="30"/>
        </w:rPr>
        <w:t>合同签订：</w:t>
      </w:r>
      <w:r>
        <w:rPr>
          <w:rFonts w:hint="eastAsia" w:ascii="仿宋_GB2312" w:eastAsia="仿宋_GB2312"/>
          <w:sz w:val="30"/>
          <w:szCs w:val="30"/>
          <w:lang w:val="en-US" w:eastAsia="zh-CN"/>
        </w:rPr>
        <w:t>报价人</w:t>
      </w:r>
      <w:r>
        <w:rPr>
          <w:rFonts w:hint="eastAsia" w:ascii="仿宋_GB2312" w:eastAsia="仿宋_GB2312"/>
          <w:sz w:val="30"/>
          <w:szCs w:val="30"/>
        </w:rPr>
        <w:t>按照上述第十</w:t>
      </w:r>
      <w:r>
        <w:rPr>
          <w:rFonts w:hint="eastAsia" w:ascii="仿宋_GB2312" w:eastAsia="仿宋_GB2312"/>
          <w:sz w:val="30"/>
          <w:szCs w:val="30"/>
          <w:lang w:eastAsia="zh-CN"/>
        </w:rPr>
        <w:t>一</w:t>
      </w:r>
      <w:r>
        <w:rPr>
          <w:rFonts w:hint="eastAsia" w:ascii="仿宋_GB2312" w:eastAsia="仿宋_GB2312"/>
          <w:sz w:val="30"/>
          <w:szCs w:val="30"/>
        </w:rPr>
        <w:t>条规定确定</w:t>
      </w:r>
      <w:r>
        <w:rPr>
          <w:rFonts w:hint="eastAsia" w:ascii="仿宋_GB2312" w:eastAsia="仿宋_GB2312"/>
          <w:sz w:val="30"/>
          <w:szCs w:val="30"/>
          <w:lang w:val="en-US" w:eastAsia="zh-CN"/>
        </w:rPr>
        <w:t>中标单位</w:t>
      </w:r>
      <w:r>
        <w:rPr>
          <w:rFonts w:hint="eastAsia" w:ascii="仿宋_GB2312" w:eastAsia="仿宋_GB2312"/>
          <w:sz w:val="30"/>
          <w:szCs w:val="30"/>
        </w:rPr>
        <w:t>，并签订采购合同，签约单位为</w:t>
      </w:r>
      <w:r>
        <w:rPr>
          <w:rFonts w:hint="eastAsia" w:ascii="仿宋_GB2312" w:eastAsia="仿宋_GB2312"/>
          <w:sz w:val="30"/>
          <w:szCs w:val="30"/>
          <w:lang w:eastAsia="zh-CN"/>
        </w:rPr>
        <w:t>绍兴市再生能源发展有限公司</w:t>
      </w:r>
      <w:r>
        <w:rPr>
          <w:rFonts w:hint="eastAsia" w:ascii="仿宋_GB2312" w:eastAsia="仿宋_GB2312"/>
          <w:sz w:val="30"/>
          <w:szCs w:val="30"/>
        </w:rPr>
        <w:t>。合同履行期间，采购人可根据实际需要，按照成交价格，调整采购数量。</w:t>
      </w:r>
      <w:r>
        <w:rPr>
          <w:rFonts w:hint="eastAsia" w:ascii="仿宋_GB2312" w:hAnsi="Times New Roman" w:eastAsia="仿宋_GB2312" w:cs="Times New Roman"/>
          <w:sz w:val="30"/>
          <w:szCs w:val="30"/>
          <w:lang w:eastAsia="zh-CN"/>
        </w:rPr>
        <w:t>（成交价格及采购数量不得超过原合同的百分之十）</w:t>
      </w:r>
    </w:p>
    <w:p>
      <w:pPr>
        <w:pageBreakBefore w:val="0"/>
        <w:kinsoku/>
        <w:wordWrap/>
        <w:topLinePunct w:val="0"/>
        <w:bidi w:val="0"/>
        <w:snapToGrid w:val="0"/>
        <w:spacing w:line="360" w:lineRule="auto"/>
        <w:ind w:firstLine="600" w:firstLineChars="200"/>
        <w:jc w:val="left"/>
        <w:rPr>
          <w:rFonts w:hint="eastAsia"/>
        </w:rPr>
      </w:pPr>
      <w:r>
        <w:rPr>
          <w:rFonts w:hint="eastAsia" w:ascii="仿宋_GB2312" w:eastAsia="仿宋_GB2312"/>
          <w:sz w:val="30"/>
          <w:szCs w:val="30"/>
          <w:lang w:eastAsia="zh-CN"/>
        </w:rPr>
        <w:t>标书内合同主要条款为拟定条款，具体合同条款在签订合同时由双方协商后确定。</w:t>
      </w:r>
    </w:p>
    <w:p>
      <w:pPr>
        <w:keepNext w:val="0"/>
        <w:keepLines w:val="0"/>
        <w:pageBreakBefore w:val="0"/>
        <w:widowControl w:val="0"/>
        <w:kinsoku/>
        <w:wordWrap/>
        <w:overflowPunct/>
        <w:topLinePunct w:val="0"/>
        <w:autoSpaceDE/>
        <w:autoSpaceDN/>
        <w:bidi w:val="0"/>
        <w:adjustRightInd/>
        <w:snapToGrid w:val="0"/>
        <w:spacing w:line="360" w:lineRule="auto"/>
        <w:ind w:firstLine="602" w:firstLineChars="200"/>
        <w:textAlignment w:val="auto"/>
        <w:outlineLvl w:val="1"/>
        <w:rPr>
          <w:rFonts w:hint="eastAsia" w:ascii="仿宋" w:hAnsi="仿宋" w:eastAsia="仿宋" w:cs="仿宋"/>
          <w:b/>
          <w:bCs/>
          <w:sz w:val="30"/>
          <w:szCs w:val="30"/>
        </w:rPr>
      </w:pPr>
      <w:r>
        <w:rPr>
          <w:rFonts w:hint="eastAsia" w:ascii="仿宋" w:hAnsi="仿宋" w:eastAsia="仿宋" w:cs="仿宋"/>
          <w:b/>
          <w:bCs/>
          <w:sz w:val="30"/>
          <w:szCs w:val="30"/>
        </w:rPr>
        <w:t>十</w:t>
      </w:r>
      <w:r>
        <w:rPr>
          <w:rFonts w:hint="eastAsia" w:ascii="仿宋" w:hAnsi="仿宋" w:eastAsia="仿宋" w:cs="仿宋"/>
          <w:b/>
          <w:bCs/>
          <w:sz w:val="30"/>
          <w:szCs w:val="30"/>
          <w:lang w:val="en-US" w:eastAsia="zh-CN"/>
        </w:rPr>
        <w:t>三</w:t>
      </w:r>
      <w:r>
        <w:rPr>
          <w:rFonts w:hint="eastAsia" w:ascii="仿宋" w:hAnsi="仿宋" w:eastAsia="仿宋" w:cs="仿宋"/>
          <w:b/>
          <w:bCs/>
          <w:sz w:val="30"/>
          <w:szCs w:val="30"/>
        </w:rPr>
        <w:t>、其他。</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（一）如果有证据证明各</w:t>
      </w:r>
      <w:r>
        <w:rPr>
          <w:rFonts w:hint="eastAsia" w:ascii="仿宋" w:hAnsi="仿宋" w:eastAsia="仿宋" w:cs="仿宋"/>
          <w:sz w:val="30"/>
          <w:szCs w:val="30"/>
          <w:lang w:eastAsia="zh-CN"/>
        </w:rPr>
        <w:t>报价人</w:t>
      </w:r>
      <w:r>
        <w:rPr>
          <w:rFonts w:hint="eastAsia" w:ascii="仿宋" w:hAnsi="仿宋" w:eastAsia="仿宋" w:cs="仿宋"/>
          <w:sz w:val="30"/>
          <w:szCs w:val="30"/>
        </w:rPr>
        <w:t>之间存在串通等舞弊、违法行为，</w:t>
      </w:r>
      <w:r>
        <w:rPr>
          <w:rFonts w:hint="eastAsia" w:ascii="仿宋" w:hAnsi="仿宋" w:eastAsia="仿宋" w:cs="仿宋"/>
          <w:sz w:val="30"/>
          <w:szCs w:val="30"/>
          <w:lang w:eastAsia="zh-CN"/>
        </w:rPr>
        <w:t>采购人</w:t>
      </w:r>
      <w:r>
        <w:rPr>
          <w:rFonts w:hint="eastAsia" w:ascii="仿宋" w:hAnsi="仿宋" w:eastAsia="仿宋" w:cs="仿宋"/>
          <w:sz w:val="30"/>
          <w:szCs w:val="30"/>
        </w:rPr>
        <w:t>有权拒绝存在此行为的</w:t>
      </w:r>
      <w:r>
        <w:rPr>
          <w:rFonts w:hint="eastAsia" w:ascii="仿宋" w:hAnsi="仿宋" w:eastAsia="仿宋" w:cs="仿宋"/>
          <w:sz w:val="30"/>
          <w:szCs w:val="30"/>
          <w:lang w:eastAsia="zh-CN"/>
        </w:rPr>
        <w:t>报价人</w:t>
      </w:r>
      <w:r>
        <w:rPr>
          <w:rFonts w:hint="eastAsia" w:ascii="仿宋" w:hAnsi="仿宋" w:eastAsia="仿宋" w:cs="仿宋"/>
          <w:sz w:val="30"/>
          <w:szCs w:val="30"/>
        </w:rPr>
        <w:t>报价。</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（二）本询价文件未及事项，在签订合同时双方友好商定。</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（三）凡涉及本次询价的解释权均属于</w:t>
      </w:r>
      <w:r>
        <w:rPr>
          <w:rFonts w:hint="eastAsia" w:ascii="仿宋" w:hAnsi="仿宋" w:eastAsia="仿宋" w:cs="仿宋"/>
          <w:sz w:val="30"/>
          <w:szCs w:val="30"/>
          <w:lang w:eastAsia="zh-CN"/>
        </w:rPr>
        <w:t>绍兴市再生能源发展有限公司</w:t>
      </w:r>
      <w:r>
        <w:rPr>
          <w:rFonts w:hint="eastAsia" w:ascii="仿宋" w:hAnsi="仿宋" w:eastAsia="仿宋" w:cs="仿宋"/>
          <w:sz w:val="30"/>
          <w:szCs w:val="30"/>
        </w:rPr>
        <w:t>。</w:t>
      </w:r>
    </w:p>
    <w:p>
      <w:pPr>
        <w:pStyle w:val="4"/>
        <w:numPr>
          <w:ilvl w:val="0"/>
          <w:numId w:val="0"/>
        </w:numPr>
        <w:jc w:val="center"/>
        <w:outlineLvl w:val="9"/>
        <w:rPr>
          <w:rFonts w:hint="eastAsia" w:ascii="仿宋" w:hAnsi="仿宋" w:eastAsia="仿宋" w:cs="仿宋"/>
          <w:snapToGrid w:val="0"/>
          <w:sz w:val="44"/>
          <w:szCs w:val="44"/>
        </w:rPr>
      </w:pPr>
    </w:p>
    <w:p>
      <w:pPr>
        <w:rPr>
          <w:rFonts w:hint="eastAsia" w:ascii="仿宋" w:hAnsi="仿宋" w:eastAsia="仿宋" w:cs="仿宋"/>
          <w:snapToGrid w:val="0"/>
          <w:sz w:val="44"/>
          <w:szCs w:val="44"/>
        </w:rPr>
      </w:pPr>
    </w:p>
    <w:p>
      <w:pPr>
        <w:pStyle w:val="6"/>
        <w:rPr>
          <w:rFonts w:hint="eastAsia" w:ascii="仿宋" w:hAnsi="仿宋" w:eastAsia="仿宋" w:cs="仿宋"/>
          <w:snapToGrid w:val="0"/>
          <w:sz w:val="44"/>
          <w:szCs w:val="44"/>
        </w:rPr>
      </w:pPr>
    </w:p>
    <w:p>
      <w:pPr>
        <w:pStyle w:val="12"/>
        <w:rPr>
          <w:rFonts w:hint="eastAsia" w:ascii="仿宋" w:hAnsi="仿宋" w:eastAsia="仿宋" w:cs="仿宋"/>
          <w:snapToGrid w:val="0"/>
          <w:sz w:val="44"/>
          <w:szCs w:val="44"/>
        </w:rPr>
      </w:pPr>
    </w:p>
    <w:p>
      <w:pPr>
        <w:rPr>
          <w:rFonts w:hint="eastAsia" w:ascii="仿宋" w:hAnsi="仿宋" w:eastAsia="仿宋" w:cs="仿宋"/>
          <w:snapToGrid w:val="0"/>
          <w:sz w:val="44"/>
          <w:szCs w:val="44"/>
        </w:rPr>
      </w:pPr>
    </w:p>
    <w:p>
      <w:pPr>
        <w:pStyle w:val="4"/>
        <w:numPr>
          <w:ilvl w:val="0"/>
          <w:numId w:val="0"/>
        </w:numPr>
        <w:jc w:val="center"/>
        <w:rPr>
          <w:rFonts w:hint="eastAsia" w:ascii="仿宋" w:hAnsi="仿宋" w:eastAsia="仿宋" w:cs="仿宋"/>
          <w:b w:val="0"/>
          <w:bCs/>
          <w:snapToGrid w:val="0"/>
          <w:sz w:val="44"/>
        </w:rPr>
      </w:pPr>
      <w:bookmarkStart w:id="11" w:name="_Toc4053"/>
      <w:r>
        <w:rPr>
          <w:rFonts w:hint="eastAsia" w:ascii="仿宋" w:hAnsi="仿宋" w:eastAsia="仿宋" w:cs="仿宋"/>
          <w:snapToGrid w:val="0"/>
          <w:sz w:val="44"/>
          <w:szCs w:val="44"/>
        </w:rPr>
        <w:t>第三部分   询价内容</w:t>
      </w:r>
      <w:bookmarkEnd w:id="6"/>
      <w:bookmarkEnd w:id="7"/>
      <w:bookmarkEnd w:id="11"/>
    </w:p>
    <w:p>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eastAsia="zh-CN"/>
        </w:rPr>
        <w:t>一、</w:t>
      </w:r>
      <w:r>
        <w:rPr>
          <w:rFonts w:hint="eastAsia" w:ascii="仿宋" w:hAnsi="仿宋" w:eastAsia="仿宋" w:cs="仿宋"/>
          <w:color w:val="auto"/>
          <w:kern w:val="2"/>
          <w:sz w:val="30"/>
          <w:szCs w:val="30"/>
        </w:rPr>
        <w:t>采购内容及相关说明</w:t>
      </w:r>
    </w:p>
    <w:p>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lang w:eastAsia="zh-CN"/>
        </w:rPr>
      </w:pPr>
      <w:r>
        <w:rPr>
          <w:rFonts w:hint="eastAsia" w:ascii="仿宋" w:hAnsi="仿宋" w:eastAsia="仿宋" w:cs="仿宋"/>
          <w:color w:val="auto"/>
          <w:kern w:val="2"/>
          <w:sz w:val="30"/>
          <w:szCs w:val="30"/>
          <w:lang w:val="en-US" w:eastAsia="zh-CN"/>
        </w:rPr>
        <w:t>详见报价清单</w:t>
      </w:r>
    </w:p>
    <w:p>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二、</w:t>
      </w:r>
      <w:r>
        <w:rPr>
          <w:rFonts w:hint="eastAsia" w:ascii="仿宋" w:hAnsi="仿宋" w:eastAsia="仿宋" w:cs="仿宋"/>
          <w:color w:val="auto"/>
          <w:kern w:val="2"/>
          <w:sz w:val="30"/>
          <w:szCs w:val="30"/>
        </w:rPr>
        <w:t>供货方式</w:t>
      </w:r>
    </w:p>
    <w:p>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供应商接到采购人送货通知后，</w:t>
      </w:r>
      <w:r>
        <w:rPr>
          <w:rFonts w:hint="eastAsia" w:ascii="仿宋" w:hAnsi="仿宋" w:eastAsia="仿宋" w:cs="仿宋"/>
          <w:color w:val="auto"/>
          <w:kern w:val="2"/>
          <w:sz w:val="30"/>
          <w:szCs w:val="30"/>
          <w:lang w:val="en-US" w:eastAsia="zh-CN"/>
        </w:rPr>
        <w:t>10个</w:t>
      </w:r>
      <w:r>
        <w:rPr>
          <w:rFonts w:hint="eastAsia" w:ascii="仿宋" w:hAnsi="仿宋" w:eastAsia="仿宋" w:cs="仿宋"/>
          <w:color w:val="auto"/>
          <w:kern w:val="2"/>
          <w:sz w:val="30"/>
          <w:szCs w:val="30"/>
          <w:lang w:eastAsia="zh-CN"/>
        </w:rPr>
        <w:t>工作日</w:t>
      </w:r>
      <w:r>
        <w:rPr>
          <w:rFonts w:hint="eastAsia" w:ascii="仿宋" w:hAnsi="仿宋" w:eastAsia="仿宋" w:cs="仿宋"/>
          <w:color w:val="auto"/>
          <w:kern w:val="2"/>
          <w:sz w:val="30"/>
          <w:szCs w:val="30"/>
        </w:rPr>
        <w:t>内将货物如数送至采购人指定地点。</w:t>
      </w:r>
    </w:p>
    <w:p>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三、付款方式</w:t>
      </w:r>
    </w:p>
    <w:p>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送货完成后，中标</w:t>
      </w:r>
      <w:r>
        <w:rPr>
          <w:rFonts w:hint="eastAsia" w:ascii="仿宋" w:hAnsi="仿宋" w:eastAsia="仿宋" w:cs="仿宋"/>
          <w:color w:val="auto"/>
          <w:kern w:val="2"/>
          <w:sz w:val="30"/>
          <w:szCs w:val="30"/>
        </w:rPr>
        <w:t>人提供经双方确认的送货清单及增值税专用发票，采购人自收到准确清单和发票后，</w:t>
      </w:r>
      <w:r>
        <w:rPr>
          <w:rFonts w:hint="eastAsia" w:ascii="仿宋" w:hAnsi="仿宋" w:eastAsia="仿宋" w:cs="仿宋"/>
          <w:color w:val="auto"/>
          <w:kern w:val="2"/>
          <w:sz w:val="30"/>
          <w:szCs w:val="30"/>
          <w:lang w:val="en-US" w:eastAsia="zh-CN"/>
        </w:rPr>
        <w:t>于次二月</w:t>
      </w:r>
      <w:r>
        <w:rPr>
          <w:rFonts w:hint="eastAsia" w:ascii="仿宋" w:hAnsi="仿宋" w:eastAsia="仿宋" w:cs="仿宋"/>
          <w:color w:val="auto"/>
          <w:kern w:val="2"/>
          <w:sz w:val="30"/>
          <w:szCs w:val="30"/>
        </w:rPr>
        <w:t>完成货款支付。</w:t>
      </w:r>
      <w:r>
        <w:rPr>
          <w:rFonts w:hint="eastAsia" w:ascii="仿宋" w:hAnsi="仿宋" w:eastAsia="仿宋" w:cs="仿宋"/>
          <w:color w:val="auto"/>
          <w:kern w:val="2"/>
          <w:sz w:val="30"/>
          <w:szCs w:val="30"/>
          <w:lang w:eastAsia="zh-CN"/>
        </w:rPr>
        <w:t>中标人需提供一年质保，其履约保证金（合同价的</w:t>
      </w:r>
      <w:r>
        <w:rPr>
          <w:rFonts w:hint="eastAsia" w:ascii="仿宋" w:hAnsi="仿宋" w:eastAsia="仿宋" w:cs="仿宋"/>
          <w:color w:val="auto"/>
          <w:kern w:val="2"/>
          <w:sz w:val="30"/>
          <w:szCs w:val="30"/>
          <w:lang w:val="en-US" w:eastAsia="zh-CN"/>
        </w:rPr>
        <w:t>5%</w:t>
      </w:r>
      <w:r>
        <w:rPr>
          <w:rFonts w:hint="eastAsia" w:ascii="仿宋" w:hAnsi="仿宋" w:eastAsia="仿宋" w:cs="仿宋"/>
          <w:color w:val="auto"/>
          <w:kern w:val="2"/>
          <w:sz w:val="30"/>
          <w:szCs w:val="30"/>
          <w:lang w:eastAsia="zh-CN"/>
        </w:rPr>
        <w:t>）到时自动转为质保金，于质保期到期后支付，质保期从验收之日起计算</w:t>
      </w:r>
      <w:r>
        <w:rPr>
          <w:rFonts w:hint="eastAsia" w:ascii="仿宋" w:hAnsi="仿宋" w:eastAsia="仿宋" w:cs="仿宋"/>
          <w:color w:val="auto"/>
          <w:kern w:val="2"/>
          <w:sz w:val="30"/>
          <w:szCs w:val="30"/>
        </w:rPr>
        <w:t>。</w:t>
      </w:r>
    </w:p>
    <w:p>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四、售后服务</w:t>
      </w:r>
    </w:p>
    <w:p>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1.供应商必须满足采购人售后服务要求。如产品使用过程发生问题，供应商须在接到</w:t>
      </w:r>
      <w:r>
        <w:rPr>
          <w:rFonts w:hint="eastAsia" w:ascii="仿宋" w:hAnsi="仿宋" w:eastAsia="仿宋" w:cs="仿宋"/>
          <w:color w:val="auto"/>
          <w:kern w:val="2"/>
          <w:sz w:val="30"/>
          <w:szCs w:val="30"/>
          <w:lang w:val="en-US" w:eastAsia="zh-CN"/>
        </w:rPr>
        <w:t>采购人</w:t>
      </w:r>
      <w:r>
        <w:rPr>
          <w:rFonts w:hint="eastAsia" w:ascii="仿宋" w:hAnsi="仿宋" w:eastAsia="仿宋" w:cs="仿宋"/>
          <w:color w:val="auto"/>
          <w:kern w:val="2"/>
          <w:sz w:val="30"/>
          <w:szCs w:val="30"/>
        </w:rPr>
        <w:t>通知后24小时内做出书面答复并提供解决方案。若需要派遣技术人员，则应在接到采购人通知后48小时内派人员到达现场进行免费指导解决问题。</w:t>
      </w:r>
    </w:p>
    <w:p>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2</w:t>
      </w:r>
      <w:r>
        <w:rPr>
          <w:rFonts w:hint="eastAsia" w:ascii="仿宋" w:hAnsi="仿宋" w:eastAsia="仿宋" w:cs="仿宋"/>
          <w:color w:val="auto"/>
          <w:kern w:val="2"/>
          <w:sz w:val="30"/>
          <w:szCs w:val="30"/>
        </w:rPr>
        <w:t>.采购人不再对任何售后服务进行付费。供应商的派遣人员产生的一切费用由供应商承担。</w:t>
      </w:r>
    </w:p>
    <w:p>
      <w:pPr>
        <w:pStyle w:val="4"/>
        <w:numPr>
          <w:ilvl w:val="0"/>
          <w:numId w:val="0"/>
        </w:numPr>
        <w:jc w:val="center"/>
        <w:outlineLvl w:val="9"/>
        <w:rPr>
          <w:rFonts w:hint="eastAsia" w:ascii="仿宋" w:hAnsi="仿宋" w:eastAsia="仿宋" w:cs="仿宋"/>
          <w:snapToGrid w:val="0"/>
          <w:sz w:val="30"/>
          <w:szCs w:val="30"/>
        </w:rPr>
      </w:pPr>
      <w:bookmarkStart w:id="12" w:name="_Toc530583924"/>
      <w:r>
        <w:rPr>
          <w:rFonts w:hint="eastAsia" w:ascii="仿宋" w:hAnsi="仿宋" w:eastAsia="仿宋" w:cs="仿宋"/>
          <w:snapToGrid w:val="0"/>
          <w:sz w:val="30"/>
          <w:szCs w:val="30"/>
        </w:rPr>
        <w:br w:type="page"/>
      </w:r>
    </w:p>
    <w:p>
      <w:pPr>
        <w:pStyle w:val="4"/>
        <w:numPr>
          <w:ilvl w:val="0"/>
          <w:numId w:val="3"/>
        </w:numPr>
        <w:ind w:left="840" w:leftChars="0" w:firstLineChars="0"/>
        <w:jc w:val="center"/>
        <w:rPr>
          <w:rFonts w:hint="eastAsia" w:ascii="仿宋" w:hAnsi="仿宋" w:eastAsia="仿宋" w:cs="仿宋"/>
          <w:snapToGrid w:val="0"/>
          <w:sz w:val="44"/>
          <w:szCs w:val="44"/>
          <w:lang w:val="en-US" w:eastAsia="zh-CN"/>
        </w:rPr>
      </w:pPr>
      <w:r>
        <w:rPr>
          <w:rFonts w:hint="eastAsia" w:ascii="仿宋" w:hAnsi="仿宋" w:eastAsia="仿宋" w:cs="仿宋"/>
          <w:snapToGrid w:val="0"/>
          <w:sz w:val="44"/>
          <w:szCs w:val="44"/>
          <w:lang w:val="en-US" w:eastAsia="zh-CN"/>
        </w:rPr>
        <w:t xml:space="preserve">   </w:t>
      </w:r>
      <w:bookmarkStart w:id="13" w:name="_Toc30277"/>
      <w:r>
        <w:rPr>
          <w:rFonts w:hint="eastAsia" w:ascii="仿宋" w:hAnsi="仿宋" w:eastAsia="仿宋" w:cs="仿宋"/>
          <w:snapToGrid w:val="0"/>
          <w:sz w:val="44"/>
          <w:szCs w:val="44"/>
          <w:lang w:val="en-US" w:eastAsia="zh-CN"/>
        </w:rPr>
        <w:t>合同主要条款</w:t>
      </w:r>
      <w:bookmarkEnd w:id="13"/>
    </w:p>
    <w:p>
      <w:pPr>
        <w:keepNext w:val="0"/>
        <w:keepLines w:val="0"/>
        <w:pageBreakBefore w:val="0"/>
        <w:widowControl/>
        <w:kinsoku/>
        <w:wordWrap/>
        <w:overflowPunct/>
        <w:topLinePunct w:val="0"/>
        <w:autoSpaceDE/>
        <w:autoSpaceDN/>
        <w:bidi w:val="0"/>
        <w:adjustRightInd w:val="0"/>
        <w:snapToGrid w:val="0"/>
        <w:spacing w:after="0" w:line="579" w:lineRule="exact"/>
        <w:ind w:firstLine="560" w:firstLineChars="200"/>
        <w:jc w:val="both"/>
        <w:textAlignment w:val="auto"/>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rPr>
        <w:t>采购方需采购以下供货范围设备/备件若干，经供需双方友好协商，一致同意签订本合同，以便遵照执行。</w:t>
      </w:r>
    </w:p>
    <w:p>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lang w:eastAsia="zh-CN"/>
        </w:rPr>
      </w:pPr>
      <w:r>
        <w:rPr>
          <w:rFonts w:hint="eastAsia" w:ascii="黑体" w:hAnsi="黑体" w:eastAsia="黑体" w:cs="黑体"/>
          <w:sz w:val="28"/>
          <w:szCs w:val="28"/>
          <w:lang w:eastAsia="zh-CN"/>
        </w:rPr>
        <w:t>第一条</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供货范围及价格</w:t>
      </w:r>
    </w:p>
    <w:tbl>
      <w:tblPr>
        <w:tblStyle w:val="13"/>
        <w:tblW w:w="9571" w:type="dxa"/>
        <w:jc w:val="center"/>
        <w:tblLayout w:type="fixed"/>
        <w:tblCellMar>
          <w:top w:w="0" w:type="dxa"/>
          <w:left w:w="108" w:type="dxa"/>
          <w:bottom w:w="0" w:type="dxa"/>
          <w:right w:w="108" w:type="dxa"/>
        </w:tblCellMar>
      </w:tblPr>
      <w:tblGrid>
        <w:gridCol w:w="751"/>
        <w:gridCol w:w="1439"/>
        <w:gridCol w:w="1711"/>
        <w:gridCol w:w="709"/>
        <w:gridCol w:w="709"/>
        <w:gridCol w:w="992"/>
        <w:gridCol w:w="1633"/>
        <w:gridCol w:w="1627"/>
      </w:tblGrid>
      <w:tr>
        <w:tblPrEx>
          <w:tblCellMar>
            <w:top w:w="0" w:type="dxa"/>
            <w:left w:w="108" w:type="dxa"/>
            <w:bottom w:w="0" w:type="dxa"/>
            <w:right w:w="108" w:type="dxa"/>
          </w:tblCellMar>
        </w:tblPrEx>
        <w:trPr>
          <w:trHeight w:val="796"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序号</w:t>
            </w:r>
          </w:p>
        </w:tc>
        <w:tc>
          <w:tcPr>
            <w:tcW w:w="1439" w:type="dxa"/>
            <w:tcBorders>
              <w:top w:val="single" w:color="auto" w:sz="4" w:space="0"/>
              <w:left w:val="nil"/>
              <w:bottom w:val="single" w:color="auto" w:sz="4" w:space="0"/>
              <w:right w:val="single" w:color="auto" w:sz="4" w:space="0"/>
            </w:tcBorders>
            <w:noWrap w:val="0"/>
            <w:vAlign w:val="center"/>
          </w:tcPr>
          <w:p>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物资名称</w:t>
            </w:r>
          </w:p>
        </w:tc>
        <w:tc>
          <w:tcPr>
            <w:tcW w:w="1711" w:type="dxa"/>
            <w:tcBorders>
              <w:top w:val="single" w:color="auto" w:sz="4" w:space="0"/>
              <w:left w:val="nil"/>
              <w:bottom w:val="single" w:color="auto" w:sz="4" w:space="0"/>
              <w:right w:val="single" w:color="auto" w:sz="4" w:space="0"/>
            </w:tcBorders>
            <w:noWrap w:val="0"/>
            <w:vAlign w:val="center"/>
          </w:tcPr>
          <w:p>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规格型号</w:t>
            </w:r>
          </w:p>
        </w:tc>
        <w:tc>
          <w:tcPr>
            <w:tcW w:w="709" w:type="dxa"/>
            <w:tcBorders>
              <w:top w:val="single" w:color="auto" w:sz="4" w:space="0"/>
              <w:left w:val="nil"/>
              <w:bottom w:val="single" w:color="auto" w:sz="4" w:space="0"/>
              <w:right w:val="single" w:color="auto" w:sz="4" w:space="0"/>
            </w:tcBorders>
            <w:noWrap w:val="0"/>
            <w:vAlign w:val="center"/>
          </w:tcPr>
          <w:p>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单位</w:t>
            </w:r>
          </w:p>
        </w:tc>
        <w:tc>
          <w:tcPr>
            <w:tcW w:w="709" w:type="dxa"/>
            <w:tcBorders>
              <w:top w:val="single" w:color="auto" w:sz="4" w:space="0"/>
              <w:left w:val="nil"/>
              <w:bottom w:val="single" w:color="auto" w:sz="4" w:space="0"/>
              <w:right w:val="single" w:color="auto" w:sz="4" w:space="0"/>
            </w:tcBorders>
            <w:noWrap w:val="0"/>
            <w:vAlign w:val="center"/>
          </w:tcPr>
          <w:p>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数量</w:t>
            </w:r>
          </w:p>
        </w:tc>
        <w:tc>
          <w:tcPr>
            <w:tcW w:w="992" w:type="dxa"/>
            <w:tcBorders>
              <w:top w:val="single" w:color="auto" w:sz="4" w:space="0"/>
              <w:left w:val="nil"/>
              <w:bottom w:val="single" w:color="auto" w:sz="4" w:space="0"/>
              <w:right w:val="single" w:color="auto" w:sz="4" w:space="0"/>
            </w:tcBorders>
            <w:noWrap w:val="0"/>
            <w:vAlign w:val="center"/>
          </w:tcPr>
          <w:p>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单价</w:t>
            </w:r>
          </w:p>
          <w:p>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（元）</w:t>
            </w:r>
          </w:p>
        </w:tc>
        <w:tc>
          <w:tcPr>
            <w:tcW w:w="1633" w:type="dxa"/>
            <w:tcBorders>
              <w:top w:val="single" w:color="auto" w:sz="4" w:space="0"/>
              <w:left w:val="nil"/>
              <w:bottom w:val="single" w:color="auto" w:sz="4" w:space="0"/>
              <w:right w:val="single" w:color="auto" w:sz="4" w:space="0"/>
            </w:tcBorders>
            <w:noWrap w:val="0"/>
            <w:vAlign w:val="center"/>
          </w:tcPr>
          <w:p>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金额</w:t>
            </w:r>
          </w:p>
          <w:p>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（元）</w:t>
            </w:r>
          </w:p>
        </w:tc>
        <w:tc>
          <w:tcPr>
            <w:tcW w:w="1627" w:type="dxa"/>
            <w:tcBorders>
              <w:top w:val="single" w:color="auto" w:sz="4" w:space="0"/>
              <w:left w:val="nil"/>
              <w:bottom w:val="single" w:color="auto" w:sz="4" w:space="0"/>
              <w:right w:val="single" w:color="auto" w:sz="4" w:space="0"/>
            </w:tcBorders>
            <w:noWrap w:val="0"/>
            <w:vAlign w:val="center"/>
          </w:tcPr>
          <w:p>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备注</w:t>
            </w:r>
          </w:p>
        </w:tc>
      </w:tr>
      <w:tr>
        <w:tblPrEx>
          <w:tblCellMar>
            <w:top w:w="0" w:type="dxa"/>
            <w:left w:w="108" w:type="dxa"/>
            <w:bottom w:w="0" w:type="dxa"/>
            <w:right w:w="108" w:type="dxa"/>
          </w:tblCellMar>
        </w:tblPrEx>
        <w:trPr>
          <w:trHeight w:val="798" w:hRule="atLeast"/>
          <w:jc w:val="center"/>
        </w:trPr>
        <w:tc>
          <w:tcPr>
            <w:tcW w:w="751" w:type="dxa"/>
            <w:tcBorders>
              <w:top w:val="nil"/>
              <w:left w:val="single" w:color="auto" w:sz="4" w:space="0"/>
              <w:bottom w:val="single" w:color="auto" w:sz="4" w:space="0"/>
              <w:right w:val="single" w:color="auto" w:sz="4" w:space="0"/>
            </w:tcBorders>
            <w:shd w:val="clear" w:color="auto" w:fill="auto"/>
            <w:noWrap w:val="0"/>
            <w:vAlign w:val="center"/>
          </w:tcPr>
          <w:p>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1</w:t>
            </w:r>
          </w:p>
        </w:tc>
        <w:tc>
          <w:tcPr>
            <w:tcW w:w="1439" w:type="dxa"/>
            <w:tcBorders>
              <w:top w:val="nil"/>
              <w:left w:val="nil"/>
              <w:bottom w:val="single" w:color="auto" w:sz="4" w:space="0"/>
              <w:right w:val="single" w:color="auto" w:sz="4" w:space="0"/>
            </w:tcBorders>
            <w:shd w:val="clear" w:color="000000" w:fill="FFFFFF"/>
            <w:noWrap w:val="0"/>
            <w:vAlign w:val="center"/>
          </w:tcPr>
          <w:p>
            <w:pPr>
              <w:adjustRightInd/>
              <w:snapToGrid/>
              <w:spacing w:after="0"/>
              <w:jc w:val="center"/>
              <w:rPr>
                <w:rFonts w:hint="eastAsia" w:ascii="Times New Roman" w:hAnsi="Times New Roman" w:eastAsia="方正仿宋_GBK" w:cs="Times New Roman"/>
                <w:b/>
                <w:bCs/>
                <w:sz w:val="24"/>
                <w:szCs w:val="24"/>
              </w:rPr>
            </w:pPr>
          </w:p>
        </w:tc>
        <w:tc>
          <w:tcPr>
            <w:tcW w:w="1711" w:type="dxa"/>
            <w:tcBorders>
              <w:top w:val="nil"/>
              <w:left w:val="nil"/>
              <w:bottom w:val="single" w:color="auto" w:sz="4" w:space="0"/>
              <w:right w:val="single" w:color="auto" w:sz="4" w:space="0"/>
            </w:tcBorders>
            <w:shd w:val="clear" w:color="000000" w:fill="FFFFFF"/>
            <w:noWrap w:val="0"/>
            <w:vAlign w:val="center"/>
          </w:tcPr>
          <w:p>
            <w:pPr>
              <w:adjustRightInd/>
              <w:snapToGrid/>
              <w:spacing w:after="0"/>
              <w:jc w:val="center"/>
              <w:rPr>
                <w:rFonts w:hint="eastAsia" w:ascii="Times New Roman" w:hAnsi="Times New Roman" w:eastAsia="方正仿宋_GBK" w:cs="Times New Roman"/>
                <w:b/>
                <w:bCs/>
                <w:sz w:val="24"/>
                <w:szCs w:val="24"/>
              </w:rPr>
            </w:pPr>
          </w:p>
        </w:tc>
        <w:tc>
          <w:tcPr>
            <w:tcW w:w="709" w:type="dxa"/>
            <w:tcBorders>
              <w:top w:val="nil"/>
              <w:left w:val="nil"/>
              <w:bottom w:val="single" w:color="auto" w:sz="4" w:space="0"/>
              <w:right w:val="single" w:color="auto" w:sz="4" w:space="0"/>
            </w:tcBorders>
            <w:shd w:val="clear" w:color="000000" w:fill="FFFFFF"/>
            <w:noWrap w:val="0"/>
            <w:vAlign w:val="center"/>
          </w:tcPr>
          <w:p>
            <w:pPr>
              <w:adjustRightInd/>
              <w:snapToGrid/>
              <w:spacing w:after="0"/>
              <w:jc w:val="center"/>
              <w:rPr>
                <w:rFonts w:hint="default" w:ascii="Times New Roman" w:hAnsi="Times New Roman" w:eastAsia="方正仿宋_GBK" w:cs="Times New Roman"/>
                <w:b/>
                <w:bCs/>
                <w:sz w:val="24"/>
                <w:szCs w:val="24"/>
              </w:rPr>
            </w:pPr>
          </w:p>
        </w:tc>
        <w:tc>
          <w:tcPr>
            <w:tcW w:w="709" w:type="dxa"/>
            <w:tcBorders>
              <w:top w:val="nil"/>
              <w:left w:val="nil"/>
              <w:bottom w:val="single" w:color="auto" w:sz="4" w:space="0"/>
              <w:right w:val="single" w:color="auto" w:sz="4" w:space="0"/>
            </w:tcBorders>
            <w:shd w:val="clear" w:color="000000" w:fill="FFFFFF"/>
            <w:noWrap w:val="0"/>
            <w:vAlign w:val="center"/>
          </w:tcPr>
          <w:p>
            <w:pPr>
              <w:adjustRightInd/>
              <w:snapToGrid/>
              <w:spacing w:after="0"/>
              <w:jc w:val="center"/>
              <w:rPr>
                <w:rFonts w:hint="default" w:ascii="Times New Roman" w:hAnsi="Times New Roman" w:eastAsia="方正仿宋_GBK" w:cs="Times New Roman"/>
                <w:b/>
                <w:bCs/>
                <w:sz w:val="24"/>
                <w:szCs w:val="24"/>
              </w:rPr>
            </w:pPr>
          </w:p>
        </w:tc>
        <w:tc>
          <w:tcPr>
            <w:tcW w:w="992" w:type="dxa"/>
            <w:tcBorders>
              <w:top w:val="nil"/>
              <w:left w:val="nil"/>
              <w:bottom w:val="single" w:color="auto" w:sz="4" w:space="0"/>
              <w:right w:val="single" w:color="auto" w:sz="4" w:space="0"/>
            </w:tcBorders>
            <w:noWrap w:val="0"/>
            <w:vAlign w:val="center"/>
          </w:tcPr>
          <w:p>
            <w:pPr>
              <w:adjustRightInd/>
              <w:snapToGrid/>
              <w:spacing w:after="0"/>
              <w:jc w:val="center"/>
              <w:rPr>
                <w:rFonts w:hint="default" w:ascii="Times New Roman" w:hAnsi="Times New Roman" w:eastAsia="方正仿宋_GBK" w:cs="Times New Roman"/>
                <w:b/>
                <w:bCs/>
                <w:sz w:val="24"/>
                <w:szCs w:val="24"/>
              </w:rPr>
            </w:pPr>
          </w:p>
        </w:tc>
        <w:tc>
          <w:tcPr>
            <w:tcW w:w="1633" w:type="dxa"/>
            <w:tcBorders>
              <w:top w:val="nil"/>
              <w:left w:val="nil"/>
              <w:bottom w:val="single" w:color="auto" w:sz="4" w:space="0"/>
              <w:right w:val="single" w:color="auto" w:sz="4" w:space="0"/>
            </w:tcBorders>
            <w:noWrap w:val="0"/>
            <w:vAlign w:val="center"/>
          </w:tcPr>
          <w:p>
            <w:pPr>
              <w:adjustRightInd/>
              <w:snapToGrid/>
              <w:spacing w:after="0"/>
              <w:jc w:val="center"/>
              <w:rPr>
                <w:rFonts w:hint="default" w:ascii="Times New Roman" w:hAnsi="Times New Roman" w:eastAsia="方正仿宋_GBK" w:cs="Times New Roman"/>
                <w:b/>
                <w:bCs/>
                <w:sz w:val="24"/>
                <w:szCs w:val="24"/>
              </w:rPr>
            </w:pPr>
          </w:p>
        </w:tc>
        <w:tc>
          <w:tcPr>
            <w:tcW w:w="1627" w:type="dxa"/>
            <w:tcBorders>
              <w:top w:val="nil"/>
              <w:left w:val="nil"/>
              <w:bottom w:val="single" w:color="auto" w:sz="4" w:space="0"/>
              <w:right w:val="single" w:color="auto" w:sz="4" w:space="0"/>
            </w:tcBorders>
            <w:noWrap w:val="0"/>
            <w:vAlign w:val="center"/>
          </w:tcPr>
          <w:p>
            <w:pPr>
              <w:adjustRightInd/>
              <w:snapToGrid/>
              <w:spacing w:after="0"/>
              <w:jc w:val="center"/>
              <w:rPr>
                <w:rFonts w:hint="eastAsia" w:ascii="Times New Roman" w:hAnsi="Times New Roman" w:eastAsia="方正仿宋_GBK" w:cs="Times New Roman"/>
                <w:b/>
                <w:bCs/>
                <w:sz w:val="24"/>
                <w:szCs w:val="24"/>
              </w:rPr>
            </w:pPr>
          </w:p>
        </w:tc>
      </w:tr>
      <w:tr>
        <w:tblPrEx>
          <w:tblCellMar>
            <w:top w:w="0" w:type="dxa"/>
            <w:left w:w="108" w:type="dxa"/>
            <w:bottom w:w="0" w:type="dxa"/>
            <w:right w:w="108" w:type="dxa"/>
          </w:tblCellMar>
        </w:tblPrEx>
        <w:trPr>
          <w:trHeight w:val="836" w:hRule="atLeast"/>
          <w:jc w:val="center"/>
        </w:trPr>
        <w:tc>
          <w:tcPr>
            <w:tcW w:w="6311" w:type="dxa"/>
            <w:gridSpan w:val="6"/>
            <w:tcBorders>
              <w:top w:val="nil"/>
              <w:left w:val="single" w:color="auto" w:sz="4" w:space="0"/>
              <w:bottom w:val="single" w:color="auto" w:sz="4" w:space="0"/>
              <w:right w:val="single" w:color="auto" w:sz="4" w:space="0"/>
            </w:tcBorders>
            <w:noWrap w:val="0"/>
            <w:vAlign w:val="center"/>
          </w:tcPr>
          <w:p>
            <w:pPr>
              <w:adjustRightInd/>
              <w:snapToGrid/>
              <w:spacing w:after="0"/>
              <w:jc w:val="left"/>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合同总金额人民币（大写）：</w:t>
            </w:r>
          </w:p>
        </w:tc>
        <w:tc>
          <w:tcPr>
            <w:tcW w:w="1633" w:type="dxa"/>
            <w:tcBorders>
              <w:top w:val="nil"/>
              <w:left w:val="single" w:color="auto" w:sz="4" w:space="0"/>
              <w:bottom w:val="single" w:color="auto" w:sz="4" w:space="0"/>
              <w:right w:val="single" w:color="auto" w:sz="4" w:space="0"/>
            </w:tcBorders>
            <w:noWrap w:val="0"/>
            <w:vAlign w:val="center"/>
          </w:tcPr>
          <w:p>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w:t>
            </w:r>
          </w:p>
        </w:tc>
        <w:tc>
          <w:tcPr>
            <w:tcW w:w="1627" w:type="dxa"/>
            <w:tcBorders>
              <w:top w:val="nil"/>
              <w:left w:val="single" w:color="auto" w:sz="4" w:space="0"/>
              <w:bottom w:val="single" w:color="auto" w:sz="4" w:space="0"/>
              <w:right w:val="single" w:color="auto" w:sz="4" w:space="0"/>
            </w:tcBorders>
            <w:noWrap w:val="0"/>
            <w:vAlign w:val="center"/>
          </w:tcPr>
          <w:p>
            <w:pPr>
              <w:adjustRightInd/>
              <w:snapToGrid/>
              <w:spacing w:after="0"/>
              <w:jc w:val="left"/>
              <w:rPr>
                <w:rFonts w:hint="eastAsia" w:ascii="Times New Roman" w:hAnsi="Times New Roman" w:eastAsia="方正仿宋_GBK" w:cs="Times New Roman"/>
                <w:b/>
                <w:bCs/>
                <w:sz w:val="24"/>
                <w:szCs w:val="24"/>
              </w:rPr>
            </w:pPr>
          </w:p>
        </w:tc>
      </w:tr>
      <w:tr>
        <w:tblPrEx>
          <w:tblCellMar>
            <w:top w:w="0" w:type="dxa"/>
            <w:left w:w="108" w:type="dxa"/>
            <w:bottom w:w="0" w:type="dxa"/>
            <w:right w:w="108" w:type="dxa"/>
          </w:tblCellMar>
        </w:tblPrEx>
        <w:trPr>
          <w:trHeight w:val="716" w:hRule="atLeast"/>
          <w:jc w:val="center"/>
        </w:trPr>
        <w:tc>
          <w:tcPr>
            <w:tcW w:w="9571" w:type="dxa"/>
            <w:gridSpan w:val="8"/>
            <w:tcBorders>
              <w:top w:val="nil"/>
              <w:left w:val="single" w:color="auto" w:sz="4" w:space="0"/>
              <w:bottom w:val="single" w:color="auto" w:sz="4" w:space="0"/>
              <w:right w:val="single" w:color="auto" w:sz="4" w:space="0"/>
            </w:tcBorders>
            <w:noWrap w:val="0"/>
            <w:vAlign w:val="center"/>
          </w:tcPr>
          <w:p>
            <w:pPr>
              <w:adjustRightInd/>
              <w:snapToGrid/>
              <w:spacing w:after="0"/>
              <w:jc w:val="left"/>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备注：以上金额含</w:t>
            </w:r>
            <w:r>
              <w:rPr>
                <w:rFonts w:hint="eastAsia" w:eastAsia="方正仿宋_GBK" w:cs="Times New Roman"/>
                <w:b/>
                <w:bCs/>
                <w:sz w:val="24"/>
                <w:szCs w:val="24"/>
                <w:lang w:val="en-US" w:eastAsia="zh-CN"/>
              </w:rPr>
              <w:t xml:space="preserve">  </w:t>
            </w:r>
            <w:r>
              <w:rPr>
                <w:rFonts w:hint="eastAsia" w:ascii="Times New Roman" w:hAnsi="Times New Roman" w:eastAsia="方正仿宋_GBK" w:cs="Times New Roman"/>
                <w:b/>
                <w:bCs/>
                <w:sz w:val="24"/>
                <w:szCs w:val="24"/>
              </w:rPr>
              <w:t>%增值税和运费</w:t>
            </w:r>
          </w:p>
        </w:tc>
      </w:tr>
    </w:tbl>
    <w:p>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lang w:eastAsia="zh-CN"/>
        </w:rPr>
      </w:pPr>
      <w:r>
        <w:rPr>
          <w:rFonts w:hint="eastAsia" w:ascii="黑体" w:hAnsi="黑体" w:eastAsia="黑体" w:cs="黑体"/>
          <w:sz w:val="28"/>
          <w:szCs w:val="28"/>
        </w:rPr>
        <w:t>第二条  交货时间、地点</w:t>
      </w:r>
      <w:r>
        <w:rPr>
          <w:rFonts w:hint="eastAsia" w:ascii="黑体" w:hAnsi="黑体" w:eastAsia="黑体" w:cs="黑体"/>
          <w:sz w:val="28"/>
          <w:szCs w:val="28"/>
          <w:lang w:eastAsia="zh-CN"/>
        </w:rPr>
        <w:t>、要求</w:t>
      </w:r>
    </w:p>
    <w:p>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1、交货时间：合同签订后</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天供货。</w:t>
      </w:r>
    </w:p>
    <w:p>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2、交货地点：</w:t>
      </w:r>
      <w:r>
        <w:rPr>
          <w:rFonts w:hint="eastAsia" w:ascii="方正仿宋_GBK" w:hAnsi="方正仿宋_GBK" w:eastAsia="方正仿宋_GBK" w:cs="方正仿宋_GBK"/>
          <w:sz w:val="28"/>
          <w:szCs w:val="28"/>
          <w:lang w:eastAsia="zh-CN"/>
        </w:rPr>
        <w:t>浙江省绍兴市柯桥区钱滨线二线海塘绍兴市再生能源发展有限公司</w:t>
      </w:r>
    </w:p>
    <w:p>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3、交货要求：交货时，应附有相应的装货清单、合格证及相关技术资料。（如有）</w:t>
      </w:r>
    </w:p>
    <w:p>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第三条 技术要求</w:t>
      </w:r>
    </w:p>
    <w:p>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设备/备件符合用户方使用或安装要求。</w:t>
      </w:r>
    </w:p>
    <w:p>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 xml:space="preserve">第四条 合同价格   </w:t>
      </w:r>
    </w:p>
    <w:p>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合同总金额人民币（大写）</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元整，本合同为固定总价合同，金额包含包装费、运费、税金、保险费等， 供需双方不能因市场价格变化而调整合同价。</w:t>
      </w:r>
    </w:p>
    <w:p>
      <w:pPr>
        <w:pStyle w:val="34"/>
        <w:keepNext w:val="0"/>
        <w:keepLines w:val="0"/>
        <w:pageBreakBefore w:val="0"/>
        <w:numPr>
          <w:ilvl w:val="0"/>
          <w:numId w:val="4"/>
        </w:numPr>
        <w:kinsoku/>
        <w:wordWrap/>
        <w:overflowPunct/>
        <w:topLinePunct w:val="0"/>
        <w:autoSpaceDE/>
        <w:autoSpaceDN/>
        <w:bidi w:val="0"/>
        <w:adjustRightInd w:val="0"/>
        <w:snapToGrid w:val="0"/>
        <w:spacing w:line="579" w:lineRule="exact"/>
        <w:ind w:left="0" w:hanging="560" w:hangingChars="200"/>
        <w:contextualSpacing/>
        <w:jc w:val="both"/>
        <w:textAlignment w:val="auto"/>
        <w:outlineLvl w:val="1"/>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付款方式</w:t>
      </w:r>
    </w:p>
    <w:p>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送货完成后，中标</w:t>
      </w:r>
      <w:r>
        <w:rPr>
          <w:rFonts w:hint="eastAsia" w:ascii="仿宋" w:hAnsi="仿宋" w:eastAsia="仿宋" w:cs="仿宋"/>
          <w:color w:val="auto"/>
          <w:kern w:val="2"/>
          <w:sz w:val="30"/>
          <w:szCs w:val="30"/>
        </w:rPr>
        <w:t>人提供经双方确认的送货清单及增值税专用发票，采购人自收到准确清单和发票后，</w:t>
      </w:r>
      <w:r>
        <w:rPr>
          <w:rFonts w:hint="eastAsia" w:ascii="仿宋" w:hAnsi="仿宋" w:eastAsia="仿宋" w:cs="仿宋"/>
          <w:color w:val="auto"/>
          <w:kern w:val="2"/>
          <w:sz w:val="30"/>
          <w:szCs w:val="30"/>
          <w:lang w:val="en-US" w:eastAsia="zh-CN"/>
        </w:rPr>
        <w:t>于次二月</w:t>
      </w:r>
      <w:r>
        <w:rPr>
          <w:rFonts w:hint="eastAsia" w:ascii="仿宋" w:hAnsi="仿宋" w:eastAsia="仿宋" w:cs="仿宋"/>
          <w:color w:val="auto"/>
          <w:kern w:val="2"/>
          <w:sz w:val="30"/>
          <w:szCs w:val="30"/>
        </w:rPr>
        <w:t>完成货款支付。</w:t>
      </w:r>
      <w:r>
        <w:rPr>
          <w:rFonts w:hint="eastAsia" w:ascii="仿宋" w:hAnsi="仿宋" w:eastAsia="仿宋" w:cs="仿宋"/>
          <w:color w:val="auto"/>
          <w:kern w:val="2"/>
          <w:sz w:val="30"/>
          <w:szCs w:val="30"/>
          <w:lang w:eastAsia="zh-CN"/>
        </w:rPr>
        <w:t>中标人需提供一年质保，其履约保证金（合同价的</w:t>
      </w:r>
      <w:r>
        <w:rPr>
          <w:rFonts w:hint="eastAsia" w:ascii="仿宋" w:hAnsi="仿宋" w:eastAsia="仿宋" w:cs="仿宋"/>
          <w:color w:val="auto"/>
          <w:kern w:val="2"/>
          <w:sz w:val="30"/>
          <w:szCs w:val="30"/>
          <w:lang w:val="en-US" w:eastAsia="zh-CN"/>
        </w:rPr>
        <w:t>5%</w:t>
      </w:r>
      <w:r>
        <w:rPr>
          <w:rFonts w:hint="eastAsia" w:ascii="仿宋" w:hAnsi="仿宋" w:eastAsia="仿宋" w:cs="仿宋"/>
          <w:color w:val="auto"/>
          <w:kern w:val="2"/>
          <w:sz w:val="30"/>
          <w:szCs w:val="30"/>
          <w:lang w:eastAsia="zh-CN"/>
        </w:rPr>
        <w:t>）到时自动转为质保金，于质保期到期后支付，质保期从验收之日起计算</w:t>
      </w:r>
      <w:r>
        <w:rPr>
          <w:rFonts w:hint="eastAsia" w:ascii="仿宋" w:hAnsi="仿宋" w:eastAsia="仿宋" w:cs="仿宋"/>
          <w:color w:val="auto"/>
          <w:kern w:val="2"/>
          <w:sz w:val="30"/>
          <w:szCs w:val="30"/>
        </w:rPr>
        <w:t>。</w:t>
      </w:r>
    </w:p>
    <w:p>
      <w:pPr>
        <w:pStyle w:val="34"/>
        <w:keepNext w:val="0"/>
        <w:keepLines w:val="0"/>
        <w:pageBreakBefore w:val="0"/>
        <w:numPr>
          <w:ilvl w:val="0"/>
          <w:numId w:val="4"/>
        </w:numPr>
        <w:kinsoku/>
        <w:wordWrap/>
        <w:overflowPunct/>
        <w:topLinePunct w:val="0"/>
        <w:autoSpaceDE/>
        <w:autoSpaceDN/>
        <w:bidi w:val="0"/>
        <w:adjustRightInd w:val="0"/>
        <w:snapToGrid w:val="0"/>
        <w:spacing w:line="579" w:lineRule="exact"/>
        <w:ind w:left="0" w:hanging="560" w:hangingChars="200"/>
        <w:contextualSpacing/>
        <w:jc w:val="both"/>
        <w:textAlignment w:val="auto"/>
        <w:outlineLvl w:val="1"/>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验收标准</w:t>
      </w:r>
    </w:p>
    <w:p>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供方应提供相应的送货单，采购方</w:t>
      </w:r>
      <w:r>
        <w:rPr>
          <w:rFonts w:hint="eastAsia" w:ascii="方正仿宋_GBK" w:hAnsi="方正仿宋_GBK" w:eastAsia="方正仿宋_GBK" w:cs="方正仿宋_GBK"/>
          <w:sz w:val="28"/>
          <w:szCs w:val="28"/>
        </w:rPr>
        <w:t>按</w:t>
      </w:r>
      <w:r>
        <w:rPr>
          <w:rFonts w:hint="eastAsia" w:ascii="方正仿宋_GBK" w:hAnsi="方正仿宋_GBK" w:eastAsia="方正仿宋_GBK" w:cs="方正仿宋_GBK"/>
          <w:sz w:val="28"/>
          <w:szCs w:val="28"/>
          <w:lang w:eastAsia="zh-CN"/>
        </w:rPr>
        <w:t>相关</w:t>
      </w:r>
      <w:r>
        <w:rPr>
          <w:rFonts w:hint="eastAsia" w:ascii="方正仿宋_GBK" w:hAnsi="方正仿宋_GBK" w:eastAsia="方正仿宋_GBK" w:cs="方正仿宋_GBK"/>
          <w:sz w:val="28"/>
          <w:szCs w:val="28"/>
        </w:rPr>
        <w:t>技术协议</w:t>
      </w:r>
      <w:r>
        <w:rPr>
          <w:rFonts w:hint="eastAsia" w:ascii="方正仿宋_GBK" w:hAnsi="方正仿宋_GBK" w:eastAsia="方正仿宋_GBK" w:cs="方正仿宋_GBK"/>
          <w:sz w:val="28"/>
          <w:szCs w:val="28"/>
          <w:lang w:eastAsia="zh-CN"/>
        </w:rPr>
        <w:t>、行业规范或</w:t>
      </w:r>
      <w:r>
        <w:rPr>
          <w:rFonts w:hint="eastAsia" w:ascii="方正仿宋_GBK" w:hAnsi="方正仿宋_GBK" w:eastAsia="方正仿宋_GBK" w:cs="方正仿宋_GBK"/>
          <w:sz w:val="28"/>
          <w:szCs w:val="28"/>
        </w:rPr>
        <w:t>国家标准</w:t>
      </w:r>
      <w:r>
        <w:rPr>
          <w:rFonts w:hint="eastAsia" w:ascii="方正仿宋_GBK" w:hAnsi="方正仿宋_GBK" w:eastAsia="方正仿宋_GBK" w:cs="方正仿宋_GBK"/>
          <w:sz w:val="28"/>
          <w:szCs w:val="28"/>
          <w:lang w:eastAsia="zh-CN"/>
        </w:rPr>
        <w:t>进行</w:t>
      </w:r>
      <w:r>
        <w:rPr>
          <w:rFonts w:hint="eastAsia" w:ascii="方正仿宋_GBK" w:hAnsi="方正仿宋_GBK" w:eastAsia="方正仿宋_GBK" w:cs="方正仿宋_GBK"/>
          <w:sz w:val="28"/>
          <w:szCs w:val="28"/>
        </w:rPr>
        <w:t>验收，</w:t>
      </w:r>
      <w:r>
        <w:rPr>
          <w:rFonts w:hint="eastAsia" w:ascii="方正仿宋_GBK" w:hAnsi="方正仿宋_GBK" w:eastAsia="方正仿宋_GBK" w:cs="方正仿宋_GBK"/>
          <w:sz w:val="28"/>
          <w:szCs w:val="28"/>
          <w:lang w:eastAsia="zh-CN"/>
        </w:rPr>
        <w:t>验收标准以严格者为基准，规格、质量等应符合相关质量标准。</w:t>
      </w:r>
      <w:r>
        <w:rPr>
          <w:rFonts w:hint="eastAsia" w:ascii="方正仿宋_GBK" w:hAnsi="方正仿宋_GBK" w:eastAsia="方正仿宋_GBK" w:cs="方正仿宋_GBK"/>
          <w:sz w:val="28"/>
          <w:szCs w:val="28"/>
        </w:rPr>
        <w:t xml:space="preserve">到厂验收，只能视为初步验收，即可合同要求予以接收，并不能视为供方对其产品在质保期内损坏所应负责任解除的凭据。  </w:t>
      </w:r>
    </w:p>
    <w:p>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pPr>
      <w:r>
        <w:rPr>
          <w:rFonts w:hint="eastAsia" w:ascii="方正仿宋_GBK" w:hAnsi="方正仿宋_GBK" w:eastAsia="方正仿宋_GBK" w:cs="方正仿宋_GBK"/>
          <w:sz w:val="28"/>
          <w:szCs w:val="28"/>
          <w:lang w:eastAsia="zh-CN"/>
        </w:rPr>
        <w:t>若发现质量不合格者，采购方有权拒收，并视为材料并未到场。供方应无条件将不合格货品运出现场，由此产生的相关费用及给采购方造成的一切损失由供货方承担。</w:t>
      </w:r>
      <w:r>
        <w:rPr>
          <w:rFonts w:hint="eastAsia" w:ascii="方正仿宋_GBK" w:hAnsi="方正仿宋_GBK" w:eastAsia="方正仿宋_GBK" w:cs="方正仿宋_GBK"/>
          <w:sz w:val="28"/>
          <w:szCs w:val="28"/>
        </w:rPr>
        <w:t xml:space="preserve"> </w:t>
      </w:r>
      <w:r>
        <w:rPr>
          <w:rFonts w:hint="eastAsia"/>
        </w:rPr>
        <w:t xml:space="preserve">                                                                                                                                 </w:t>
      </w:r>
    </w:p>
    <w:p>
      <w:pPr>
        <w:pStyle w:val="34"/>
        <w:keepNext w:val="0"/>
        <w:keepLines w:val="0"/>
        <w:pageBreakBefore w:val="0"/>
        <w:kinsoku/>
        <w:wordWrap/>
        <w:overflowPunct/>
        <w:topLinePunct w:val="0"/>
        <w:autoSpaceDE/>
        <w:autoSpaceDN/>
        <w:bidi w:val="0"/>
        <w:adjustRightInd w:val="0"/>
        <w:snapToGrid w:val="0"/>
        <w:spacing w:line="579" w:lineRule="exact"/>
        <w:ind w:left="0"/>
        <w:contextualSpacing/>
        <w:jc w:val="both"/>
        <w:textAlignment w:val="auto"/>
        <w:outlineLvl w:val="1"/>
        <w:rPr>
          <w:rFonts w:hint="eastAsia"/>
        </w:rPr>
      </w:pPr>
      <w:r>
        <w:rPr>
          <w:rFonts w:hint="eastAsia" w:ascii="黑体" w:hAnsi="黑体" w:eastAsia="黑体" w:cs="黑体"/>
          <w:kern w:val="2"/>
          <w:sz w:val="28"/>
          <w:szCs w:val="28"/>
          <w:lang w:val="en-US" w:eastAsia="zh-CN" w:bidi="ar-SA"/>
        </w:rPr>
        <w:t>第七条 包装标准、包装物的供应与回收</w:t>
      </w:r>
    </w:p>
    <w:p>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供方所交付的货品必须包装完整，并采取防潮、防湿、防震、防锈、防腐蚀等措施，以保证在长途运输中经受多次搬运和装卸后，货物完好无损，安全到达目的地。由于采用不充分或不妥善的防护措施造成货物的任何损坏、腐蚀或变形，供方应承担由此造成的一切损失。</w:t>
      </w:r>
    </w:p>
    <w:p>
      <w:pPr>
        <w:pStyle w:val="34"/>
        <w:keepNext w:val="0"/>
        <w:keepLines w:val="0"/>
        <w:pageBreakBefore w:val="0"/>
        <w:widowControl/>
        <w:kinsoku/>
        <w:wordWrap/>
        <w:overflowPunct/>
        <w:topLinePunct w:val="0"/>
        <w:autoSpaceDE/>
        <w:autoSpaceDN/>
        <w:bidi w:val="0"/>
        <w:adjustRightInd w:val="0"/>
        <w:snapToGrid w:val="0"/>
        <w:spacing w:line="579" w:lineRule="exact"/>
        <w:ind w:left="0"/>
        <w:contextualSpacing/>
        <w:jc w:val="both"/>
        <w:textAlignment w:val="auto"/>
        <w:outlineLvl w:val="1"/>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第八条 质量保证</w:t>
      </w:r>
    </w:p>
    <w:p>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rPr>
        <w:t>供方保证其供应的本合同标的是全新的，技术水平先进、成熟、质量优良、安全可靠、经济运行和易于维护。本合同下质量标准为国家标准及相关行业标准（不同标准之间如有冲突，比较严格者为准）。在正常使用过程中，如有产品质量问题，供货方需依据国家法律法规进行</w:t>
      </w:r>
      <w:r>
        <w:rPr>
          <w:rFonts w:hint="eastAsia" w:ascii="方正仿宋_GBK" w:hAnsi="方正仿宋_GBK" w:eastAsia="方正仿宋_GBK" w:cs="方正仿宋_GBK"/>
          <w:sz w:val="28"/>
          <w:szCs w:val="28"/>
          <w:lang w:eastAsia="zh-CN"/>
        </w:rPr>
        <w:t>维修</w:t>
      </w:r>
      <w:r>
        <w:rPr>
          <w:rFonts w:hint="eastAsia" w:ascii="方正仿宋_GBK" w:hAnsi="方正仿宋_GBK" w:eastAsia="方正仿宋_GBK" w:cs="方正仿宋_GBK"/>
          <w:sz w:val="28"/>
          <w:szCs w:val="28"/>
        </w:rPr>
        <w:t>或</w:t>
      </w:r>
      <w:r>
        <w:rPr>
          <w:rFonts w:hint="eastAsia" w:ascii="方正仿宋_GBK" w:hAnsi="方正仿宋_GBK" w:eastAsia="方正仿宋_GBK" w:cs="方正仿宋_GBK"/>
          <w:sz w:val="28"/>
          <w:szCs w:val="28"/>
          <w:lang w:eastAsia="zh-CN"/>
        </w:rPr>
        <w:t>更换</w:t>
      </w:r>
      <w:r>
        <w:rPr>
          <w:rFonts w:hint="eastAsia" w:ascii="方正仿宋_GBK" w:hAnsi="方正仿宋_GBK" w:eastAsia="方正仿宋_GBK" w:cs="方正仿宋_GBK"/>
          <w:sz w:val="28"/>
          <w:szCs w:val="28"/>
        </w:rPr>
        <w:t xml:space="preserve">。 </w:t>
      </w:r>
      <w:r>
        <w:rPr>
          <w:rFonts w:hint="eastAsia"/>
        </w:rPr>
        <w:t xml:space="preserve">                                                                                                                                                                                                                                                                                                                               </w:t>
      </w:r>
    </w:p>
    <w:p>
      <w:pPr>
        <w:pStyle w:val="34"/>
        <w:keepNext w:val="0"/>
        <w:keepLines w:val="0"/>
        <w:pageBreakBefore w:val="0"/>
        <w:widowControl/>
        <w:numPr>
          <w:ilvl w:val="0"/>
          <w:numId w:val="5"/>
        </w:numPr>
        <w:kinsoku/>
        <w:wordWrap/>
        <w:overflowPunct/>
        <w:topLinePunct w:val="0"/>
        <w:autoSpaceDE/>
        <w:autoSpaceDN/>
        <w:bidi w:val="0"/>
        <w:adjustRightInd w:val="0"/>
        <w:snapToGrid w:val="0"/>
        <w:spacing w:after="0" w:line="579" w:lineRule="exact"/>
        <w:ind w:left="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运输方式及费用负担</w:t>
      </w:r>
    </w:p>
    <w:p>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rPr>
        <w:t xml:space="preserve">汽车运输到指定地点，运输费用由供货方承担。    </w:t>
      </w:r>
      <w:r>
        <w:rPr>
          <w:rFonts w:hint="eastAsia"/>
        </w:rPr>
        <w:t xml:space="preserve">                           </w:t>
      </w:r>
    </w:p>
    <w:p>
      <w:pPr>
        <w:pStyle w:val="34"/>
        <w:keepNext w:val="0"/>
        <w:keepLines w:val="0"/>
        <w:pageBreakBefore w:val="0"/>
        <w:widowControl/>
        <w:numPr>
          <w:ilvl w:val="0"/>
          <w:numId w:val="5"/>
        </w:numPr>
        <w:kinsoku/>
        <w:wordWrap/>
        <w:overflowPunct/>
        <w:topLinePunct w:val="0"/>
        <w:autoSpaceDE/>
        <w:autoSpaceDN/>
        <w:bidi w:val="0"/>
        <w:adjustRightInd w:val="0"/>
        <w:snapToGrid w:val="0"/>
        <w:spacing w:after="0" w:line="579" w:lineRule="exact"/>
        <w:ind w:left="0" w:leftChars="0" w:firstLine="0" w:firstLineChars="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本合同解除的条件</w:t>
      </w:r>
    </w:p>
    <w:p>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Chars="0" w:firstLine="560" w:firstLineChars="200"/>
        <w:contextualSpacing/>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采供双方的任何一方由于不可抗力的原因不能履行合同时，应及时向对方通报不能履行或不能完全履行的理由。在取得有关证明后，允许延期履行、部分履行或解除合同。</w:t>
      </w:r>
    </w:p>
    <w:p>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Chars="0" w:firstLine="560" w:firstLineChars="200"/>
        <w:contextualSpacing/>
        <w:jc w:val="both"/>
        <w:textAlignment w:val="auto"/>
      </w:pPr>
      <w:r>
        <w:rPr>
          <w:rFonts w:hint="eastAsia" w:ascii="方正仿宋_GBK" w:hAnsi="方正仿宋_GBK" w:eastAsia="方正仿宋_GBK" w:cs="方正仿宋_GBK"/>
          <w:sz w:val="28"/>
          <w:szCs w:val="28"/>
          <w:lang w:eastAsia="zh-CN"/>
        </w:rPr>
        <w:t>本合同在双方责任、义务履行完毕后终止。</w:t>
      </w:r>
      <w:r>
        <w:rPr>
          <w:rFonts w:hint="eastAsia"/>
        </w:rPr>
        <w:t xml:space="preserve">                                                                                                                                            </w:t>
      </w:r>
    </w:p>
    <w:p>
      <w:pPr>
        <w:pStyle w:val="34"/>
        <w:keepNext w:val="0"/>
        <w:keepLines w:val="0"/>
        <w:pageBreakBefore w:val="0"/>
        <w:widowControl/>
        <w:kinsoku/>
        <w:wordWrap/>
        <w:overflowPunct/>
        <w:topLinePunct w:val="0"/>
        <w:autoSpaceDE/>
        <w:autoSpaceDN/>
        <w:bidi w:val="0"/>
        <w:adjustRightInd w:val="0"/>
        <w:snapToGrid w:val="0"/>
        <w:spacing w:after="0" w:line="579" w:lineRule="exact"/>
        <w:ind w:left="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第十一条 违约责任</w:t>
      </w:r>
    </w:p>
    <w:p>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rPr>
        <w:t>按《</w:t>
      </w:r>
      <w:r>
        <w:rPr>
          <w:rFonts w:hint="eastAsia" w:ascii="方正仿宋_GBK" w:hAnsi="方正仿宋_GBK" w:eastAsia="方正仿宋_GBK" w:cs="方正仿宋_GBK"/>
          <w:sz w:val="28"/>
          <w:szCs w:val="28"/>
          <w:lang w:eastAsia="zh-CN"/>
        </w:rPr>
        <w:t>中华人民共和国民法典</w:t>
      </w:r>
      <w:r>
        <w:rPr>
          <w:rFonts w:hint="eastAsia" w:ascii="方正仿宋_GBK" w:hAnsi="方正仿宋_GBK" w:eastAsia="方正仿宋_GBK" w:cs="方正仿宋_GBK"/>
          <w:sz w:val="28"/>
          <w:szCs w:val="28"/>
        </w:rPr>
        <w:t xml:space="preserve">》相关条款 </w:t>
      </w:r>
      <w:r>
        <w:rPr>
          <w:rFonts w:hint="eastAsia"/>
        </w:rPr>
        <w:t xml:space="preserve">                                        </w:t>
      </w:r>
    </w:p>
    <w:p>
      <w:pPr>
        <w:pStyle w:val="34"/>
        <w:keepNext w:val="0"/>
        <w:keepLines w:val="0"/>
        <w:pageBreakBefore w:val="0"/>
        <w:widowControl/>
        <w:numPr>
          <w:ilvl w:val="0"/>
          <w:numId w:val="6"/>
        </w:numPr>
        <w:kinsoku/>
        <w:wordWrap/>
        <w:overflowPunct/>
        <w:topLinePunct w:val="0"/>
        <w:autoSpaceDE/>
        <w:autoSpaceDN/>
        <w:bidi w:val="0"/>
        <w:adjustRightInd w:val="0"/>
        <w:snapToGrid w:val="0"/>
        <w:spacing w:after="0" w:line="579" w:lineRule="exact"/>
        <w:ind w:left="0" w:hanging="560" w:hangingChars="20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合同争议的解决方式</w:t>
      </w:r>
    </w:p>
    <w:p>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本合同在履行过程中发生的争议，由双方当事人协商解决；也可由当地工商行政管理部门调解；协商或调解不成的，依法向采购方所在地人民法院起诉。   </w:t>
      </w:r>
    </w:p>
    <w:p>
      <w:pPr>
        <w:pStyle w:val="34"/>
        <w:keepNext w:val="0"/>
        <w:keepLines w:val="0"/>
        <w:pageBreakBefore w:val="0"/>
        <w:widowControl/>
        <w:numPr>
          <w:ilvl w:val="0"/>
          <w:numId w:val="6"/>
        </w:numPr>
        <w:kinsoku/>
        <w:wordWrap/>
        <w:overflowPunct/>
        <w:topLinePunct w:val="0"/>
        <w:autoSpaceDE/>
        <w:autoSpaceDN/>
        <w:bidi w:val="0"/>
        <w:adjustRightInd w:val="0"/>
        <w:snapToGrid w:val="0"/>
        <w:spacing w:after="0" w:line="579" w:lineRule="exact"/>
        <w:ind w:left="0" w:hanging="560" w:hangingChars="20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lang w:eastAsia="zh-CN"/>
        </w:rPr>
        <w:t>反商业贿赂</w:t>
      </w:r>
    </w:p>
    <w:p>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双方同意，双方将清楚并严格遵守关于反商业贿赂及其他相关法律规定，双方及其员工均不向对方业务人员或其他与本合同业务有关人员直接或间接地索要、收受、提供、给予协议约定外的任何利益，</w:t>
      </w:r>
      <w:r>
        <w:rPr>
          <w:rFonts w:hint="eastAsia" w:ascii="方正仿宋_GBK" w:hAnsi="方正仿宋_GBK" w:eastAsia="方正仿宋_GBK" w:cs="方正仿宋_GBK"/>
          <w:sz w:val="28"/>
          <w:szCs w:val="28"/>
          <w:lang w:eastAsia="zh-CN"/>
        </w:rPr>
        <w:t>包括</w:t>
      </w:r>
      <w:r>
        <w:rPr>
          <w:rFonts w:hint="eastAsia" w:ascii="方正仿宋_GBK" w:hAnsi="方正仿宋_GBK" w:eastAsia="方正仿宋_GBK" w:cs="方正仿宋_GBK"/>
          <w:sz w:val="28"/>
          <w:szCs w:val="28"/>
        </w:rPr>
        <w:t>但不限于明扣、暗扣、现金、购物卡、实物、有价证券、旅游或其他非物质性利益等，及其他任何形式的、可能对本合同的签署或履行产生实质性影响的利益。若合同双方任意一方违反前述约定的，另一方有权解除本合同，不支付任何报酬或要求退还所支付的报酬:或要求违约方继续履行本合同，并向另一方支付相当于本合同总金额5%的违约金，在因本项目从任何第三人处收受未经披露的任何形式的报酬或利益时，还应将该报酬或利益转移给另一方。由此给另一方造成的损失以及可能引起的对第三人的责任，均由违约方承担。另一方同时可向国家有关部门就违约方的行为进行举报，违约方应当履行协助并配合调查等义务。</w:t>
      </w:r>
    </w:p>
    <w:p>
      <w:pPr>
        <w:pStyle w:val="34"/>
        <w:keepNext w:val="0"/>
        <w:keepLines w:val="0"/>
        <w:pageBreakBefore w:val="0"/>
        <w:widowControl/>
        <w:numPr>
          <w:ilvl w:val="0"/>
          <w:numId w:val="6"/>
        </w:numPr>
        <w:kinsoku/>
        <w:wordWrap/>
        <w:overflowPunct/>
        <w:topLinePunct w:val="0"/>
        <w:autoSpaceDE/>
        <w:autoSpaceDN/>
        <w:bidi w:val="0"/>
        <w:adjustRightInd w:val="0"/>
        <w:snapToGrid w:val="0"/>
        <w:spacing w:after="0" w:line="579" w:lineRule="exact"/>
        <w:ind w:left="0" w:hanging="560" w:hangingChars="20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lang w:eastAsia="zh-CN"/>
        </w:rPr>
        <w:t>售后要求</w:t>
      </w:r>
    </w:p>
    <w:p>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必须满足采购人售后服务要求。如产品使用过程发生问题，</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须在接到</w:t>
      </w:r>
      <w:r>
        <w:rPr>
          <w:rFonts w:hint="eastAsia" w:ascii="方正仿宋_GBK" w:hAnsi="方正仿宋_GBK" w:eastAsia="方正仿宋_GBK" w:cs="方正仿宋_GBK"/>
          <w:sz w:val="28"/>
          <w:szCs w:val="28"/>
          <w:lang w:val="en-US" w:eastAsia="zh-CN"/>
        </w:rPr>
        <w:t>采购人</w:t>
      </w:r>
      <w:r>
        <w:rPr>
          <w:rFonts w:hint="eastAsia" w:ascii="方正仿宋_GBK" w:hAnsi="方正仿宋_GBK" w:eastAsia="方正仿宋_GBK" w:cs="方正仿宋_GBK"/>
          <w:sz w:val="28"/>
          <w:szCs w:val="28"/>
        </w:rPr>
        <w:t>通知后24小时内做出书面答复并提供解决方案。若需要派遣技术人员，则应在接到</w:t>
      </w:r>
      <w:r>
        <w:rPr>
          <w:rFonts w:hint="eastAsia" w:ascii="方正仿宋_GBK" w:hAnsi="方正仿宋_GBK" w:eastAsia="方正仿宋_GBK" w:cs="方正仿宋_GBK"/>
          <w:sz w:val="28"/>
          <w:szCs w:val="28"/>
          <w:lang w:eastAsia="zh-CN"/>
        </w:rPr>
        <w:t>采购方</w:t>
      </w:r>
      <w:r>
        <w:rPr>
          <w:rFonts w:hint="eastAsia" w:ascii="方正仿宋_GBK" w:hAnsi="方正仿宋_GBK" w:eastAsia="方正仿宋_GBK" w:cs="方正仿宋_GBK"/>
          <w:sz w:val="28"/>
          <w:szCs w:val="28"/>
        </w:rPr>
        <w:t>通知后48小时内派人员到达现场进行免费指导解决问题。</w:t>
      </w:r>
    </w:p>
    <w:p>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采购方</w:t>
      </w:r>
      <w:r>
        <w:rPr>
          <w:rFonts w:hint="eastAsia" w:ascii="方正仿宋_GBK" w:hAnsi="方正仿宋_GBK" w:eastAsia="方正仿宋_GBK" w:cs="方正仿宋_GBK"/>
          <w:sz w:val="28"/>
          <w:szCs w:val="28"/>
        </w:rPr>
        <w:t>不再对任何售后服务进行付费。</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的派遣人员产生的一切费用由</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承担。</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br w:type="page"/>
      </w:r>
    </w:p>
    <w:p>
      <w:pPr>
        <w:pStyle w:val="4"/>
        <w:numPr>
          <w:ilvl w:val="0"/>
          <w:numId w:val="0"/>
        </w:numPr>
        <w:jc w:val="center"/>
        <w:rPr>
          <w:rFonts w:hint="eastAsia" w:ascii="仿宋" w:hAnsi="仿宋" w:eastAsia="仿宋" w:cs="仿宋"/>
          <w:snapToGrid w:val="0"/>
          <w:sz w:val="44"/>
          <w:szCs w:val="44"/>
        </w:rPr>
      </w:pPr>
      <w:bookmarkStart w:id="14" w:name="_Toc21167"/>
      <w:r>
        <w:rPr>
          <w:rFonts w:hint="eastAsia" w:ascii="仿宋" w:hAnsi="仿宋" w:eastAsia="仿宋" w:cs="仿宋"/>
          <w:snapToGrid w:val="0"/>
          <w:sz w:val="44"/>
          <w:szCs w:val="44"/>
        </w:rPr>
        <w:t>第</w:t>
      </w:r>
      <w:r>
        <w:rPr>
          <w:rFonts w:hint="eastAsia" w:ascii="仿宋" w:hAnsi="仿宋" w:eastAsia="仿宋" w:cs="仿宋"/>
          <w:snapToGrid w:val="0"/>
          <w:sz w:val="44"/>
          <w:szCs w:val="44"/>
          <w:lang w:eastAsia="zh-CN"/>
        </w:rPr>
        <w:t>五</w:t>
      </w:r>
      <w:r>
        <w:rPr>
          <w:rFonts w:hint="eastAsia" w:ascii="仿宋" w:hAnsi="仿宋" w:eastAsia="仿宋" w:cs="仿宋"/>
          <w:snapToGrid w:val="0"/>
          <w:sz w:val="44"/>
          <w:szCs w:val="44"/>
        </w:rPr>
        <w:t>部分    报价文件格式</w:t>
      </w:r>
      <w:bookmarkEnd w:id="12"/>
      <w:bookmarkEnd w:id="14"/>
    </w:p>
    <w:p>
      <w:pPr>
        <w:jc w:val="left"/>
        <w:outlineLvl w:val="0"/>
        <w:rPr>
          <w:rStyle w:val="20"/>
          <w:rFonts w:hint="eastAsia" w:ascii="仿宋" w:hAnsi="仿宋" w:eastAsia="仿宋" w:cs="仿宋"/>
          <w:sz w:val="30"/>
        </w:rPr>
      </w:pPr>
      <w:bookmarkStart w:id="15" w:name="_Toc22901"/>
      <w:r>
        <w:rPr>
          <w:rStyle w:val="20"/>
          <w:rFonts w:hint="eastAsia" w:ascii="仿宋" w:hAnsi="仿宋" w:eastAsia="仿宋" w:cs="仿宋"/>
          <w:sz w:val="30"/>
        </w:rPr>
        <w:t>附件一：</w:t>
      </w:r>
      <w:bookmarkEnd w:id="15"/>
    </w:p>
    <w:p>
      <w:pPr>
        <w:spacing w:line="480" w:lineRule="auto"/>
        <w:jc w:val="right"/>
        <w:rPr>
          <w:rFonts w:hint="eastAsia" w:ascii="仿宋" w:hAnsi="仿宋" w:eastAsia="仿宋" w:cs="仿宋"/>
          <w:sz w:val="32"/>
        </w:rPr>
      </w:pPr>
    </w:p>
    <w:p>
      <w:pPr>
        <w:rPr>
          <w:rFonts w:hint="eastAsia" w:ascii="仿宋" w:hAnsi="仿宋" w:eastAsia="仿宋" w:cs="仿宋"/>
          <w:sz w:val="44"/>
        </w:rPr>
      </w:pPr>
    </w:p>
    <w:p>
      <w:pPr>
        <w:spacing w:line="360" w:lineRule="auto"/>
        <w:jc w:val="center"/>
        <w:rPr>
          <w:rFonts w:hint="eastAsia" w:ascii="仿宋" w:hAnsi="仿宋" w:eastAsia="仿宋" w:cs="仿宋"/>
          <w:sz w:val="52"/>
          <w:lang w:val="en-US" w:eastAsia="zh-CN"/>
        </w:rPr>
      </w:pPr>
      <w:r>
        <w:rPr>
          <w:rFonts w:hint="eastAsia" w:ascii="仿宋" w:hAnsi="仿宋" w:eastAsia="仿宋" w:cs="仿宋"/>
          <w:sz w:val="52"/>
          <w:lang w:val="en-US" w:eastAsia="zh-CN"/>
        </w:rPr>
        <w:t>绍兴市再生能源发展有限公司</w:t>
      </w:r>
    </w:p>
    <w:p>
      <w:pPr>
        <w:spacing w:line="360" w:lineRule="auto"/>
        <w:jc w:val="center"/>
        <w:rPr>
          <w:rFonts w:hint="eastAsia" w:ascii="仿宋" w:hAnsi="仿宋" w:eastAsia="仿宋" w:cs="仿宋"/>
          <w:sz w:val="52"/>
        </w:rPr>
      </w:pPr>
      <w:r>
        <w:rPr>
          <w:rFonts w:hint="eastAsia" w:ascii="仿宋" w:hAnsi="仿宋" w:eastAsia="仿宋" w:cs="仿宋"/>
          <w:sz w:val="52"/>
          <w:lang w:val="en-US" w:eastAsia="zh-CN"/>
        </w:rPr>
        <w:t>电气备件</w:t>
      </w:r>
      <w:r>
        <w:rPr>
          <w:rFonts w:hint="eastAsia" w:ascii="仿宋" w:hAnsi="仿宋" w:eastAsia="仿宋" w:cs="仿宋"/>
          <w:sz w:val="52"/>
        </w:rPr>
        <w:t>采购项目</w:t>
      </w:r>
    </w:p>
    <w:p>
      <w:pPr>
        <w:spacing w:line="360" w:lineRule="auto"/>
        <w:jc w:val="center"/>
        <w:rPr>
          <w:rFonts w:hint="default" w:ascii="仿宋" w:hAnsi="仿宋" w:eastAsia="仿宋" w:cs="仿宋"/>
          <w:sz w:val="36"/>
          <w:lang w:val="en-US" w:eastAsia="zh-CN"/>
        </w:rPr>
      </w:pPr>
      <w:r>
        <w:rPr>
          <w:rFonts w:hint="eastAsia" w:ascii="仿宋" w:hAnsi="仿宋" w:eastAsia="仿宋" w:cs="仿宋"/>
          <w:sz w:val="36"/>
        </w:rPr>
        <w:t>采购编号：</w:t>
      </w:r>
      <w:r>
        <w:rPr>
          <w:rFonts w:hint="eastAsia" w:ascii="仿宋" w:hAnsi="仿宋" w:eastAsia="仿宋" w:cs="仿宋"/>
          <w:sz w:val="36"/>
          <w:lang w:val="en-US" w:eastAsia="zh-CN"/>
        </w:rPr>
        <w:t>SX-CG-BJ-2401013</w:t>
      </w:r>
    </w:p>
    <w:p>
      <w:pPr>
        <w:rPr>
          <w:rFonts w:hint="eastAsia" w:ascii="仿宋" w:hAnsi="仿宋" w:eastAsia="仿宋" w:cs="仿宋"/>
          <w:sz w:val="44"/>
        </w:rPr>
      </w:pPr>
    </w:p>
    <w:p>
      <w:pPr>
        <w:rPr>
          <w:rFonts w:hint="eastAsia" w:ascii="仿宋" w:hAnsi="仿宋" w:eastAsia="仿宋" w:cs="仿宋"/>
          <w:sz w:val="44"/>
        </w:rPr>
      </w:pPr>
    </w:p>
    <w:p>
      <w:pPr>
        <w:rPr>
          <w:rFonts w:hint="eastAsia" w:ascii="仿宋" w:hAnsi="仿宋" w:eastAsia="仿宋" w:cs="仿宋"/>
          <w:sz w:val="84"/>
        </w:rPr>
      </w:pPr>
    </w:p>
    <w:p>
      <w:pPr>
        <w:jc w:val="center"/>
        <w:rPr>
          <w:rFonts w:hint="eastAsia" w:ascii="仿宋" w:hAnsi="仿宋" w:eastAsia="仿宋" w:cs="仿宋"/>
          <w:sz w:val="84"/>
        </w:rPr>
      </w:pPr>
      <w:r>
        <w:rPr>
          <w:rFonts w:hint="eastAsia" w:ascii="仿宋" w:hAnsi="仿宋" w:eastAsia="仿宋" w:cs="仿宋"/>
          <w:sz w:val="84"/>
        </w:rPr>
        <w:t>报价文件</w:t>
      </w:r>
    </w:p>
    <w:p>
      <w:pPr>
        <w:jc w:val="center"/>
        <w:rPr>
          <w:rFonts w:hint="eastAsia" w:ascii="仿宋" w:hAnsi="仿宋" w:eastAsia="仿宋" w:cs="仿宋"/>
          <w:sz w:val="24"/>
        </w:rPr>
      </w:pPr>
    </w:p>
    <w:p>
      <w:pPr>
        <w:jc w:val="center"/>
        <w:rPr>
          <w:rFonts w:hint="eastAsia" w:ascii="仿宋" w:hAnsi="仿宋" w:eastAsia="仿宋" w:cs="仿宋"/>
          <w:sz w:val="24"/>
        </w:rPr>
      </w:pPr>
    </w:p>
    <w:p>
      <w:pPr>
        <w:spacing w:line="480" w:lineRule="auto"/>
        <w:jc w:val="center"/>
        <w:rPr>
          <w:rFonts w:hint="eastAsia" w:ascii="仿宋" w:hAnsi="仿宋" w:eastAsia="仿宋" w:cs="仿宋"/>
          <w:sz w:val="24"/>
        </w:rPr>
      </w:pPr>
    </w:p>
    <w:p>
      <w:pPr>
        <w:spacing w:line="480" w:lineRule="auto"/>
        <w:jc w:val="center"/>
        <w:rPr>
          <w:rFonts w:hint="eastAsia" w:ascii="仿宋" w:hAnsi="仿宋" w:eastAsia="仿宋" w:cs="仿宋"/>
          <w:sz w:val="24"/>
        </w:rPr>
      </w:pPr>
    </w:p>
    <w:p>
      <w:pPr>
        <w:spacing w:line="480" w:lineRule="auto"/>
        <w:jc w:val="center"/>
        <w:rPr>
          <w:rFonts w:hint="default" w:ascii="仿宋" w:hAnsi="仿宋" w:eastAsia="仿宋" w:cs="仿宋"/>
          <w:sz w:val="36"/>
          <w:lang w:val="en-US" w:eastAsia="zh-CN"/>
        </w:rPr>
      </w:pPr>
      <w:r>
        <w:rPr>
          <w:rFonts w:hint="eastAsia" w:ascii="仿宋" w:hAnsi="仿宋" w:eastAsia="仿宋" w:cs="仿宋"/>
          <w:sz w:val="36"/>
        </w:rPr>
        <w:t>报价单位全称</w:t>
      </w:r>
      <w:r>
        <w:rPr>
          <w:rFonts w:hint="eastAsia" w:ascii="仿宋" w:hAnsi="仿宋" w:eastAsia="仿宋" w:cs="仿宋"/>
          <w:sz w:val="36"/>
          <w:lang w:eastAsia="zh-CN"/>
        </w:rPr>
        <w:t>：</w:t>
      </w:r>
      <w:r>
        <w:rPr>
          <w:rFonts w:hint="eastAsia" w:ascii="仿宋" w:hAnsi="仿宋" w:eastAsia="仿宋" w:cs="仿宋"/>
          <w:sz w:val="36"/>
          <w:lang w:val="en-US" w:eastAsia="zh-CN"/>
        </w:rPr>
        <w:t>**</w:t>
      </w:r>
    </w:p>
    <w:p>
      <w:pPr>
        <w:spacing w:line="480" w:lineRule="auto"/>
        <w:ind w:firstLine="3240" w:firstLineChars="900"/>
        <w:rPr>
          <w:rFonts w:hint="eastAsia" w:ascii="仿宋" w:hAnsi="仿宋" w:eastAsia="仿宋" w:cs="仿宋"/>
          <w:sz w:val="36"/>
        </w:rPr>
      </w:pPr>
      <w:r>
        <w:rPr>
          <w:rFonts w:hint="default" w:ascii="仿宋" w:hAnsi="仿宋" w:eastAsia="仿宋" w:cs="仿宋"/>
          <w:sz w:val="36"/>
          <w:lang w:val="en-US"/>
        </w:rPr>
        <w:t>202</w:t>
      </w:r>
      <w:r>
        <w:rPr>
          <w:rFonts w:hint="eastAsia" w:ascii="仿宋" w:hAnsi="仿宋" w:eastAsia="仿宋" w:cs="仿宋"/>
          <w:sz w:val="36"/>
          <w:lang w:val="en-US" w:eastAsia="zh-CN"/>
        </w:rPr>
        <w:t>4</w:t>
      </w:r>
      <w:r>
        <w:rPr>
          <w:rFonts w:hint="default" w:ascii="仿宋" w:hAnsi="仿宋" w:eastAsia="仿宋" w:cs="仿宋"/>
          <w:sz w:val="36"/>
          <w:lang w:val="en-US"/>
        </w:rPr>
        <w:t>年</w:t>
      </w:r>
      <w:r>
        <w:rPr>
          <w:rFonts w:hint="eastAsia" w:ascii="仿宋" w:hAnsi="仿宋" w:eastAsia="仿宋" w:cs="仿宋"/>
          <w:sz w:val="36"/>
          <w:lang w:val="en-US" w:eastAsia="zh-CN"/>
        </w:rPr>
        <w:t xml:space="preserve">   </w:t>
      </w:r>
      <w:r>
        <w:rPr>
          <w:rFonts w:hint="eastAsia" w:ascii="仿宋" w:hAnsi="仿宋" w:eastAsia="仿宋" w:cs="仿宋"/>
          <w:sz w:val="36"/>
        </w:rPr>
        <w:t>月</w:t>
      </w:r>
      <w:r>
        <w:rPr>
          <w:rFonts w:hint="eastAsia" w:ascii="仿宋" w:hAnsi="仿宋" w:eastAsia="仿宋" w:cs="仿宋"/>
          <w:sz w:val="36"/>
          <w:lang w:val="en-US" w:eastAsia="zh-CN"/>
        </w:rPr>
        <w:t xml:space="preserve">  </w:t>
      </w:r>
      <w:r>
        <w:rPr>
          <w:rFonts w:hint="eastAsia" w:ascii="仿宋" w:hAnsi="仿宋" w:eastAsia="仿宋" w:cs="仿宋"/>
          <w:sz w:val="36"/>
        </w:rPr>
        <w:t>日</w:t>
      </w:r>
    </w:p>
    <w:p>
      <w:pPr>
        <w:adjustRightInd w:val="0"/>
        <w:snapToGrid w:val="0"/>
        <w:spacing w:line="360" w:lineRule="auto"/>
        <w:ind w:right="480"/>
        <w:jc w:val="left"/>
        <w:rPr>
          <w:rFonts w:hint="eastAsia" w:ascii="仿宋" w:hAnsi="仿宋" w:eastAsia="仿宋" w:cs="仿宋"/>
          <w:sz w:val="30"/>
        </w:rPr>
      </w:pPr>
      <w:r>
        <w:rPr>
          <w:rStyle w:val="20"/>
          <w:rFonts w:hint="eastAsia" w:ascii="仿宋" w:hAnsi="仿宋" w:eastAsia="仿宋" w:cs="仿宋"/>
          <w:sz w:val="30"/>
        </w:rPr>
        <w:br w:type="page"/>
      </w:r>
    </w:p>
    <w:p>
      <w:pPr>
        <w:adjustRightInd w:val="0"/>
        <w:snapToGrid w:val="0"/>
        <w:spacing w:line="360" w:lineRule="auto"/>
        <w:ind w:right="480"/>
        <w:jc w:val="left"/>
        <w:rPr>
          <w:rStyle w:val="20"/>
          <w:rFonts w:hint="eastAsia" w:ascii="仿宋" w:hAnsi="仿宋" w:eastAsia="仿宋" w:cs="仿宋"/>
          <w:sz w:val="30"/>
        </w:rPr>
        <w:sectPr>
          <w:footerReference r:id="rId3" w:type="default"/>
          <w:pgSz w:w="11906" w:h="16838"/>
          <w:pgMar w:top="1701" w:right="1418" w:bottom="1134" w:left="1418" w:header="851" w:footer="992" w:gutter="0"/>
          <w:cols w:space="720" w:num="1"/>
          <w:titlePg/>
          <w:docGrid w:linePitch="312" w:charSpace="0"/>
        </w:sectPr>
      </w:pPr>
    </w:p>
    <w:p>
      <w:pPr>
        <w:jc w:val="left"/>
        <w:outlineLvl w:val="0"/>
        <w:rPr>
          <w:rStyle w:val="20"/>
          <w:rFonts w:hint="eastAsia" w:ascii="仿宋" w:hAnsi="仿宋" w:eastAsia="仿宋" w:cs="仿宋"/>
          <w:sz w:val="30"/>
        </w:rPr>
      </w:pPr>
      <w:bookmarkStart w:id="16" w:name="_Toc20355"/>
      <w:r>
        <w:rPr>
          <w:rStyle w:val="20"/>
          <w:rFonts w:hint="eastAsia" w:ascii="仿宋" w:hAnsi="仿宋" w:eastAsia="仿宋" w:cs="仿宋"/>
          <w:sz w:val="30"/>
        </w:rPr>
        <w:t>附件二</w:t>
      </w:r>
      <w:bookmarkEnd w:id="16"/>
      <w:r>
        <w:rPr>
          <w:rStyle w:val="20"/>
          <w:rFonts w:hint="eastAsia" w:ascii="仿宋" w:hAnsi="仿宋" w:eastAsia="仿宋" w:cs="仿宋"/>
          <w:sz w:val="30"/>
        </w:rPr>
        <w:t xml:space="preserve">  </w:t>
      </w:r>
    </w:p>
    <w:p>
      <w:pPr>
        <w:spacing w:line="360" w:lineRule="auto"/>
        <w:jc w:val="center"/>
        <w:rPr>
          <w:rFonts w:hint="eastAsia" w:ascii="仿宋" w:hAnsi="仿宋" w:eastAsia="仿宋" w:cs="仿宋"/>
          <w:b/>
          <w:sz w:val="44"/>
        </w:rPr>
      </w:pPr>
      <w:r>
        <w:rPr>
          <w:rFonts w:hint="eastAsia" w:ascii="仿宋" w:hAnsi="仿宋" w:eastAsia="仿宋" w:cs="仿宋"/>
          <w:b/>
          <w:sz w:val="44"/>
        </w:rPr>
        <w:t>报 价 一 览 表</w:t>
      </w:r>
    </w:p>
    <w:p>
      <w:pPr>
        <w:pStyle w:val="21"/>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 w:val="0"/>
          <w:sz w:val="30"/>
          <w:szCs w:val="30"/>
        </w:rPr>
      </w:pPr>
      <w:r>
        <w:rPr>
          <w:rFonts w:hint="eastAsia" w:ascii="仿宋" w:hAnsi="仿宋" w:eastAsia="仿宋" w:cs="仿宋"/>
          <w:b w:val="0"/>
          <w:sz w:val="30"/>
          <w:szCs w:val="30"/>
          <w:lang w:eastAsia="zh-CN"/>
        </w:rPr>
        <w:t>绍兴市再生能源发展有限公司</w:t>
      </w:r>
      <w:r>
        <w:rPr>
          <w:rFonts w:hint="eastAsia" w:ascii="仿宋" w:hAnsi="仿宋" w:eastAsia="仿宋" w:cs="仿宋"/>
          <w:b w:val="0"/>
          <w:sz w:val="30"/>
          <w:szCs w:val="30"/>
        </w:rPr>
        <w:t>：</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30"/>
          <w:szCs w:val="30"/>
        </w:rPr>
      </w:pPr>
      <w:r>
        <w:rPr>
          <w:rFonts w:hint="eastAsia" w:ascii="仿宋_GB2312" w:eastAsia="仿宋_GB2312"/>
          <w:sz w:val="28"/>
          <w:szCs w:val="28"/>
        </w:rPr>
        <w:t>我公司</w:t>
      </w:r>
      <w:r>
        <w:rPr>
          <w:rFonts w:hint="eastAsia" w:ascii="仿宋_GB2312" w:eastAsia="仿宋_GB2312"/>
          <w:sz w:val="28"/>
          <w:szCs w:val="28"/>
          <w:u w:val="single"/>
        </w:rPr>
        <w:t xml:space="preserve">        （报价单位名称）         </w:t>
      </w:r>
      <w:r>
        <w:rPr>
          <w:rFonts w:hint="eastAsia" w:ascii="仿宋_GB2312" w:eastAsia="仿宋_GB2312"/>
          <w:sz w:val="28"/>
          <w:szCs w:val="28"/>
        </w:rPr>
        <w:t>根据贵单位询价文件要求，</w:t>
      </w:r>
      <w:r>
        <w:rPr>
          <w:rFonts w:hint="eastAsia" w:ascii="仿宋_GB2312" w:eastAsia="仿宋_GB2312"/>
          <w:sz w:val="28"/>
          <w:szCs w:val="28"/>
          <w:lang w:eastAsia="zh-CN"/>
        </w:rPr>
        <w:t>委派</w:t>
      </w:r>
      <w:r>
        <w:rPr>
          <w:rFonts w:hint="eastAsia" w:ascii="仿宋_GB2312" w:eastAsia="仿宋_GB2312"/>
          <w:sz w:val="28"/>
          <w:szCs w:val="28"/>
          <w:u w:val="single"/>
          <w:lang w:val="en-US" w:eastAsia="zh-CN"/>
        </w:rPr>
        <w:t xml:space="preserve"> （联系人）   </w:t>
      </w:r>
      <w:r>
        <w:rPr>
          <w:rFonts w:hint="eastAsia" w:ascii="仿宋_GB2312" w:eastAsia="仿宋_GB2312"/>
          <w:sz w:val="28"/>
          <w:szCs w:val="28"/>
          <w:u w:val="none"/>
          <w:lang w:val="en-US" w:eastAsia="zh-CN"/>
        </w:rPr>
        <w:t>，联系方式</w:t>
      </w:r>
      <w:r>
        <w:rPr>
          <w:rFonts w:hint="eastAsia" w:ascii="仿宋_GB2312" w:eastAsia="仿宋_GB2312"/>
          <w:sz w:val="28"/>
          <w:szCs w:val="28"/>
          <w:u w:val="single"/>
          <w:lang w:val="en-US" w:eastAsia="zh-CN"/>
        </w:rPr>
        <w:t xml:space="preserve">                 </w:t>
      </w:r>
      <w:r>
        <w:rPr>
          <w:rFonts w:hint="eastAsia" w:ascii="仿宋" w:hAnsi="仿宋" w:eastAsia="仿宋" w:cs="仿宋"/>
          <w:sz w:val="30"/>
          <w:szCs w:val="30"/>
        </w:rPr>
        <w:t>，参加</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绍兴市再生能源发展有限公司 </w:t>
      </w:r>
      <w:r>
        <w:rPr>
          <w:rFonts w:hint="eastAsia" w:ascii="仿宋" w:hAnsi="仿宋" w:eastAsia="仿宋" w:cs="仿宋"/>
          <w:sz w:val="30"/>
          <w:szCs w:val="30"/>
          <w:u w:val="none"/>
          <w:lang w:val="en-US" w:eastAsia="zh-CN"/>
        </w:rPr>
        <w:t>项目。</w:t>
      </w:r>
    </w:p>
    <w:tbl>
      <w:tblPr>
        <w:tblStyle w:val="13"/>
        <w:tblW w:w="5060" w:type="pct"/>
        <w:jc w:val="center"/>
        <w:tblLayout w:type="fixed"/>
        <w:tblCellMar>
          <w:top w:w="0" w:type="dxa"/>
          <w:left w:w="108" w:type="dxa"/>
          <w:bottom w:w="0" w:type="dxa"/>
          <w:right w:w="108" w:type="dxa"/>
        </w:tblCellMar>
      </w:tblPr>
      <w:tblGrid>
        <w:gridCol w:w="557"/>
        <w:gridCol w:w="1659"/>
        <w:gridCol w:w="2071"/>
        <w:gridCol w:w="594"/>
        <w:gridCol w:w="605"/>
        <w:gridCol w:w="950"/>
        <w:gridCol w:w="950"/>
        <w:gridCol w:w="951"/>
        <w:gridCol w:w="1064"/>
      </w:tblGrid>
      <w:tr>
        <w:tblPrEx>
          <w:tblCellMar>
            <w:top w:w="0" w:type="dxa"/>
            <w:left w:w="108" w:type="dxa"/>
            <w:bottom w:w="0" w:type="dxa"/>
            <w:right w:w="108" w:type="dxa"/>
          </w:tblCellMar>
        </w:tblPrEx>
        <w:trPr>
          <w:trHeight w:val="467" w:hRule="atLeast"/>
          <w:jc w:val="center"/>
        </w:trPr>
        <w:tc>
          <w:tcPr>
            <w:tcW w:w="5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16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产品名称</w:t>
            </w:r>
          </w:p>
        </w:tc>
        <w:tc>
          <w:tcPr>
            <w:tcW w:w="20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型号规格</w:t>
            </w:r>
          </w:p>
        </w:tc>
        <w:tc>
          <w:tcPr>
            <w:tcW w:w="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数量</w:t>
            </w:r>
          </w:p>
        </w:tc>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单位</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单价</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金额</w:t>
            </w:r>
          </w:p>
        </w:tc>
        <w:tc>
          <w:tcPr>
            <w:tcW w:w="95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品牌</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限价（单价）</w:t>
            </w:r>
          </w:p>
        </w:tc>
      </w:tr>
      <w:tr>
        <w:tblPrEx>
          <w:tblCellMar>
            <w:top w:w="0" w:type="dxa"/>
            <w:left w:w="108" w:type="dxa"/>
            <w:bottom w:w="0" w:type="dxa"/>
            <w:right w:w="108" w:type="dxa"/>
          </w:tblCellMar>
        </w:tblPrEx>
        <w:trPr>
          <w:trHeight w:val="532" w:hRule="atLeast"/>
          <w:jc w:val="center"/>
        </w:trPr>
        <w:tc>
          <w:tcPr>
            <w:tcW w:w="5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转换开关</w:t>
            </w:r>
          </w:p>
        </w:tc>
        <w:tc>
          <w:tcPr>
            <w:tcW w:w="2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带灯LA160-22A-3-11DN</w:t>
            </w:r>
          </w:p>
        </w:tc>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auto"/>
                <w:kern w:val="0"/>
                <w:sz w:val="24"/>
                <w:szCs w:val="24"/>
                <w:highlight w:val="none"/>
                <w:u w:val="none"/>
                <w:lang w:val="en-US" w:eastAsia="zh-CN" w:bidi="ar"/>
              </w:rPr>
              <w:t>19</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只</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15</w:t>
            </w:r>
          </w:p>
        </w:tc>
      </w:tr>
      <w:tr>
        <w:tblPrEx>
          <w:tblCellMar>
            <w:top w:w="0" w:type="dxa"/>
            <w:left w:w="108" w:type="dxa"/>
            <w:bottom w:w="0" w:type="dxa"/>
            <w:right w:w="108" w:type="dxa"/>
          </w:tblCellMar>
        </w:tblPrEx>
        <w:trPr>
          <w:trHeight w:val="532" w:hRule="atLeast"/>
          <w:jc w:val="center"/>
        </w:trPr>
        <w:tc>
          <w:tcPr>
            <w:tcW w:w="5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漏电开关</w:t>
            </w:r>
          </w:p>
        </w:tc>
        <w:tc>
          <w:tcPr>
            <w:tcW w:w="2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EA9RN2C3230CA</w:t>
            </w:r>
          </w:p>
        </w:tc>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auto"/>
                <w:kern w:val="0"/>
                <w:sz w:val="24"/>
                <w:szCs w:val="24"/>
                <w:highlight w:val="none"/>
                <w:u w:val="none"/>
                <w:lang w:val="en-US" w:eastAsia="zh-CN" w:bidi="ar"/>
              </w:rPr>
              <w:t>8</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只</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150</w:t>
            </w:r>
          </w:p>
        </w:tc>
      </w:tr>
      <w:tr>
        <w:tblPrEx>
          <w:tblCellMar>
            <w:top w:w="0" w:type="dxa"/>
            <w:left w:w="108" w:type="dxa"/>
            <w:bottom w:w="0" w:type="dxa"/>
            <w:right w:w="108" w:type="dxa"/>
          </w:tblCellMar>
        </w:tblPrEx>
        <w:trPr>
          <w:trHeight w:val="532" w:hRule="atLeast"/>
          <w:jc w:val="center"/>
        </w:trPr>
        <w:tc>
          <w:tcPr>
            <w:tcW w:w="5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接触器</w:t>
            </w:r>
          </w:p>
        </w:tc>
        <w:tc>
          <w:tcPr>
            <w:tcW w:w="2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3RT2015-2BB41</w:t>
            </w:r>
          </w:p>
        </w:tc>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auto"/>
                <w:kern w:val="0"/>
                <w:sz w:val="24"/>
                <w:szCs w:val="24"/>
                <w:highlight w:val="none"/>
                <w:u w:val="none"/>
                <w:lang w:val="en-US" w:eastAsia="zh-CN" w:bidi="ar"/>
              </w:rPr>
              <w:t>5</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只</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300</w:t>
            </w:r>
          </w:p>
        </w:tc>
      </w:tr>
      <w:tr>
        <w:tblPrEx>
          <w:tblCellMar>
            <w:top w:w="0" w:type="dxa"/>
            <w:left w:w="108" w:type="dxa"/>
            <w:bottom w:w="0" w:type="dxa"/>
            <w:right w:w="108" w:type="dxa"/>
          </w:tblCellMar>
        </w:tblPrEx>
        <w:trPr>
          <w:trHeight w:val="532" w:hRule="atLeast"/>
          <w:jc w:val="center"/>
        </w:trPr>
        <w:tc>
          <w:tcPr>
            <w:tcW w:w="5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接触器</w:t>
            </w:r>
          </w:p>
        </w:tc>
        <w:tc>
          <w:tcPr>
            <w:tcW w:w="2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3RT2016-2BB41</w:t>
            </w:r>
          </w:p>
        </w:tc>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auto"/>
                <w:kern w:val="0"/>
                <w:sz w:val="24"/>
                <w:szCs w:val="24"/>
                <w:highlight w:val="none"/>
                <w:u w:val="none"/>
                <w:lang w:val="en-US" w:eastAsia="zh-CN" w:bidi="ar"/>
              </w:rPr>
              <w:t>5</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只</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320</w:t>
            </w:r>
          </w:p>
        </w:tc>
      </w:tr>
      <w:tr>
        <w:tblPrEx>
          <w:tblCellMar>
            <w:top w:w="0" w:type="dxa"/>
            <w:left w:w="108" w:type="dxa"/>
            <w:bottom w:w="0" w:type="dxa"/>
            <w:right w:w="108" w:type="dxa"/>
          </w:tblCellMar>
        </w:tblPrEx>
        <w:trPr>
          <w:trHeight w:val="532" w:hRule="atLeast"/>
          <w:jc w:val="center"/>
        </w:trPr>
        <w:tc>
          <w:tcPr>
            <w:tcW w:w="5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防爆立杆灯</w:t>
            </w:r>
          </w:p>
        </w:tc>
        <w:tc>
          <w:tcPr>
            <w:tcW w:w="2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2.5米 400W</w:t>
            </w:r>
          </w:p>
        </w:tc>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auto"/>
                <w:kern w:val="0"/>
                <w:sz w:val="24"/>
                <w:szCs w:val="24"/>
                <w:highlight w:val="none"/>
                <w:u w:val="none"/>
                <w:lang w:val="en-US" w:eastAsia="zh-CN" w:bidi="ar"/>
              </w:rPr>
              <w:t>30</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只</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1200</w:t>
            </w:r>
          </w:p>
        </w:tc>
      </w:tr>
      <w:tr>
        <w:tblPrEx>
          <w:tblCellMar>
            <w:top w:w="0" w:type="dxa"/>
            <w:left w:w="108" w:type="dxa"/>
            <w:bottom w:w="0" w:type="dxa"/>
            <w:right w:w="108" w:type="dxa"/>
          </w:tblCellMar>
        </w:tblPrEx>
        <w:trPr>
          <w:trHeight w:val="532" w:hRule="atLeast"/>
          <w:jc w:val="center"/>
        </w:trPr>
        <w:tc>
          <w:tcPr>
            <w:tcW w:w="5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LED方形防爆灯</w:t>
            </w:r>
          </w:p>
        </w:tc>
        <w:tc>
          <w:tcPr>
            <w:tcW w:w="2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27*35 200W</w:t>
            </w:r>
          </w:p>
        </w:tc>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auto"/>
                <w:kern w:val="0"/>
                <w:sz w:val="24"/>
                <w:szCs w:val="24"/>
                <w:highlight w:val="none"/>
                <w:u w:val="none"/>
                <w:lang w:val="en-US" w:eastAsia="zh-CN" w:bidi="ar"/>
              </w:rPr>
              <w:t>20</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个</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510</w:t>
            </w:r>
          </w:p>
        </w:tc>
      </w:tr>
      <w:tr>
        <w:tblPrEx>
          <w:tblCellMar>
            <w:top w:w="0" w:type="dxa"/>
            <w:left w:w="108" w:type="dxa"/>
            <w:bottom w:w="0" w:type="dxa"/>
            <w:right w:w="108" w:type="dxa"/>
          </w:tblCellMar>
        </w:tblPrEx>
        <w:trPr>
          <w:trHeight w:val="532" w:hRule="atLeast"/>
          <w:jc w:val="center"/>
        </w:trPr>
        <w:tc>
          <w:tcPr>
            <w:tcW w:w="5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7</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LED圆形防爆灯</w:t>
            </w:r>
          </w:p>
        </w:tc>
        <w:tc>
          <w:tcPr>
            <w:tcW w:w="2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飞碟形，直杆 200W</w:t>
            </w:r>
          </w:p>
        </w:tc>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auto"/>
                <w:kern w:val="0"/>
                <w:sz w:val="24"/>
                <w:szCs w:val="24"/>
                <w:highlight w:val="none"/>
                <w:u w:val="none"/>
                <w:lang w:val="en-US" w:eastAsia="zh-CN" w:bidi="ar"/>
              </w:rPr>
              <w:t>15</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个</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450</w:t>
            </w:r>
          </w:p>
        </w:tc>
      </w:tr>
      <w:tr>
        <w:tblPrEx>
          <w:tblCellMar>
            <w:top w:w="0" w:type="dxa"/>
            <w:left w:w="108" w:type="dxa"/>
            <w:bottom w:w="0" w:type="dxa"/>
            <w:right w:w="108" w:type="dxa"/>
          </w:tblCellMar>
        </w:tblPrEx>
        <w:trPr>
          <w:trHeight w:val="532" w:hRule="atLeast"/>
          <w:jc w:val="center"/>
        </w:trPr>
        <w:tc>
          <w:tcPr>
            <w:tcW w:w="5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8</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欧普LED灯板</w:t>
            </w:r>
          </w:p>
        </w:tc>
        <w:tc>
          <w:tcPr>
            <w:tcW w:w="2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方形24W</w:t>
            </w:r>
          </w:p>
        </w:tc>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auto"/>
                <w:kern w:val="0"/>
                <w:sz w:val="24"/>
                <w:szCs w:val="24"/>
                <w:highlight w:val="none"/>
                <w:u w:val="none"/>
                <w:lang w:val="en-US" w:eastAsia="zh-CN" w:bidi="ar"/>
              </w:rPr>
              <w:t>50</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只</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35</w:t>
            </w:r>
          </w:p>
        </w:tc>
      </w:tr>
      <w:tr>
        <w:tblPrEx>
          <w:tblCellMar>
            <w:top w:w="0" w:type="dxa"/>
            <w:left w:w="108" w:type="dxa"/>
            <w:bottom w:w="0" w:type="dxa"/>
            <w:right w:w="108" w:type="dxa"/>
          </w:tblCellMar>
        </w:tblPrEx>
        <w:trPr>
          <w:trHeight w:val="532" w:hRule="atLeast"/>
          <w:jc w:val="center"/>
        </w:trPr>
        <w:tc>
          <w:tcPr>
            <w:tcW w:w="5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9</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浮球开关</w:t>
            </w:r>
          </w:p>
        </w:tc>
        <w:tc>
          <w:tcPr>
            <w:tcW w:w="2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UK221</w:t>
            </w:r>
          </w:p>
        </w:tc>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auto"/>
                <w:kern w:val="0"/>
                <w:sz w:val="24"/>
                <w:szCs w:val="24"/>
                <w:highlight w:val="none"/>
                <w:u w:val="none"/>
                <w:lang w:val="en-US" w:eastAsia="zh-CN" w:bidi="ar"/>
              </w:rPr>
              <w:t>15</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只</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75</w:t>
            </w:r>
          </w:p>
        </w:tc>
      </w:tr>
      <w:tr>
        <w:tblPrEx>
          <w:tblCellMar>
            <w:top w:w="0" w:type="dxa"/>
            <w:left w:w="108" w:type="dxa"/>
            <w:bottom w:w="0" w:type="dxa"/>
            <w:right w:w="108" w:type="dxa"/>
          </w:tblCellMar>
        </w:tblPrEx>
        <w:trPr>
          <w:trHeight w:val="532" w:hRule="atLeast"/>
          <w:jc w:val="center"/>
        </w:trPr>
        <w:tc>
          <w:tcPr>
            <w:tcW w:w="5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10</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散热风扇</w:t>
            </w:r>
          </w:p>
        </w:tc>
        <w:tc>
          <w:tcPr>
            <w:tcW w:w="2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6314HR</w:t>
            </w:r>
          </w:p>
        </w:tc>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auto"/>
                <w:kern w:val="0"/>
                <w:sz w:val="24"/>
                <w:szCs w:val="24"/>
                <w:highlight w:val="none"/>
                <w:u w:val="none"/>
                <w:lang w:val="en-US" w:eastAsia="zh-CN" w:bidi="ar"/>
              </w:rPr>
              <w:t>6</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只</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120</w:t>
            </w:r>
          </w:p>
        </w:tc>
      </w:tr>
      <w:tr>
        <w:tblPrEx>
          <w:tblCellMar>
            <w:top w:w="0" w:type="dxa"/>
            <w:left w:w="108" w:type="dxa"/>
            <w:bottom w:w="0" w:type="dxa"/>
            <w:right w:w="108" w:type="dxa"/>
          </w:tblCellMar>
        </w:tblPrEx>
        <w:trPr>
          <w:trHeight w:val="532" w:hRule="atLeast"/>
          <w:jc w:val="center"/>
        </w:trPr>
        <w:tc>
          <w:tcPr>
            <w:tcW w:w="5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11</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轴流风机</w:t>
            </w:r>
          </w:p>
        </w:tc>
        <w:tc>
          <w:tcPr>
            <w:tcW w:w="2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SJ1725HA2</w:t>
            </w:r>
          </w:p>
        </w:tc>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auto"/>
                <w:kern w:val="0"/>
                <w:sz w:val="24"/>
                <w:szCs w:val="24"/>
                <w:highlight w:val="none"/>
                <w:u w:val="none"/>
                <w:lang w:val="en-US" w:eastAsia="zh-CN" w:bidi="ar"/>
              </w:rPr>
              <w:t>8</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只</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120</w:t>
            </w:r>
          </w:p>
        </w:tc>
      </w:tr>
      <w:tr>
        <w:tblPrEx>
          <w:tblCellMar>
            <w:top w:w="0" w:type="dxa"/>
            <w:left w:w="108" w:type="dxa"/>
            <w:bottom w:w="0" w:type="dxa"/>
            <w:right w:w="108" w:type="dxa"/>
          </w:tblCellMar>
        </w:tblPrEx>
        <w:trPr>
          <w:trHeight w:val="532" w:hRule="atLeast"/>
          <w:jc w:val="center"/>
        </w:trPr>
        <w:tc>
          <w:tcPr>
            <w:tcW w:w="5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12</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轴流风机</w:t>
            </w:r>
          </w:p>
        </w:tc>
        <w:tc>
          <w:tcPr>
            <w:tcW w:w="2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3-2 单相</w:t>
            </w:r>
          </w:p>
        </w:tc>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auto"/>
                <w:kern w:val="0"/>
                <w:sz w:val="24"/>
                <w:szCs w:val="24"/>
                <w:highlight w:val="none"/>
                <w:u w:val="none"/>
                <w:lang w:val="en-US" w:eastAsia="zh-CN" w:bidi="ar"/>
              </w:rPr>
              <w:t>4</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台</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300</w:t>
            </w:r>
          </w:p>
        </w:tc>
      </w:tr>
      <w:tr>
        <w:tblPrEx>
          <w:tblCellMar>
            <w:top w:w="0" w:type="dxa"/>
            <w:left w:w="108" w:type="dxa"/>
            <w:bottom w:w="0" w:type="dxa"/>
            <w:right w:w="108" w:type="dxa"/>
          </w:tblCellMar>
        </w:tblPrEx>
        <w:trPr>
          <w:trHeight w:val="532" w:hRule="atLeast"/>
          <w:jc w:val="center"/>
        </w:trPr>
        <w:tc>
          <w:tcPr>
            <w:tcW w:w="5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13</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碳刷</w:t>
            </w:r>
          </w:p>
        </w:tc>
        <w:tc>
          <w:tcPr>
            <w:tcW w:w="2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J164/45*16*40</w:t>
            </w:r>
          </w:p>
        </w:tc>
        <w:tc>
          <w:tcPr>
            <w:tcW w:w="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auto"/>
                <w:kern w:val="0"/>
                <w:sz w:val="24"/>
                <w:szCs w:val="24"/>
                <w:highlight w:val="none"/>
                <w:u w:val="none"/>
                <w:lang w:val="en-US" w:eastAsia="zh-CN" w:bidi="ar"/>
              </w:rPr>
              <w:t>8</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只</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130</w:t>
            </w:r>
          </w:p>
        </w:tc>
      </w:tr>
    </w:tbl>
    <w:p>
      <w:pPr>
        <w:pStyle w:val="12"/>
        <w:rPr>
          <w:rFonts w:hint="eastAsia"/>
        </w:rPr>
      </w:pPr>
    </w:p>
    <w:p>
      <w:pPr>
        <w:pStyle w:val="10"/>
        <w:jc w:val="center"/>
        <w:rPr>
          <w:rFonts w:hint="eastAsia" w:ascii="仿宋" w:hAnsi="仿宋" w:eastAsia="仿宋" w:cs="仿宋"/>
          <w:b w:val="0"/>
          <w:bCs w:val="0"/>
          <w:color w:val="auto"/>
        </w:rPr>
      </w:pPr>
    </w:p>
    <w:p>
      <w:pPr>
        <w:pStyle w:val="10"/>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报价如下：（</w:t>
      </w:r>
      <w:r>
        <w:rPr>
          <w:rFonts w:hint="eastAsia" w:ascii="仿宋" w:hAnsi="仿宋" w:eastAsia="仿宋" w:cs="仿宋"/>
          <w:sz w:val="30"/>
          <w:szCs w:val="30"/>
          <w:lang w:eastAsia="zh-CN"/>
        </w:rPr>
        <w:t>总金额</w:t>
      </w:r>
      <w:r>
        <w:rPr>
          <w:rFonts w:hint="eastAsia" w:ascii="仿宋" w:hAnsi="仿宋" w:eastAsia="仿宋" w:cs="仿宋"/>
          <w:sz w:val="30"/>
          <w:szCs w:val="30"/>
        </w:rPr>
        <w:t>：</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元，税率为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eastAsia="zh-CN"/>
        </w:rPr>
        <w:t>付款方式：</w:t>
      </w:r>
      <w:r>
        <w:rPr>
          <w:rFonts w:hint="eastAsia" w:ascii="仿宋" w:hAnsi="仿宋" w:eastAsia="仿宋" w:cs="仿宋"/>
          <w:color w:val="auto"/>
          <w:kern w:val="2"/>
          <w:sz w:val="30"/>
          <w:szCs w:val="30"/>
          <w:lang w:val="en-US" w:eastAsia="zh-CN"/>
        </w:rPr>
        <w:t>送货完成后，中标</w:t>
      </w:r>
      <w:r>
        <w:rPr>
          <w:rFonts w:hint="eastAsia" w:ascii="仿宋" w:hAnsi="仿宋" w:eastAsia="仿宋" w:cs="仿宋"/>
          <w:color w:val="auto"/>
          <w:kern w:val="2"/>
          <w:sz w:val="30"/>
          <w:szCs w:val="30"/>
        </w:rPr>
        <w:t>人提供经双方确认的送货清单及增值税专用发票，采购人自收到准确清单和发票后，</w:t>
      </w:r>
      <w:r>
        <w:rPr>
          <w:rFonts w:hint="eastAsia" w:ascii="仿宋" w:hAnsi="仿宋" w:eastAsia="仿宋" w:cs="仿宋"/>
          <w:color w:val="auto"/>
          <w:kern w:val="2"/>
          <w:sz w:val="30"/>
          <w:szCs w:val="30"/>
          <w:lang w:val="en-US" w:eastAsia="zh-CN"/>
        </w:rPr>
        <w:t>于次二月</w:t>
      </w:r>
      <w:r>
        <w:rPr>
          <w:rFonts w:hint="eastAsia" w:ascii="仿宋" w:hAnsi="仿宋" w:eastAsia="仿宋" w:cs="仿宋"/>
          <w:color w:val="auto"/>
          <w:kern w:val="2"/>
          <w:sz w:val="30"/>
          <w:szCs w:val="30"/>
        </w:rPr>
        <w:t>完成货款支付。</w:t>
      </w:r>
      <w:r>
        <w:rPr>
          <w:rFonts w:hint="eastAsia" w:ascii="仿宋" w:hAnsi="仿宋" w:eastAsia="仿宋" w:cs="仿宋"/>
          <w:color w:val="auto"/>
          <w:kern w:val="2"/>
          <w:sz w:val="30"/>
          <w:szCs w:val="30"/>
          <w:lang w:eastAsia="zh-CN"/>
        </w:rPr>
        <w:t>中标人需提供一年质保，其履约保证金（合同价的</w:t>
      </w:r>
      <w:r>
        <w:rPr>
          <w:rFonts w:hint="eastAsia" w:ascii="仿宋" w:hAnsi="仿宋" w:eastAsia="仿宋" w:cs="仿宋"/>
          <w:color w:val="auto"/>
          <w:kern w:val="2"/>
          <w:sz w:val="30"/>
          <w:szCs w:val="30"/>
          <w:lang w:val="en-US" w:eastAsia="zh-CN"/>
        </w:rPr>
        <w:t>5%</w:t>
      </w:r>
      <w:r>
        <w:rPr>
          <w:rFonts w:hint="eastAsia" w:ascii="仿宋" w:hAnsi="仿宋" w:eastAsia="仿宋" w:cs="仿宋"/>
          <w:color w:val="auto"/>
          <w:kern w:val="2"/>
          <w:sz w:val="30"/>
          <w:szCs w:val="30"/>
          <w:lang w:eastAsia="zh-CN"/>
        </w:rPr>
        <w:t>）到时自动转为质保金，于质保期到期后支付，质保期从验收之日起计算</w:t>
      </w:r>
      <w:r>
        <w:rPr>
          <w:rFonts w:hint="eastAsia" w:ascii="仿宋" w:hAnsi="仿宋" w:eastAsia="仿宋" w:cs="仿宋"/>
          <w:color w:val="auto"/>
          <w:kern w:val="2"/>
          <w:sz w:val="30"/>
          <w:szCs w:val="30"/>
          <w:highlight w:val="none"/>
        </w:rPr>
        <w:t>。</w:t>
      </w:r>
      <w:r>
        <w:rPr>
          <w:rFonts w:hint="eastAsia" w:ascii="仿宋_GB2312" w:eastAsia="仿宋_GB2312"/>
          <w:color w:val="auto"/>
          <w:kern w:val="2"/>
          <w:sz w:val="30"/>
          <w:szCs w:val="30"/>
          <w:highlight w:val="none"/>
          <w:lang w:eastAsia="zh-CN"/>
        </w:rPr>
        <w:t>【禁止擅自修改付款条件，未满足该条件则视为无效投标】</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相关要求：1、</w:t>
      </w:r>
      <w:r>
        <w:rPr>
          <w:rFonts w:hint="eastAsia" w:ascii="仿宋" w:hAnsi="仿宋" w:eastAsia="仿宋" w:cs="仿宋"/>
          <w:sz w:val="30"/>
          <w:szCs w:val="30"/>
        </w:rPr>
        <w:t>本项目采购总金额限价为</w:t>
      </w:r>
      <w:r>
        <w:rPr>
          <w:rFonts w:hint="eastAsia" w:ascii="仿宋" w:hAnsi="仿宋" w:eastAsia="仿宋" w:cs="仿宋"/>
          <w:sz w:val="30"/>
          <w:szCs w:val="30"/>
          <w:lang w:eastAsia="zh-CN"/>
        </w:rPr>
        <w:t>人民币</w:t>
      </w:r>
      <w:r>
        <w:rPr>
          <w:rFonts w:hint="eastAsia" w:ascii="仿宋" w:hAnsi="仿宋" w:eastAsia="仿宋" w:cs="仿宋"/>
          <w:sz w:val="30"/>
          <w:szCs w:val="30"/>
          <w:lang w:val="en-US" w:eastAsia="zh-CN"/>
        </w:rPr>
        <w:t>陆万伍仟</w:t>
      </w:r>
      <w:r>
        <w:rPr>
          <w:rFonts w:hint="eastAsia" w:ascii="仿宋" w:hAnsi="仿宋" w:eastAsia="仿宋" w:cs="仿宋"/>
          <w:sz w:val="30"/>
          <w:szCs w:val="30"/>
        </w:rPr>
        <w:t>元</w:t>
      </w:r>
      <w:r>
        <w:rPr>
          <w:rFonts w:hint="eastAsia" w:ascii="仿宋" w:hAnsi="仿宋" w:eastAsia="仿宋" w:cs="仿宋"/>
          <w:sz w:val="30"/>
          <w:szCs w:val="30"/>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FF0000"/>
          <w:sz w:val="30"/>
          <w:szCs w:val="30"/>
          <w:lang w:val="en-US" w:eastAsia="zh-CN"/>
        </w:rPr>
      </w:pPr>
      <w:r>
        <w:rPr>
          <w:rFonts w:hint="eastAsia" w:ascii="仿宋" w:hAnsi="仿宋" w:eastAsia="仿宋" w:cs="仿宋"/>
          <w:sz w:val="30"/>
          <w:szCs w:val="30"/>
          <w:lang w:val="en-US" w:eastAsia="zh-CN"/>
        </w:rPr>
        <w:t>2、</w:t>
      </w:r>
      <w:r>
        <w:rPr>
          <w:rFonts w:hint="eastAsia" w:ascii="仿宋" w:hAnsi="仿宋" w:eastAsia="仿宋" w:cs="仿宋"/>
          <w:color w:val="FF0000"/>
          <w:sz w:val="30"/>
          <w:szCs w:val="30"/>
          <w:lang w:val="en-US" w:eastAsia="zh-CN"/>
        </w:rPr>
        <w:t>该采购项目履约保证金为合同价的5%。中标人于合同签订前将履约保证金打入招标人指定账户。合同履行完成后，履约保证金转为质保金。质保期满后，招标人退还质保金（无息）。</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default" w:ascii="仿宋" w:hAnsi="仿宋" w:eastAsia="仿宋" w:cs="仿宋"/>
          <w:color w:val="FF0000"/>
          <w:sz w:val="30"/>
          <w:szCs w:val="30"/>
          <w:lang w:val="en-US" w:eastAsia="zh-CN"/>
        </w:rPr>
      </w:pPr>
      <w:r>
        <w:rPr>
          <w:rFonts w:hint="eastAsia" w:ascii="仿宋" w:hAnsi="仿宋" w:eastAsia="仿宋" w:cs="仿宋"/>
          <w:color w:val="FF0000"/>
          <w:sz w:val="30"/>
          <w:szCs w:val="30"/>
          <w:lang w:val="en-US" w:eastAsia="zh-CN"/>
        </w:rPr>
        <w:t>3、中标人在合同履行期间出现违约行为，招标人可扣除相应履约保证金/质保金，并向中标人追究相应经济损失。</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color w:val="FF0000"/>
          <w:sz w:val="30"/>
          <w:szCs w:val="30"/>
          <w:lang w:val="en-US" w:eastAsia="zh-CN"/>
        </w:rPr>
        <w:t>4、预成交公示结束后，中标人在收到招标人拟订合同（所中标项目）电子版本后，确认无误并签署盖章，2天内邮寄给招标人。合同上的签订时间与招标人实际收到合同时间原则上不超过5天。否则视为中标人自动放弃，招标人有权解除合同。</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24"/>
          <w:szCs w:val="24"/>
        </w:rPr>
      </w:pPr>
      <w:r>
        <w:rPr>
          <w:rFonts w:hint="eastAsia" w:ascii="仿宋" w:hAnsi="仿宋" w:eastAsia="仿宋" w:cs="仿宋"/>
          <w:sz w:val="30"/>
          <w:szCs w:val="30"/>
          <w:lang w:val="en-US" w:eastAsia="zh-CN"/>
        </w:rPr>
        <w:t>5、以上总价应为含税全包价，包括运费、税费等一切费用，发票必须为增值税专用发票。</w:t>
      </w:r>
      <w:r>
        <w:rPr>
          <w:rFonts w:hint="eastAsia" w:ascii="仿宋" w:hAnsi="仿宋" w:eastAsia="仿宋" w:cs="仿宋"/>
          <w:sz w:val="30"/>
          <w:szCs w:val="30"/>
        </w:rPr>
        <w:tab/>
      </w:r>
      <w:r>
        <w:rPr>
          <w:rFonts w:hint="eastAsia" w:ascii="仿宋" w:hAnsi="仿宋" w:eastAsia="仿宋" w:cs="仿宋"/>
          <w:sz w:val="30"/>
          <w:szCs w:val="30"/>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p>
      <w:pPr>
        <w:snapToGrid w:val="0"/>
        <w:ind w:firstLine="480" w:firstLineChars="200"/>
        <w:jc w:val="right"/>
        <w:rPr>
          <w:rFonts w:hint="eastAsia" w:ascii="仿宋" w:hAnsi="仿宋" w:eastAsia="仿宋" w:cs="仿宋"/>
          <w:sz w:val="24"/>
          <w:szCs w:val="24"/>
        </w:rPr>
      </w:pPr>
    </w:p>
    <w:p>
      <w:pPr>
        <w:snapToGrid w:val="0"/>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报价单位名称（公章）：</w:t>
      </w:r>
    </w:p>
    <w:p>
      <w:pPr>
        <w:snapToGrid w:val="0"/>
        <w:ind w:firstLine="480" w:firstLineChars="200"/>
        <w:jc w:val="right"/>
        <w:rPr>
          <w:rFonts w:hint="eastAsia" w:ascii="仿宋" w:hAnsi="仿宋" w:eastAsia="仿宋" w:cs="仿宋"/>
          <w:sz w:val="24"/>
          <w:szCs w:val="24"/>
        </w:rPr>
        <w:sectPr>
          <w:pgSz w:w="11906" w:h="16838"/>
          <w:pgMar w:top="1134" w:right="1417" w:bottom="1701" w:left="1417" w:header="851" w:footer="992" w:gutter="0"/>
          <w:cols w:space="0" w:num="1"/>
          <w:rtlGutter w:val="0"/>
          <w:docGrid w:linePitch="312" w:charSpace="0"/>
        </w:sectPr>
      </w:pP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 xml:space="preserve">           </w:t>
      </w:r>
      <w:r>
        <w:rPr>
          <w:rFonts w:hint="default" w:ascii="仿宋" w:hAnsi="仿宋" w:eastAsia="仿宋" w:cs="仿宋"/>
          <w:sz w:val="24"/>
          <w:szCs w:val="24"/>
          <w:lang w:val="en-US"/>
        </w:rPr>
        <w:t>202</w:t>
      </w:r>
      <w:r>
        <w:rPr>
          <w:rFonts w:hint="eastAsia" w:ascii="仿宋" w:hAnsi="仿宋" w:eastAsia="仿宋" w:cs="仿宋"/>
          <w:sz w:val="24"/>
          <w:szCs w:val="24"/>
          <w:lang w:val="en-US" w:eastAsia="zh-CN"/>
        </w:rPr>
        <w:t>4</w:t>
      </w:r>
      <w:r>
        <w:rPr>
          <w:rFonts w:hint="default" w:ascii="仿宋" w:hAnsi="仿宋" w:eastAsia="仿宋" w:cs="仿宋"/>
          <w:sz w:val="24"/>
          <w:szCs w:val="24"/>
          <w:lang w:val="en-US"/>
        </w:rPr>
        <w:t>年</w:t>
      </w:r>
      <w:r>
        <w:rPr>
          <w:rFonts w:hint="eastAsia" w:ascii="仿宋" w:hAnsi="仿宋" w:eastAsia="仿宋" w:cs="仿宋"/>
          <w:sz w:val="24"/>
          <w:szCs w:val="24"/>
        </w:rPr>
        <w:t xml:space="preserve"> 月 日</w:t>
      </w:r>
    </w:p>
    <w:p>
      <w:pPr>
        <w:spacing w:line="480" w:lineRule="auto"/>
        <w:jc w:val="left"/>
        <w:outlineLvl w:val="0"/>
        <w:rPr>
          <w:rFonts w:hint="eastAsia" w:ascii="仿宋" w:hAnsi="仿宋" w:eastAsia="仿宋" w:cs="仿宋"/>
          <w:b/>
          <w:spacing w:val="-2"/>
          <w:sz w:val="30"/>
        </w:rPr>
      </w:pPr>
      <w:bookmarkStart w:id="17" w:name="_Toc108839328"/>
      <w:bookmarkStart w:id="18" w:name="_Toc103165678"/>
      <w:bookmarkStart w:id="19" w:name="_Toc29413"/>
      <w:r>
        <w:rPr>
          <w:rStyle w:val="20"/>
          <w:rFonts w:hint="eastAsia" w:ascii="仿宋" w:hAnsi="仿宋" w:eastAsia="仿宋" w:cs="仿宋"/>
          <w:sz w:val="30"/>
        </w:rPr>
        <w:t>附件</w:t>
      </w:r>
      <w:bookmarkEnd w:id="17"/>
      <w:bookmarkEnd w:id="18"/>
      <w:r>
        <w:rPr>
          <w:rStyle w:val="20"/>
          <w:rFonts w:hint="eastAsia" w:ascii="仿宋" w:hAnsi="仿宋" w:eastAsia="仿宋" w:cs="仿宋"/>
          <w:sz w:val="30"/>
        </w:rPr>
        <w:t>三</w:t>
      </w:r>
      <w:bookmarkEnd w:id="19"/>
    </w:p>
    <w:p>
      <w:pPr>
        <w:snapToGrid w:val="0"/>
        <w:ind w:firstLine="1926" w:firstLineChars="600"/>
        <w:jc w:val="left"/>
        <w:rPr>
          <w:rFonts w:hint="eastAsia" w:ascii="仿宋" w:hAnsi="仿宋" w:eastAsia="仿宋" w:cs="仿宋"/>
          <w:b/>
          <w:spacing w:val="40"/>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spacing w:val="40"/>
          <w:sz w:val="28"/>
          <w:szCs w:val="28"/>
        </w:rPr>
      </w:pPr>
      <w:r>
        <w:rPr>
          <w:rFonts w:hint="eastAsia" w:ascii="仿宋" w:hAnsi="仿宋" w:eastAsia="仿宋" w:cs="仿宋"/>
          <w:b/>
          <w:spacing w:val="40"/>
          <w:sz w:val="28"/>
          <w:szCs w:val="28"/>
        </w:rPr>
        <w:t>服务质量保证承诺函</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eastAsia="zh-CN"/>
        </w:rPr>
        <w:t>绍兴市再生能源发展有限公司</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val="0"/>
        <w:spacing w:line="360" w:lineRule="auto"/>
        <w:ind w:firstLine="840" w:firstLineChars="300"/>
        <w:textAlignment w:val="auto"/>
        <w:rPr>
          <w:rFonts w:hint="eastAsia" w:ascii="仿宋" w:hAnsi="仿宋" w:eastAsia="仿宋" w:cs="仿宋"/>
          <w:sz w:val="28"/>
          <w:szCs w:val="28"/>
        </w:rPr>
      </w:pPr>
      <w:r>
        <w:rPr>
          <w:rFonts w:hint="eastAsia" w:ascii="仿宋" w:hAnsi="仿宋" w:eastAsia="仿宋" w:cs="仿宋"/>
          <w:sz w:val="28"/>
          <w:szCs w:val="28"/>
        </w:rPr>
        <w:t>我公司</w:t>
      </w:r>
      <w:r>
        <w:rPr>
          <w:rFonts w:hint="eastAsia" w:ascii="仿宋" w:hAnsi="仿宋" w:eastAsia="仿宋" w:cs="仿宋"/>
          <w:sz w:val="28"/>
          <w:szCs w:val="28"/>
          <w:u w:val="single"/>
        </w:rPr>
        <w:t xml:space="preserve">    （报价单位名称）    </w:t>
      </w:r>
      <w:r>
        <w:rPr>
          <w:rFonts w:hint="eastAsia" w:ascii="仿宋" w:hAnsi="仿宋" w:eastAsia="仿宋" w:cs="仿宋"/>
          <w:sz w:val="28"/>
          <w:szCs w:val="28"/>
        </w:rPr>
        <w:t>自愿参加</w:t>
      </w:r>
      <w:r>
        <w:rPr>
          <w:rFonts w:hint="eastAsia" w:ascii="仿宋" w:hAnsi="仿宋" w:eastAsia="仿宋" w:cs="仿宋"/>
          <w:sz w:val="28"/>
          <w:szCs w:val="28"/>
          <w:lang w:eastAsia="zh-CN"/>
        </w:rPr>
        <w:t>绍兴市再生能源发展有限公司</w:t>
      </w:r>
      <w:r>
        <w:rPr>
          <w:rFonts w:hint="eastAsia" w:ascii="仿宋" w:hAnsi="仿宋" w:eastAsia="仿宋" w:cs="仿宋"/>
          <w:sz w:val="28"/>
          <w:szCs w:val="28"/>
          <w:u w:val="single"/>
          <w:lang w:val="en-US" w:eastAsia="zh-CN"/>
        </w:rPr>
        <w:t>电气备件</w:t>
      </w:r>
      <w:r>
        <w:rPr>
          <w:rFonts w:hint="eastAsia" w:ascii="仿宋" w:hAnsi="仿宋" w:eastAsia="仿宋" w:cs="仿宋"/>
          <w:sz w:val="28"/>
          <w:szCs w:val="28"/>
          <w:u w:val="single"/>
        </w:rPr>
        <w:t>采购</w:t>
      </w:r>
      <w:r>
        <w:rPr>
          <w:rFonts w:hint="eastAsia" w:ascii="仿宋" w:hAnsi="仿宋" w:eastAsia="仿宋" w:cs="仿宋"/>
          <w:sz w:val="28"/>
          <w:szCs w:val="28"/>
          <w:u w:val="single"/>
          <w:lang w:val="en-US" w:eastAsia="zh-CN"/>
        </w:rPr>
        <w:t>项目</w:t>
      </w:r>
      <w:r>
        <w:rPr>
          <w:rFonts w:hint="eastAsia" w:ascii="仿宋" w:hAnsi="仿宋" w:eastAsia="仿宋" w:cs="仿宋"/>
          <w:sz w:val="28"/>
          <w:szCs w:val="28"/>
        </w:rPr>
        <w:t>询价采购，并作如下承诺：</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60"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我公司所供产品均为原厂生产或正规销售渠道进货。</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60" w:leftChars="0"/>
        <w:textAlignment w:val="auto"/>
        <w:rPr>
          <w:rFonts w:hint="eastAsia" w:ascii="仿宋" w:hAnsi="仿宋" w:eastAsia="仿宋" w:cs="仿宋"/>
          <w:sz w:val="28"/>
          <w:szCs w:val="28"/>
        </w:rPr>
      </w:pPr>
      <w:r>
        <w:rPr>
          <w:rFonts w:hint="eastAsia" w:ascii="仿宋" w:hAnsi="仿宋" w:eastAsia="仿宋" w:cs="仿宋"/>
          <w:sz w:val="28"/>
          <w:szCs w:val="28"/>
        </w:rPr>
        <w:t>2.我公司所供产品如果存在以次充好、陈货杂货、虚假生产日期、逾期供货等情况，愿意承担一切法律责任。</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3.我公司所供产品如果存在任何外包装或内物破损、产品过期等情况，承诺24小时内提供替换产品。</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我公司保证提供采购人要求的全部产品，若提供的产品和采购人要求的不一致，我公司保证于3日内提供生产厂家证明及市场调查证明，说明所提供货物优于采购人要求。若采购人不同意，则我公司愿意承担相关违约责任。</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5.我公司对提供的产品进行质量保证，若因我公司产品质量问题，造成贵公司损失的，我公司承担相应责任。</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480" w:firstLineChars="1600"/>
        <w:textAlignment w:val="auto"/>
        <w:rPr>
          <w:rFonts w:hint="eastAsia" w:ascii="仿宋" w:hAnsi="仿宋" w:eastAsia="仿宋" w:cs="仿宋"/>
          <w:sz w:val="28"/>
          <w:szCs w:val="28"/>
        </w:rPr>
      </w:pPr>
      <w:r>
        <w:rPr>
          <w:rFonts w:hint="eastAsia" w:ascii="仿宋" w:hAnsi="仿宋" w:eastAsia="仿宋" w:cs="仿宋"/>
          <w:sz w:val="28"/>
          <w:szCs w:val="28"/>
        </w:rPr>
        <w:t>报价单位名称（公章）：</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ab/>
      </w:r>
      <w:r>
        <w:rPr>
          <w:rFonts w:hint="eastAsia" w:ascii="仿宋" w:hAnsi="仿宋" w:eastAsia="仿宋" w:cs="仿宋"/>
          <w:sz w:val="28"/>
          <w:szCs w:val="28"/>
        </w:rPr>
        <w:t>二○二</w:t>
      </w:r>
      <w:r>
        <w:rPr>
          <w:rFonts w:hint="eastAsia" w:ascii="仿宋" w:hAnsi="仿宋" w:eastAsia="仿宋" w:cs="仿宋"/>
          <w:sz w:val="28"/>
          <w:szCs w:val="28"/>
          <w:lang w:val="en-US" w:eastAsia="zh-CN"/>
        </w:rPr>
        <w:t>四</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8"/>
          <w:szCs w:val="28"/>
        </w:rPr>
      </w:pPr>
    </w:p>
    <w:p>
      <w:pPr>
        <w:pStyle w:val="12"/>
        <w:ind w:left="0" w:leftChars="0" w:firstLine="0" w:firstLineChars="0"/>
        <w:rPr>
          <w:rFonts w:hint="eastAsia"/>
        </w:rPr>
      </w:pPr>
    </w:p>
    <w:sectPr>
      <w:pgSz w:w="11906" w:h="16838"/>
      <w:pgMar w:top="1701" w:right="1418" w:bottom="1134"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r>
      <w:fldChar w:fldCharType="begin"/>
    </w:r>
    <w:r>
      <w:rPr>
        <w:rStyle w:val="16"/>
      </w:rPr>
      <w:instrText xml:space="preserve">PAGE  </w:instrText>
    </w:r>
    <w:r>
      <w:fldChar w:fldCharType="separate"/>
    </w:r>
    <w:r>
      <w:rPr>
        <w:rStyle w:val="16"/>
      </w:rPr>
      <w:t>10</w:t>
    </w:r>
    <w:r>
      <w:fldChar w:fldCharType="end"/>
    </w:r>
  </w:p>
  <w:p>
    <w:pPr>
      <w:pStyle w:val="8"/>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42CF0"/>
    <w:multiLevelType w:val="singleLevel"/>
    <w:tmpl w:val="82842CF0"/>
    <w:lvl w:ilvl="0" w:tentative="0">
      <w:start w:val="9"/>
      <w:numFmt w:val="chineseCounting"/>
      <w:suff w:val="space"/>
      <w:lvlText w:val="第%1条"/>
      <w:lvlJc w:val="left"/>
      <w:rPr>
        <w:rFonts w:hint="eastAsia"/>
      </w:rPr>
    </w:lvl>
  </w:abstractNum>
  <w:abstractNum w:abstractNumId="1">
    <w:nsid w:val="8C79575F"/>
    <w:multiLevelType w:val="singleLevel"/>
    <w:tmpl w:val="8C79575F"/>
    <w:lvl w:ilvl="0" w:tentative="0">
      <w:start w:val="12"/>
      <w:numFmt w:val="chineseCounting"/>
      <w:suff w:val="space"/>
      <w:lvlText w:val="第%1条"/>
      <w:lvlJc w:val="left"/>
      <w:rPr>
        <w:rFonts w:hint="eastAsia"/>
      </w:rPr>
    </w:lvl>
  </w:abstractNum>
  <w:abstractNum w:abstractNumId="2">
    <w:nsid w:val="BB39A8A5"/>
    <w:multiLevelType w:val="singleLevel"/>
    <w:tmpl w:val="BB39A8A5"/>
    <w:lvl w:ilvl="0" w:tentative="0">
      <w:start w:val="4"/>
      <w:numFmt w:val="chineseCounting"/>
      <w:suff w:val="space"/>
      <w:lvlText w:val="第%1部分"/>
      <w:lvlJc w:val="left"/>
      <w:pPr>
        <w:ind w:left="840"/>
      </w:pPr>
      <w:rPr>
        <w:rFonts w:hint="eastAsia"/>
      </w:rPr>
    </w:lvl>
  </w:abstractNum>
  <w:abstractNum w:abstractNumId="3">
    <w:nsid w:val="00000020"/>
    <w:multiLevelType w:val="multilevel"/>
    <w:tmpl w:val="00000020"/>
    <w:lvl w:ilvl="0" w:tentative="0">
      <w:start w:val="1"/>
      <w:numFmt w:val="decimal"/>
      <w:pStyle w:val="4"/>
      <w:isLgl/>
      <w:lvlText w:val="%1."/>
      <w:lvlJc w:val="left"/>
      <w:pPr>
        <w:tabs>
          <w:tab w:val="left" w:pos="360"/>
        </w:tabs>
        <w:ind w:left="0" w:firstLine="0"/>
      </w:pPr>
      <w:rPr>
        <w:rFonts w:hint="default" w:ascii="Arial" w:hAnsi="Arial"/>
        <w:b/>
        <w:i w:val="0"/>
        <w:sz w:val="32"/>
      </w:rPr>
    </w:lvl>
    <w:lvl w:ilvl="1" w:tentative="0">
      <w:start w:val="1"/>
      <w:numFmt w:val="decimal"/>
      <w:lvlText w:val="%1.%2."/>
      <w:lvlJc w:val="left"/>
      <w:pPr>
        <w:tabs>
          <w:tab w:val="left" w:pos="720"/>
        </w:tabs>
        <w:ind w:left="567" w:hanging="567"/>
      </w:pPr>
      <w:rPr>
        <w:rFonts w:hint="eastAsia"/>
      </w:rPr>
    </w:lvl>
    <w:lvl w:ilvl="2" w:tentative="0">
      <w:start w:val="1"/>
      <w:numFmt w:val="decimal"/>
      <w:lvlText w:val="%1.%2.%3."/>
      <w:lvlJc w:val="left"/>
      <w:pPr>
        <w:tabs>
          <w:tab w:val="left" w:pos="1429"/>
        </w:tabs>
        <w:ind w:left="142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5AF6242"/>
    <w:multiLevelType w:val="singleLevel"/>
    <w:tmpl w:val="05AF6242"/>
    <w:lvl w:ilvl="0" w:tentative="0">
      <w:start w:val="5"/>
      <w:numFmt w:val="chineseCounting"/>
      <w:suff w:val="space"/>
      <w:lvlText w:val="第%1条"/>
      <w:lvlJc w:val="left"/>
      <w:rPr>
        <w:rFonts w:hint="eastAsia"/>
      </w:rPr>
    </w:lvl>
  </w:abstractNum>
  <w:abstractNum w:abstractNumId="5">
    <w:nsid w:val="4CC8527C"/>
    <w:multiLevelType w:val="singleLevel"/>
    <w:tmpl w:val="4CC8527C"/>
    <w:lvl w:ilvl="0" w:tentative="0">
      <w:start w:val="6"/>
      <w:numFmt w:val="chineseCounting"/>
      <w:suff w:val="nothing"/>
      <w:lvlText w:val="%1、"/>
      <w:lvlJc w:val="left"/>
      <w:rPr>
        <w:rFonts w:hint="eastAsia"/>
      </w:r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JhMzY5NTZlMjQ5NzNjMzkwZmE1ZjFmZjcxYmM5YmYifQ=="/>
  </w:docVars>
  <w:rsids>
    <w:rsidRoot w:val="1297576D"/>
    <w:rsid w:val="0029396E"/>
    <w:rsid w:val="003A657B"/>
    <w:rsid w:val="00517D5D"/>
    <w:rsid w:val="005926A3"/>
    <w:rsid w:val="008746A5"/>
    <w:rsid w:val="00B574EC"/>
    <w:rsid w:val="01D22213"/>
    <w:rsid w:val="02834D04"/>
    <w:rsid w:val="038D5656"/>
    <w:rsid w:val="04605697"/>
    <w:rsid w:val="05D22118"/>
    <w:rsid w:val="06057AB3"/>
    <w:rsid w:val="067A3460"/>
    <w:rsid w:val="07464182"/>
    <w:rsid w:val="076328DA"/>
    <w:rsid w:val="08186607"/>
    <w:rsid w:val="083A3947"/>
    <w:rsid w:val="08F93082"/>
    <w:rsid w:val="097479E0"/>
    <w:rsid w:val="0A0C6ADD"/>
    <w:rsid w:val="0A32752C"/>
    <w:rsid w:val="0A9D29B8"/>
    <w:rsid w:val="0B2C6C02"/>
    <w:rsid w:val="0BC12699"/>
    <w:rsid w:val="0BCC31F9"/>
    <w:rsid w:val="0C5A16A4"/>
    <w:rsid w:val="0DC35837"/>
    <w:rsid w:val="0DE61498"/>
    <w:rsid w:val="110C39D4"/>
    <w:rsid w:val="1297576D"/>
    <w:rsid w:val="12BF4C87"/>
    <w:rsid w:val="12E70A09"/>
    <w:rsid w:val="15341747"/>
    <w:rsid w:val="164F6705"/>
    <w:rsid w:val="16646293"/>
    <w:rsid w:val="16FE5921"/>
    <w:rsid w:val="17B042A1"/>
    <w:rsid w:val="1A2B7D96"/>
    <w:rsid w:val="1B9E4352"/>
    <w:rsid w:val="1BD33B78"/>
    <w:rsid w:val="1BEC2FB3"/>
    <w:rsid w:val="1CE262BC"/>
    <w:rsid w:val="1D6D770B"/>
    <w:rsid w:val="1E1A21EF"/>
    <w:rsid w:val="203B090D"/>
    <w:rsid w:val="21135480"/>
    <w:rsid w:val="212C3971"/>
    <w:rsid w:val="214D7086"/>
    <w:rsid w:val="21BA7E4E"/>
    <w:rsid w:val="22DF5956"/>
    <w:rsid w:val="22ED7F5E"/>
    <w:rsid w:val="24130D0C"/>
    <w:rsid w:val="259E2C64"/>
    <w:rsid w:val="26F76768"/>
    <w:rsid w:val="27AC61A6"/>
    <w:rsid w:val="27FE02E6"/>
    <w:rsid w:val="28C57566"/>
    <w:rsid w:val="29084622"/>
    <w:rsid w:val="29F704EF"/>
    <w:rsid w:val="2A28251E"/>
    <w:rsid w:val="2AC220DE"/>
    <w:rsid w:val="2ADB5E21"/>
    <w:rsid w:val="2ADF08BA"/>
    <w:rsid w:val="2B603075"/>
    <w:rsid w:val="2C305EB2"/>
    <w:rsid w:val="2CD9238D"/>
    <w:rsid w:val="2E003054"/>
    <w:rsid w:val="2EB2531B"/>
    <w:rsid w:val="2F3D045F"/>
    <w:rsid w:val="2F6F3EAC"/>
    <w:rsid w:val="2F7D3F84"/>
    <w:rsid w:val="2F844FB7"/>
    <w:rsid w:val="30256074"/>
    <w:rsid w:val="302C4175"/>
    <w:rsid w:val="31713FF6"/>
    <w:rsid w:val="31F90596"/>
    <w:rsid w:val="32B04D2F"/>
    <w:rsid w:val="33A35EAC"/>
    <w:rsid w:val="3464504B"/>
    <w:rsid w:val="34E00D83"/>
    <w:rsid w:val="34E40873"/>
    <w:rsid w:val="36216F0D"/>
    <w:rsid w:val="36316A75"/>
    <w:rsid w:val="36ED02B2"/>
    <w:rsid w:val="37DB73A7"/>
    <w:rsid w:val="389D7311"/>
    <w:rsid w:val="398E418A"/>
    <w:rsid w:val="3996009B"/>
    <w:rsid w:val="3997709B"/>
    <w:rsid w:val="39A55AE7"/>
    <w:rsid w:val="3A351BE0"/>
    <w:rsid w:val="3AFB2B32"/>
    <w:rsid w:val="3B0953A4"/>
    <w:rsid w:val="3C302F1C"/>
    <w:rsid w:val="3C8719BD"/>
    <w:rsid w:val="3CE46170"/>
    <w:rsid w:val="3D7933CA"/>
    <w:rsid w:val="3DAC3CC7"/>
    <w:rsid w:val="3E16524F"/>
    <w:rsid w:val="3EA30F9B"/>
    <w:rsid w:val="3F2D02B4"/>
    <w:rsid w:val="3F7C50B1"/>
    <w:rsid w:val="406B2371"/>
    <w:rsid w:val="407E15A7"/>
    <w:rsid w:val="40AA3B81"/>
    <w:rsid w:val="411C5733"/>
    <w:rsid w:val="417112FA"/>
    <w:rsid w:val="42D57A4D"/>
    <w:rsid w:val="436A096E"/>
    <w:rsid w:val="44544A76"/>
    <w:rsid w:val="449544C5"/>
    <w:rsid w:val="44A55070"/>
    <w:rsid w:val="45530393"/>
    <w:rsid w:val="469F7AF8"/>
    <w:rsid w:val="475812CD"/>
    <w:rsid w:val="475D1115"/>
    <w:rsid w:val="478F3581"/>
    <w:rsid w:val="47B96D86"/>
    <w:rsid w:val="47D615F1"/>
    <w:rsid w:val="47D93555"/>
    <w:rsid w:val="48034DA7"/>
    <w:rsid w:val="486F4BB5"/>
    <w:rsid w:val="48A60514"/>
    <w:rsid w:val="48E14418"/>
    <w:rsid w:val="491635D4"/>
    <w:rsid w:val="49E7480F"/>
    <w:rsid w:val="4AF173EE"/>
    <w:rsid w:val="4C2F1B9C"/>
    <w:rsid w:val="4C870D35"/>
    <w:rsid w:val="4D2832EB"/>
    <w:rsid w:val="4DB81983"/>
    <w:rsid w:val="4DF66F25"/>
    <w:rsid w:val="4E376DB9"/>
    <w:rsid w:val="4E716394"/>
    <w:rsid w:val="4ECC39F8"/>
    <w:rsid w:val="4F0A3ECF"/>
    <w:rsid w:val="4F595384"/>
    <w:rsid w:val="4F7F3CCA"/>
    <w:rsid w:val="502844C8"/>
    <w:rsid w:val="51D845E4"/>
    <w:rsid w:val="52341DDD"/>
    <w:rsid w:val="531111FC"/>
    <w:rsid w:val="533444FB"/>
    <w:rsid w:val="55C54FE9"/>
    <w:rsid w:val="55E07717"/>
    <w:rsid w:val="56397366"/>
    <w:rsid w:val="58080247"/>
    <w:rsid w:val="5950112B"/>
    <w:rsid w:val="59C3293C"/>
    <w:rsid w:val="5A1C766A"/>
    <w:rsid w:val="5CF528AB"/>
    <w:rsid w:val="5D132301"/>
    <w:rsid w:val="5F1E1E73"/>
    <w:rsid w:val="612A3DEE"/>
    <w:rsid w:val="62B67083"/>
    <w:rsid w:val="649C599A"/>
    <w:rsid w:val="66B027B6"/>
    <w:rsid w:val="671A2875"/>
    <w:rsid w:val="67966EFB"/>
    <w:rsid w:val="67B628F5"/>
    <w:rsid w:val="682119CD"/>
    <w:rsid w:val="69A94E0C"/>
    <w:rsid w:val="6A1A0E79"/>
    <w:rsid w:val="6B656B47"/>
    <w:rsid w:val="6B7E1643"/>
    <w:rsid w:val="6C714475"/>
    <w:rsid w:val="6CDB032D"/>
    <w:rsid w:val="6DBD736C"/>
    <w:rsid w:val="6DF45A5A"/>
    <w:rsid w:val="6E160DB8"/>
    <w:rsid w:val="6E5526FF"/>
    <w:rsid w:val="6F2B1820"/>
    <w:rsid w:val="6F412F7A"/>
    <w:rsid w:val="707E74C2"/>
    <w:rsid w:val="710D0440"/>
    <w:rsid w:val="71C5585F"/>
    <w:rsid w:val="720E79AF"/>
    <w:rsid w:val="73A1381E"/>
    <w:rsid w:val="7459468D"/>
    <w:rsid w:val="749131D7"/>
    <w:rsid w:val="756F240E"/>
    <w:rsid w:val="779817DA"/>
    <w:rsid w:val="77D476E8"/>
    <w:rsid w:val="782A7918"/>
    <w:rsid w:val="79715756"/>
    <w:rsid w:val="7A500C84"/>
    <w:rsid w:val="7A7B08FF"/>
    <w:rsid w:val="7AE21E9E"/>
    <w:rsid w:val="7B09318D"/>
    <w:rsid w:val="7B6004E6"/>
    <w:rsid w:val="7BE14791"/>
    <w:rsid w:val="7C4C470C"/>
    <w:rsid w:val="7CD03426"/>
    <w:rsid w:val="7DFA5FDE"/>
    <w:rsid w:val="7E0B3994"/>
    <w:rsid w:val="7F5B6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35"/>
    <w:autoRedefine/>
    <w:qFormat/>
    <w:uiPriority w:val="0"/>
    <w:pPr>
      <w:keepNext/>
      <w:keepLines/>
      <w:numPr>
        <w:ilvl w:val="0"/>
        <w:numId w:val="1"/>
      </w:numPr>
      <w:autoSpaceDE w:val="0"/>
      <w:autoSpaceDN w:val="0"/>
      <w:adjustRightInd w:val="0"/>
      <w:spacing w:before="340" w:after="330" w:line="360" w:lineRule="auto"/>
      <w:jc w:val="left"/>
      <w:textAlignment w:val="baseline"/>
      <w:outlineLvl w:val="0"/>
    </w:pPr>
    <w:rPr>
      <w:rFonts w:ascii="宋体" w:hAnsi="Arial" w:eastAsia="黑体"/>
      <w:b/>
      <w:color w:val="000000"/>
      <w:kern w:val="44"/>
      <w:sz w:val="36"/>
    </w:rPr>
  </w:style>
  <w:style w:type="character" w:default="1" w:styleId="15">
    <w:name w:val="Default Paragraph Font"/>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autoRedefine/>
    <w:qFormat/>
    <w:uiPriority w:val="0"/>
    <w:pPr>
      <w:spacing w:line="480" w:lineRule="auto"/>
      <w:ind w:firstLine="600"/>
    </w:pPr>
    <w:rPr>
      <w:sz w:val="28"/>
    </w:rPr>
  </w:style>
  <w:style w:type="paragraph" w:styleId="5">
    <w:name w:val="annotation text"/>
    <w:basedOn w:val="1"/>
    <w:qFormat/>
    <w:uiPriority w:val="0"/>
    <w:pPr>
      <w:jc w:val="left"/>
    </w:pPr>
  </w:style>
  <w:style w:type="paragraph" w:styleId="6">
    <w:name w:val="Body Text"/>
    <w:basedOn w:val="1"/>
    <w:next w:val="1"/>
    <w:autoRedefine/>
    <w:qFormat/>
    <w:uiPriority w:val="1"/>
    <w:pPr>
      <w:spacing w:after="120" w:afterLines="0"/>
    </w:pPr>
  </w:style>
  <w:style w:type="paragraph" w:styleId="7">
    <w:name w:val="Balloon Text"/>
    <w:basedOn w:val="1"/>
    <w:link w:val="24"/>
    <w:qFormat/>
    <w:uiPriority w:val="0"/>
    <w:rPr>
      <w:sz w:val="18"/>
      <w:szCs w:val="18"/>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link w:val="23"/>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qFormat/>
    <w:uiPriority w:val="39"/>
    <w:pPr>
      <w:jc w:val="left"/>
    </w:pPr>
    <w:rPr>
      <w:b/>
      <w:caps/>
    </w:rPr>
  </w:style>
  <w:style w:type="paragraph" w:styleId="11">
    <w:name w:val="Title"/>
    <w:basedOn w:val="1"/>
    <w:qFormat/>
    <w:uiPriority w:val="0"/>
    <w:pPr>
      <w:widowControl/>
      <w:overflowPunct w:val="0"/>
      <w:autoSpaceDE w:val="0"/>
      <w:autoSpaceDN w:val="0"/>
      <w:adjustRightInd w:val="0"/>
      <w:jc w:val="center"/>
      <w:textAlignment w:val="baseline"/>
    </w:pPr>
    <w:rPr>
      <w:b/>
      <w:kern w:val="0"/>
      <w:sz w:val="44"/>
      <w:lang w:val="en-GB"/>
    </w:rPr>
  </w:style>
  <w:style w:type="paragraph" w:styleId="12">
    <w:name w:val="Body Text First Indent"/>
    <w:basedOn w:val="6"/>
    <w:next w:val="1"/>
    <w:qFormat/>
    <w:uiPriority w:val="99"/>
    <w:pPr>
      <w:widowControl/>
      <w:spacing w:after="120" w:afterLines="0" w:line="240" w:lineRule="auto"/>
      <w:ind w:firstLine="420" w:firstLineChars="100"/>
      <w:jc w:val="left"/>
    </w:pPr>
    <w:rPr>
      <w:rFonts w:ascii="Times New Roman" w:eastAsia="宋体"/>
      <w:kern w:val="0"/>
      <w:sz w:val="21"/>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autoRedefine/>
    <w:qFormat/>
    <w:uiPriority w:val="0"/>
  </w:style>
  <w:style w:type="character" w:styleId="17">
    <w:name w:val="Hyperlink"/>
    <w:qFormat/>
    <w:uiPriority w:val="99"/>
    <w:rPr>
      <w:color w:val="0000FF"/>
      <w:u w:val="single"/>
    </w:rPr>
  </w:style>
  <w:style w:type="character" w:styleId="18">
    <w:name w:val="annotation reference"/>
    <w:basedOn w:val="15"/>
    <w:autoRedefine/>
    <w:qFormat/>
    <w:uiPriority w:val="0"/>
    <w:rPr>
      <w:sz w:val="21"/>
      <w:szCs w:val="21"/>
    </w:rPr>
  </w:style>
  <w:style w:type="paragraph" w:customStyle="1" w:styleId="19">
    <w:name w:val="正文文字缩进"/>
    <w:basedOn w:val="1"/>
    <w:autoRedefine/>
    <w:qFormat/>
    <w:uiPriority w:val="0"/>
    <w:pPr>
      <w:widowControl/>
      <w:spacing w:line="351" w:lineRule="atLeast"/>
      <w:ind w:firstLine="436"/>
      <w:textAlignment w:val="baseline"/>
    </w:pPr>
    <w:rPr>
      <w:color w:val="000000"/>
      <w:kern w:val="0"/>
      <w:sz w:val="30"/>
      <w:u w:color="000000"/>
    </w:rPr>
  </w:style>
  <w:style w:type="character" w:customStyle="1" w:styleId="20">
    <w:name w:val="标题 1 Char Char"/>
    <w:qFormat/>
    <w:uiPriority w:val="0"/>
    <w:rPr>
      <w:rFonts w:eastAsia="宋体"/>
      <w:b/>
      <w:spacing w:val="-2"/>
      <w:sz w:val="24"/>
      <w:lang w:val="en-US" w:eastAsia="zh-CN"/>
    </w:rPr>
  </w:style>
  <w:style w:type="paragraph" w:customStyle="1" w:styleId="21">
    <w:name w:val="一、标题"/>
    <w:basedOn w:val="1"/>
    <w:autoRedefine/>
    <w:qFormat/>
    <w:uiPriority w:val="0"/>
    <w:rPr>
      <w:b/>
      <w:sz w:val="28"/>
    </w:rPr>
  </w:style>
  <w:style w:type="paragraph" w:styleId="22">
    <w:name w:val="List Paragraph"/>
    <w:basedOn w:val="1"/>
    <w:autoRedefine/>
    <w:qFormat/>
    <w:uiPriority w:val="34"/>
    <w:pPr>
      <w:ind w:firstLine="420" w:firstLineChars="200"/>
    </w:pPr>
  </w:style>
  <w:style w:type="character" w:customStyle="1" w:styleId="23">
    <w:name w:val="页眉 Char"/>
    <w:basedOn w:val="15"/>
    <w:link w:val="9"/>
    <w:autoRedefine/>
    <w:qFormat/>
    <w:uiPriority w:val="0"/>
    <w:rPr>
      <w:kern w:val="2"/>
      <w:sz w:val="18"/>
      <w:szCs w:val="18"/>
    </w:rPr>
  </w:style>
  <w:style w:type="character" w:customStyle="1" w:styleId="24">
    <w:name w:val="批注框文本 Char"/>
    <w:basedOn w:val="15"/>
    <w:link w:val="7"/>
    <w:autoRedefine/>
    <w:qFormat/>
    <w:uiPriority w:val="0"/>
    <w:rPr>
      <w:kern w:val="2"/>
      <w:sz w:val="18"/>
      <w:szCs w:val="18"/>
    </w:rPr>
  </w:style>
  <w:style w:type="character" w:customStyle="1" w:styleId="25">
    <w:name w:val="font31"/>
    <w:basedOn w:val="15"/>
    <w:autoRedefine/>
    <w:qFormat/>
    <w:uiPriority w:val="0"/>
    <w:rPr>
      <w:rFonts w:hint="eastAsia" w:ascii="宋体" w:hAnsi="宋体" w:eastAsia="宋体" w:cs="宋体"/>
      <w:color w:val="000000"/>
      <w:sz w:val="22"/>
      <w:szCs w:val="22"/>
      <w:u w:val="none"/>
    </w:rPr>
  </w:style>
  <w:style w:type="character" w:customStyle="1" w:styleId="26">
    <w:name w:val="font51"/>
    <w:basedOn w:val="15"/>
    <w:qFormat/>
    <w:uiPriority w:val="0"/>
    <w:rPr>
      <w:rFonts w:hint="default" w:ascii="Times New Roman" w:hAnsi="Times New Roman" w:cs="Times New Roman"/>
      <w:color w:val="000000"/>
      <w:sz w:val="22"/>
      <w:szCs w:val="22"/>
      <w:u w:val="none"/>
    </w:rPr>
  </w:style>
  <w:style w:type="character" w:customStyle="1" w:styleId="27">
    <w:name w:val="font41"/>
    <w:basedOn w:val="15"/>
    <w:autoRedefine/>
    <w:qFormat/>
    <w:uiPriority w:val="0"/>
    <w:rPr>
      <w:rFonts w:ascii="仿宋_GB2312" w:eastAsia="仿宋_GB2312" w:cs="仿宋_GB2312"/>
      <w:color w:val="000000"/>
      <w:sz w:val="22"/>
      <w:szCs w:val="22"/>
      <w:u w:val="none"/>
    </w:rPr>
  </w:style>
  <w:style w:type="character" w:customStyle="1" w:styleId="28">
    <w:name w:val="font21"/>
    <w:basedOn w:val="15"/>
    <w:qFormat/>
    <w:uiPriority w:val="0"/>
    <w:rPr>
      <w:rFonts w:hint="eastAsia" w:ascii="宋体" w:hAnsi="宋体" w:eastAsia="宋体" w:cs="宋体"/>
      <w:color w:val="000000"/>
      <w:sz w:val="22"/>
      <w:szCs w:val="22"/>
      <w:u w:val="none"/>
      <w:vertAlign w:val="superscript"/>
    </w:rPr>
  </w:style>
  <w:style w:type="character" w:customStyle="1" w:styleId="29">
    <w:name w:val="font01"/>
    <w:basedOn w:val="15"/>
    <w:autoRedefine/>
    <w:qFormat/>
    <w:uiPriority w:val="0"/>
    <w:rPr>
      <w:rFonts w:hint="eastAsia" w:ascii="宋体" w:hAnsi="宋体" w:eastAsia="宋体" w:cs="宋体"/>
      <w:color w:val="000000"/>
      <w:sz w:val="22"/>
      <w:szCs w:val="22"/>
      <w:u w:val="none"/>
    </w:rPr>
  </w:style>
  <w:style w:type="character" w:customStyle="1" w:styleId="30">
    <w:name w:val="font11"/>
    <w:basedOn w:val="15"/>
    <w:autoRedefine/>
    <w:qFormat/>
    <w:uiPriority w:val="0"/>
    <w:rPr>
      <w:rFonts w:hint="eastAsia" w:ascii="宋体" w:hAnsi="宋体" w:eastAsia="宋体" w:cs="宋体"/>
      <w:color w:val="000000"/>
      <w:sz w:val="24"/>
      <w:szCs w:val="24"/>
      <w:u w:val="none"/>
    </w:rPr>
  </w:style>
  <w:style w:type="paragraph" w:customStyle="1" w:styleId="31">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32">
    <w:name w:val="font81"/>
    <w:basedOn w:val="15"/>
    <w:autoRedefine/>
    <w:qFormat/>
    <w:uiPriority w:val="0"/>
    <w:rPr>
      <w:rFonts w:ascii="宋体" w:hAnsi="宋体" w:eastAsia="宋体" w:cs="宋体"/>
      <w:color w:val="000000"/>
      <w:sz w:val="20"/>
      <w:szCs w:val="20"/>
      <w:u w:val="none"/>
    </w:rPr>
  </w:style>
  <w:style w:type="character" w:customStyle="1" w:styleId="33">
    <w:name w:val="font71"/>
    <w:basedOn w:val="15"/>
    <w:autoRedefine/>
    <w:qFormat/>
    <w:uiPriority w:val="0"/>
    <w:rPr>
      <w:rFonts w:hint="eastAsia" w:ascii="仿宋" w:hAnsi="仿宋" w:eastAsia="仿宋" w:cs="仿宋"/>
      <w:color w:val="000000"/>
      <w:sz w:val="22"/>
      <w:szCs w:val="22"/>
      <w:u w:val="none"/>
    </w:rPr>
  </w:style>
  <w:style w:type="paragraph" w:customStyle="1" w:styleId="34">
    <w:name w:val="样式1"/>
    <w:basedOn w:val="1"/>
    <w:autoRedefine/>
    <w:qFormat/>
    <w:uiPriority w:val="0"/>
    <w:pPr>
      <w:spacing w:line="240" w:lineRule="exact"/>
    </w:pPr>
    <w:rPr>
      <w:rFonts w:ascii="宋体" w:hAnsi="宋体" w:eastAsia="宋体"/>
      <w:sz w:val="24"/>
      <w:szCs w:val="24"/>
    </w:rPr>
  </w:style>
  <w:style w:type="character" w:customStyle="1" w:styleId="35">
    <w:name w:val="标题 1 Char"/>
    <w:link w:val="4"/>
    <w:autoRedefine/>
    <w:qFormat/>
    <w:uiPriority w:val="0"/>
    <w:rPr>
      <w:rFonts w:ascii="宋体" w:hAnsi="Arial" w:eastAsia="黑体"/>
      <w:b/>
      <w:color w:val="000000"/>
      <w:kern w:val="44"/>
      <w:sz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4075</Words>
  <Characters>4189</Characters>
  <Lines>53</Lines>
  <Paragraphs>15</Paragraphs>
  <TotalTime>3</TotalTime>
  <ScaleCrop>false</ScaleCrop>
  <LinksUpToDate>false</LinksUpToDate>
  <CharactersWithSpaces>4378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2021-02-26T02:23:00Z</dcterms:created>
  <dc:creator>Echo</dc:creator>
  <cp:lastModifiedBy>.</cp:lastModifiedBy>
  <cp:lastPrinted>2021-06-17T01:09:00Z</cp:lastPrinted>
  <dcterms:modified xsi:type="dcterms:W3CDTF">2024-01-18T01:52:59Z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07DEC81FD3E8410C8FC7D2A5303090D3</vt:lpwstr>
  </property>
</Properties>
</file>