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pPr>
        <w:pStyle w:val="12"/>
      </w:pP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钢材采购项目</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ZSNY/SBBJ2311024 </w:t>
      </w:r>
    </w:p>
    <w:p>
      <w:pPr>
        <w:spacing w:line="360" w:lineRule="auto"/>
        <w:ind w:firstLine="80" w:firstLineChars="25"/>
        <w:jc w:val="center"/>
        <w:rPr>
          <w:rFonts w:hint="eastAsia" w:ascii="仿宋" w:hAnsi="仿宋" w:eastAsia="仿宋" w:cs="仿宋"/>
          <w:sz w:val="32"/>
          <w:szCs w:val="32"/>
          <w:u w:val="single"/>
          <w:lang w:val="en-US" w:eastAsia="zh-CN"/>
        </w:rPr>
      </w:pPr>
      <w:bookmarkStart w:id="1" w:name="OLE_LINK53"/>
      <w:bookmarkStart w:id="2" w:name="OLE_LINK52"/>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eastAsia="zh-CN"/>
        </w:rPr>
        <w:t xml:space="preserve"> 钢材</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十</w:t>
      </w:r>
      <w:r>
        <w:rPr>
          <w:rFonts w:hint="eastAsia" w:ascii="仿宋" w:hAnsi="仿宋" w:eastAsia="仿宋" w:cs="仿宋"/>
          <w:sz w:val="32"/>
          <w:szCs w:val="32"/>
          <w:lang w:val="en-US" w:eastAsia="zh-CN"/>
        </w:rPr>
        <w:t>二</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6</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10</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16</w:t>
      </w:r>
      <w:r>
        <w:rPr>
          <w:b w:val="0"/>
          <w:bCs/>
          <w:sz w:val="32"/>
          <w:szCs w:val="28"/>
        </w:rPr>
        <w:fldChar w:fldCharType="end"/>
      </w:r>
      <w:r>
        <w:rPr>
          <w:rFonts w:hint="eastAsia" w:ascii="仿宋" w:hAnsi="仿宋" w:eastAsia="仿宋" w:cs="仿宋"/>
          <w:b w:val="0"/>
          <w:bCs/>
          <w:sz w:val="32"/>
          <w:szCs w:val="28"/>
        </w:rPr>
        <w:fldChar w:fldCharType="end"/>
      </w:r>
    </w:p>
    <w:p>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pPr>
        <w:rPr>
          <w:rFonts w:hint="eastAsia" w:ascii="仿宋" w:hAnsi="仿宋" w:eastAsia="仿宋" w:cs="仿宋"/>
          <w:sz w:val="56"/>
          <w:szCs w:val="32"/>
        </w:rPr>
      </w:pPr>
      <w:r>
        <w:rPr>
          <w:rFonts w:hint="eastAsia" w:ascii="仿宋" w:hAnsi="仿宋" w:eastAsia="仿宋" w:cs="仿宋"/>
          <w:b w:val="0"/>
          <w:bCs/>
          <w:sz w:val="32"/>
          <w:szCs w:val="28"/>
        </w:rPr>
        <w:fldChar w:fldCharType="end"/>
      </w:r>
    </w:p>
    <w:p>
      <w:pPr>
        <w:rPr>
          <w:rFonts w:hint="eastAsia" w:ascii="仿宋" w:hAnsi="仿宋" w:eastAsia="仿宋" w:cs="仿宋"/>
          <w:sz w:val="36"/>
        </w:rPr>
      </w:pPr>
    </w:p>
    <w:p>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6995"/>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因日常生产需要，需采购</w:t>
      </w:r>
      <w:r>
        <w:rPr>
          <w:rFonts w:hint="eastAsia" w:ascii="仿宋" w:hAnsi="仿宋" w:eastAsia="仿宋" w:cs="仿宋"/>
          <w:sz w:val="30"/>
          <w:szCs w:val="30"/>
          <w:lang w:eastAsia="zh-CN"/>
        </w:rPr>
        <w:t>钢材</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ZSNY/SBBJ2311024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991" w:type="pct"/>
        <w:jc w:val="center"/>
        <w:tblLayout w:type="autofit"/>
        <w:tblCellMar>
          <w:top w:w="0" w:type="dxa"/>
          <w:left w:w="108" w:type="dxa"/>
          <w:bottom w:w="0" w:type="dxa"/>
          <w:right w:w="108" w:type="dxa"/>
        </w:tblCellMar>
      </w:tblPr>
      <w:tblGrid>
        <w:gridCol w:w="886"/>
        <w:gridCol w:w="1974"/>
        <w:gridCol w:w="2894"/>
        <w:gridCol w:w="907"/>
        <w:gridCol w:w="1304"/>
        <w:gridCol w:w="1304"/>
      </w:tblGrid>
      <w:tr>
        <w:tblPrEx>
          <w:tblCellMar>
            <w:top w:w="0" w:type="dxa"/>
            <w:left w:w="108" w:type="dxa"/>
            <w:bottom w:w="0" w:type="dxa"/>
            <w:right w:w="108" w:type="dxa"/>
          </w:tblCellMar>
        </w:tblPrEx>
        <w:trPr>
          <w:trHeight w:val="90"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0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4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7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7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限价</w:t>
            </w:r>
          </w:p>
        </w:tc>
      </w:tr>
      <w:tr>
        <w:tblPrEx>
          <w:tblCellMar>
            <w:top w:w="0" w:type="dxa"/>
            <w:left w:w="108" w:type="dxa"/>
            <w:bottom w:w="0" w:type="dxa"/>
            <w:right w:w="108" w:type="dxa"/>
          </w:tblCellMar>
        </w:tblPrEx>
        <w:trPr>
          <w:trHeight w:val="561"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钢板</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碳钢 5mm*1.51m*6m</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张</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1900/张</w:t>
            </w:r>
          </w:p>
        </w:tc>
      </w:tr>
      <w:tr>
        <w:tblPrEx>
          <w:tblCellMar>
            <w:top w:w="0" w:type="dxa"/>
            <w:left w:w="108" w:type="dxa"/>
            <w:bottom w:w="0" w:type="dxa"/>
            <w:right w:w="108" w:type="dxa"/>
          </w:tblCellMar>
        </w:tblPrEx>
        <w:trPr>
          <w:trHeight w:val="561"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无缝管</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Q235 325*8   </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约40</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米</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470/米</w:t>
            </w:r>
          </w:p>
        </w:tc>
      </w:tr>
    </w:tbl>
    <w:p>
      <w:pPr>
        <w:pStyle w:val="1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12月19</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2.联系人：王工    联系电话：18367809201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12月12</w:t>
      </w:r>
      <w:bookmarkStart w:id="20" w:name="_GoBack"/>
      <w:bookmarkEnd w:id="20"/>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bookmarkStart w:id="10" w:name="_Toc23057"/>
      <w:r>
        <w:rPr>
          <w:rFonts w:hint="eastAsia" w:ascii="仿宋" w:hAnsi="仿宋" w:eastAsia="仿宋" w:cs="仿宋"/>
          <w:b/>
          <w:snapToGrid w:val="0"/>
          <w:color w:val="000000"/>
          <w:kern w:val="44"/>
          <w:sz w:val="44"/>
          <w:szCs w:val="44"/>
          <w:lang w:val="en-US" w:eastAsia="zh-CN" w:bidi="ar-SA"/>
        </w:rPr>
        <w:t>第二部分   采购须知</w:t>
      </w:r>
      <w:bookmarkEnd w:id="8"/>
      <w:bookmarkEnd w:id="9"/>
      <w:bookmarkEnd w:id="10"/>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pPr>
        <w:pStyle w:val="4"/>
        <w:numPr>
          <w:ilvl w:val="0"/>
          <w:numId w:val="0"/>
        </w:numPr>
        <w:jc w:val="center"/>
        <w:outlineLvl w:val="9"/>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6"/>
        <w:rPr>
          <w:rFonts w:hint="eastAsia" w:ascii="仿宋" w:hAnsi="仿宋" w:eastAsia="仿宋" w:cs="仿宋"/>
          <w:snapToGrid w:val="0"/>
          <w:sz w:val="44"/>
          <w:szCs w:val="44"/>
        </w:rPr>
      </w:pPr>
    </w:p>
    <w:p>
      <w:pPr>
        <w:pStyle w:val="1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4"/>
        <w:numPr>
          <w:ilvl w:val="0"/>
          <w:numId w:val="0"/>
        </w:numPr>
        <w:jc w:val="center"/>
        <w:rPr>
          <w:rFonts w:hint="eastAsia" w:ascii="仿宋" w:hAnsi="仿宋" w:eastAsia="仿宋" w:cs="仿宋"/>
          <w:b w:val="0"/>
          <w:bCs/>
          <w:snapToGrid w:val="0"/>
          <w:sz w:val="44"/>
        </w:rPr>
      </w:pPr>
      <w:bookmarkStart w:id="11" w:name="_Toc4053"/>
      <w:r>
        <w:rPr>
          <w:rFonts w:hint="eastAsia" w:ascii="仿宋" w:hAnsi="仿宋" w:eastAsia="仿宋" w:cs="仿宋"/>
          <w:snapToGrid w:val="0"/>
          <w:sz w:val="44"/>
          <w:szCs w:val="44"/>
        </w:rPr>
        <w:t>第三部分   询价内容</w:t>
      </w:r>
      <w:bookmarkEnd w:id="6"/>
      <w:bookmarkEnd w:id="7"/>
      <w:bookmarkEnd w:id="11"/>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w:t>
      </w:r>
      <w:r>
        <w:rPr>
          <w:rFonts w:hint="eastAsia" w:ascii="仿宋" w:hAnsi="仿宋" w:eastAsia="仿宋" w:cs="仿宋"/>
          <w:color w:val="auto"/>
          <w:kern w:val="2"/>
          <w:sz w:val="30"/>
          <w:szCs w:val="30"/>
        </w:rPr>
        <w:t>根据采购人实际需要</w:t>
      </w:r>
      <w:r>
        <w:rPr>
          <w:rFonts w:hint="eastAsia" w:ascii="仿宋" w:hAnsi="仿宋" w:eastAsia="仿宋" w:cs="仿宋"/>
          <w:color w:val="auto"/>
          <w:kern w:val="2"/>
          <w:sz w:val="30"/>
          <w:szCs w:val="30"/>
          <w:lang w:eastAsia="zh-CN"/>
        </w:rPr>
        <w:t>，</w:t>
      </w:r>
      <w:r>
        <w:rPr>
          <w:rFonts w:hint="eastAsia" w:ascii="仿宋" w:hAnsi="仿宋" w:eastAsia="仿宋" w:cs="仿宋"/>
          <w:color w:val="auto"/>
          <w:kern w:val="2"/>
          <w:sz w:val="30"/>
          <w:szCs w:val="30"/>
        </w:rPr>
        <w:t>供应商接到采购人送货通知后，</w:t>
      </w:r>
      <w:r>
        <w:rPr>
          <w:rFonts w:hint="eastAsia" w:ascii="仿宋" w:hAnsi="仿宋" w:eastAsia="仿宋" w:cs="仿宋"/>
          <w:color w:val="auto"/>
          <w:kern w:val="2"/>
          <w:sz w:val="30"/>
          <w:szCs w:val="30"/>
          <w:lang w:val="en-US" w:eastAsia="zh-CN"/>
        </w:rPr>
        <w:t>10个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中标人需在签订合同前缴纳履约保证金（合同价的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），于合同履约完成随货款一齐支付</w:t>
      </w:r>
      <w:r>
        <w:rPr>
          <w:rFonts w:hint="eastAsia" w:ascii="仿宋" w:hAnsi="仿宋" w:eastAsia="仿宋" w:cs="仿宋"/>
          <w:color w:val="auto"/>
          <w:kern w:val="2"/>
          <w:sz w:val="30"/>
          <w:szCs w:val="30"/>
        </w:rPr>
        <w:t>。</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30277"/>
      <w:r>
        <w:rPr>
          <w:rFonts w:hint="eastAsia" w:ascii="仿宋" w:hAnsi="仿宋" w:eastAsia="仿宋" w:cs="仿宋"/>
          <w:snapToGrid w:val="0"/>
          <w:sz w:val="44"/>
          <w:szCs w:val="44"/>
          <w:lang w:val="en-US" w:eastAsia="zh-CN"/>
        </w:rPr>
        <w:t>合同主要条款</w:t>
      </w:r>
      <w:bookmarkEnd w:id="13"/>
    </w:p>
    <w:p>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供货范围及价格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p>
        </w:tc>
      </w:tr>
      <w:tr>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p>
        </w:tc>
      </w:tr>
      <w:tr>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第二条  交货时间、地点</w:t>
      </w:r>
      <w:r>
        <w:rPr>
          <w:rFonts w:hint="eastAsia" w:ascii="黑体" w:hAnsi="黑体" w:eastAsia="黑体" w:cs="黑体"/>
          <w:sz w:val="28"/>
          <w:szCs w:val="28"/>
          <w:lang w:eastAsia="zh-CN"/>
        </w:rPr>
        <w:t>、要求</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1、交货时间：合同签订后</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天供货。</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2、交货地点：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3、交货要求：交货时，应附有相应的装货清单、合格证及相关技术资料。（如有）</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设备/备件符合用户方使用或安装要求。</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元整，本合同为固定总价合同，金额包含包装费、运费、税金、保险费等， 供需双方不能因市场价格变化而调整合同价。</w:t>
      </w:r>
    </w:p>
    <w:p>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中标人需在签订合同前缴纳履约保证金（合同价的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），于合同履约完成随货款一齐支付</w:t>
      </w:r>
      <w:r>
        <w:rPr>
          <w:rFonts w:hint="eastAsia" w:ascii="仿宋" w:hAnsi="仿宋" w:eastAsia="仿宋" w:cs="仿宋"/>
          <w:color w:val="auto"/>
          <w:kern w:val="2"/>
          <w:sz w:val="30"/>
          <w:szCs w:val="30"/>
        </w:rPr>
        <w:t>。</w:t>
      </w:r>
    </w:p>
    <w:p>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反商业贿赂</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双方同意，双方将清楚并严格遵守关于反商业贿赂及其他相关法律规定，双方及其员工均不向对方业务人员或其他与本合同业务有关人员直接或间接地索要、收受、提供、给予协议约定外的任何利益，</w:t>
      </w:r>
      <w:r>
        <w:rPr>
          <w:rFonts w:hint="eastAsia" w:ascii="方正仿宋_GBK" w:hAnsi="方正仿宋_GBK" w:eastAsia="方正仿宋_GBK" w:cs="方正仿宋_GBK"/>
          <w:sz w:val="28"/>
          <w:szCs w:val="28"/>
          <w:lang w:eastAsia="zh-CN"/>
        </w:rPr>
        <w:t>包括</w:t>
      </w:r>
      <w:r>
        <w:rPr>
          <w:rFonts w:hint="eastAsia" w:ascii="方正仿宋_GBK" w:hAnsi="方正仿宋_GBK" w:eastAsia="方正仿宋_GBK" w:cs="方正仿宋_GBK"/>
          <w:sz w:val="28"/>
          <w:szCs w:val="28"/>
        </w:rPr>
        <w:t>但不限于明扣、暗扣、现金、购物卡、实物、有价证券、旅游或其他非物质性利益等，及其他任何形式的、可能对本合同的签署或履行产生实质性影响的利益。若合同双方任意一方违反前述约定的，另一方有权解除本合同，不支付任何报酬或要求退还所支付的报酬:或要求违约方继续履行本合同，并向另一方支付相当于本合同总金额5%的违约金，在因本项目从任何第三人处收受未经披露的任何形式的报酬或利益时，还应将该报酬或利益转移给另一方。由此给另一方造成的损失以及可能引起的对第三人的责任，均由违约方承担。另一方同时可向国家有关部门就违约方的行为进行举报，违约方应当履行协助并配合调查等义务。</w:t>
      </w:r>
    </w:p>
    <w:p>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pPr>
        <w:pStyle w:val="4"/>
        <w:numPr>
          <w:ilvl w:val="0"/>
          <w:numId w:val="0"/>
        </w:numPr>
        <w:jc w:val="center"/>
        <w:rPr>
          <w:rFonts w:hint="eastAsia" w:ascii="仿宋" w:hAnsi="仿宋" w:eastAsia="仿宋" w:cs="仿宋"/>
          <w:snapToGrid w:val="0"/>
          <w:sz w:val="44"/>
          <w:szCs w:val="44"/>
        </w:rPr>
      </w:pPr>
      <w:bookmarkStart w:id="14"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4"/>
    </w:p>
    <w:p>
      <w:pPr>
        <w:jc w:val="left"/>
        <w:outlineLvl w:val="0"/>
        <w:rPr>
          <w:rStyle w:val="20"/>
          <w:rFonts w:hint="eastAsia" w:ascii="仿宋" w:hAnsi="仿宋" w:eastAsia="仿宋" w:cs="仿宋"/>
          <w:sz w:val="30"/>
        </w:rPr>
      </w:pPr>
      <w:bookmarkStart w:id="15" w:name="_Toc22901"/>
      <w:r>
        <w:rPr>
          <w:rStyle w:val="20"/>
          <w:rFonts w:hint="eastAsia" w:ascii="仿宋" w:hAnsi="仿宋" w:eastAsia="仿宋" w:cs="仿宋"/>
          <w:sz w:val="30"/>
        </w:rPr>
        <w:t>附件一：</w:t>
      </w:r>
      <w:bookmarkEnd w:id="15"/>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pPr>
        <w:spacing w:line="360" w:lineRule="auto"/>
        <w:jc w:val="center"/>
        <w:rPr>
          <w:rFonts w:hint="eastAsia" w:ascii="仿宋" w:hAnsi="仿宋" w:eastAsia="仿宋" w:cs="仿宋"/>
          <w:sz w:val="52"/>
        </w:rPr>
      </w:pPr>
      <w:r>
        <w:rPr>
          <w:rFonts w:hint="eastAsia" w:ascii="仿宋" w:hAnsi="仿宋" w:eastAsia="仿宋" w:cs="仿宋"/>
          <w:sz w:val="52"/>
          <w:lang w:eastAsia="zh-CN"/>
        </w:rPr>
        <w:t>钢材</w:t>
      </w:r>
      <w:r>
        <w:rPr>
          <w:rFonts w:hint="eastAsia" w:ascii="仿宋" w:hAnsi="仿宋" w:eastAsia="仿宋" w:cs="仿宋"/>
          <w:sz w:val="52"/>
        </w:rPr>
        <w:t>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ZSNY/SBBJ2311024</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outlineLvl w:val="0"/>
        <w:rPr>
          <w:rStyle w:val="20"/>
          <w:rFonts w:hint="eastAsia" w:ascii="仿宋" w:hAnsi="仿宋" w:eastAsia="仿宋" w:cs="仿宋"/>
          <w:sz w:val="30"/>
        </w:rPr>
      </w:pPr>
      <w:bookmarkStart w:id="16" w:name="_Toc20355"/>
      <w:r>
        <w:rPr>
          <w:rStyle w:val="20"/>
          <w:rFonts w:hint="eastAsia" w:ascii="仿宋" w:hAnsi="仿宋" w:eastAsia="仿宋" w:cs="仿宋"/>
          <w:sz w:val="30"/>
        </w:rPr>
        <w:t>附件二</w:t>
      </w:r>
      <w:bookmarkEnd w:id="16"/>
      <w:r>
        <w:rPr>
          <w:rStyle w:val="20"/>
          <w:rFonts w:hint="eastAsia" w:ascii="仿宋" w:hAnsi="仿宋" w:eastAsia="仿宋" w:cs="仿宋"/>
          <w:sz w:val="30"/>
        </w:rPr>
        <w:t xml:space="preserve">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绍兴市再生能源发展有限公司钢材采购 </w:t>
      </w:r>
      <w:r>
        <w:rPr>
          <w:rFonts w:hint="eastAsia" w:ascii="仿宋" w:hAnsi="仿宋" w:eastAsia="仿宋" w:cs="仿宋"/>
          <w:sz w:val="30"/>
          <w:szCs w:val="30"/>
          <w:u w:val="none"/>
          <w:lang w:val="en-US" w:eastAsia="zh-CN"/>
        </w:rPr>
        <w:t>项目。</w:t>
      </w:r>
    </w:p>
    <w:tbl>
      <w:tblPr>
        <w:tblStyle w:val="13"/>
        <w:tblW w:w="5000" w:type="pct"/>
        <w:jc w:val="center"/>
        <w:tblLayout w:type="fixed"/>
        <w:tblCellMar>
          <w:top w:w="0" w:type="dxa"/>
          <w:left w:w="108" w:type="dxa"/>
          <w:bottom w:w="0" w:type="dxa"/>
          <w:right w:w="108" w:type="dxa"/>
        </w:tblCellMar>
      </w:tblPr>
      <w:tblGrid>
        <w:gridCol w:w="679"/>
        <w:gridCol w:w="1498"/>
        <w:gridCol w:w="2147"/>
        <w:gridCol w:w="726"/>
        <w:gridCol w:w="740"/>
        <w:gridCol w:w="1166"/>
        <w:gridCol w:w="1166"/>
        <w:gridCol w:w="1166"/>
      </w:tblGrid>
      <w:tr>
        <w:tblPrEx>
          <w:tblCellMar>
            <w:top w:w="0" w:type="dxa"/>
            <w:left w:w="108" w:type="dxa"/>
            <w:bottom w:w="0" w:type="dxa"/>
            <w:right w:w="108" w:type="dxa"/>
          </w:tblCellMar>
        </w:tblPrEx>
        <w:trPr>
          <w:trHeight w:val="467"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限价</w:t>
            </w:r>
          </w:p>
        </w:tc>
      </w:tr>
      <w:tr>
        <w:tblPrEx>
          <w:tblCellMar>
            <w:top w:w="0" w:type="dxa"/>
            <w:left w:w="108" w:type="dxa"/>
            <w:bottom w:w="0" w:type="dxa"/>
            <w:right w:w="108" w:type="dxa"/>
          </w:tblCellMar>
        </w:tblPrEx>
        <w:trPr>
          <w:trHeight w:val="532"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钢板</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碳钢 5mm*1.51m*6m</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kern w:val="0"/>
                <w:sz w:val="24"/>
                <w:szCs w:val="24"/>
                <w:highlight w:val="none"/>
                <w:u w:val="none"/>
                <w:lang w:val="en-US" w:eastAsia="zh-CN" w:bidi="ar"/>
              </w:rPr>
              <w:t>5</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张</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1900/张</w:t>
            </w:r>
          </w:p>
        </w:tc>
      </w:tr>
      <w:tr>
        <w:tblPrEx>
          <w:tblCellMar>
            <w:top w:w="0" w:type="dxa"/>
            <w:left w:w="108" w:type="dxa"/>
            <w:bottom w:w="0" w:type="dxa"/>
            <w:right w:w="108" w:type="dxa"/>
          </w:tblCellMar>
        </w:tblPrEx>
        <w:trPr>
          <w:trHeight w:val="532"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无缝管</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 xml:space="preserve">Q235,325*8   </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kern w:val="0"/>
                <w:sz w:val="24"/>
                <w:szCs w:val="24"/>
                <w:highlight w:val="none"/>
                <w:u w:val="none"/>
                <w:lang w:val="en-US" w:eastAsia="zh-CN" w:bidi="ar"/>
              </w:rPr>
              <w:t>约40</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470/米</w:t>
            </w:r>
          </w:p>
        </w:tc>
      </w:tr>
    </w:tbl>
    <w:p>
      <w:pPr>
        <w:pStyle w:val="12"/>
        <w:rPr>
          <w:rFonts w:hint="eastAsia"/>
        </w:rPr>
      </w:pPr>
    </w:p>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中标人需在签订合同前缴纳履约保证金（合同价的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），于合同履约完成随货款一齐支付</w:t>
      </w:r>
      <w:r>
        <w:rPr>
          <w:rFonts w:hint="eastAsia" w:ascii="仿宋" w:hAnsi="仿宋" w:eastAsia="仿宋" w:cs="仿宋"/>
          <w:color w:val="auto"/>
          <w:kern w:val="2"/>
          <w:sz w:val="30"/>
          <w:szCs w:val="30"/>
          <w:highlight w:val="none"/>
        </w:rPr>
        <w:t>。</w:t>
      </w:r>
      <w:r>
        <w:rPr>
          <w:rFonts w:hint="eastAsia" w:ascii="仿宋_GB2312" w:eastAsia="仿宋_GB2312"/>
          <w:color w:val="auto"/>
          <w:kern w:val="2"/>
          <w:sz w:val="30"/>
          <w:szCs w:val="30"/>
          <w:highlight w:val="none"/>
          <w:lang w:eastAsia="zh-CN"/>
        </w:rPr>
        <w:t>【禁止擅自修改付款条件，未满足该条件则视为无效投标】</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相关要求：1、无缝管以实际到货数量进行结算，到货数量不得少于40米，不得超出45米，超出部分不做结算。</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FF0000"/>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color w:val="FF0000"/>
          <w:sz w:val="30"/>
          <w:szCs w:val="30"/>
          <w:lang w:val="en-US" w:eastAsia="zh-CN"/>
        </w:rPr>
        <w:t>该采购项目履约保证金为合同价的5%。中标人于合同签订前将履约保证金打入招标人指定账户。合同履行完成后，招标人退还履约保证金（无息）。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3、中标人在合同履行期间出现违约行为，招标人可扣除相应履约保证金/质保金，并向中标人追究相应经济损失。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outlineLvl w:val="0"/>
        <w:rPr>
          <w:rFonts w:hint="eastAsia" w:ascii="仿宋" w:hAnsi="仿宋" w:eastAsia="仿宋" w:cs="仿宋"/>
          <w:b/>
          <w:spacing w:val="-2"/>
          <w:sz w:val="30"/>
        </w:rPr>
      </w:pPr>
      <w:bookmarkStart w:id="17" w:name="_Toc108839328"/>
      <w:bookmarkStart w:id="18" w:name="_Toc103165678"/>
      <w:bookmarkStart w:id="19" w:name="_Toc29413"/>
      <w:r>
        <w:rPr>
          <w:rStyle w:val="20"/>
          <w:rFonts w:hint="eastAsia" w:ascii="仿宋" w:hAnsi="仿宋" w:eastAsia="仿宋" w:cs="仿宋"/>
          <w:sz w:val="30"/>
        </w:rPr>
        <w:t>附件</w:t>
      </w:r>
      <w:bookmarkEnd w:id="17"/>
      <w:bookmarkEnd w:id="18"/>
      <w:r>
        <w:rPr>
          <w:rStyle w:val="20"/>
          <w:rFonts w:hint="eastAsia" w:ascii="仿宋" w:hAnsi="仿宋" w:eastAsia="仿宋" w:cs="仿宋"/>
          <w:sz w:val="30"/>
        </w:rPr>
        <w:t>三</w:t>
      </w:r>
      <w:bookmarkEnd w:id="19"/>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钢材</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JhMzY5NTZlMjQ5NzNjMzkwZmE1ZjFmZjcxYmM5YmYifQ=="/>
  </w:docVars>
  <w:rsids>
    <w:rsidRoot w:val="1297576D"/>
    <w:rsid w:val="0029396E"/>
    <w:rsid w:val="003A657B"/>
    <w:rsid w:val="00517D5D"/>
    <w:rsid w:val="005926A3"/>
    <w:rsid w:val="008746A5"/>
    <w:rsid w:val="00B574EC"/>
    <w:rsid w:val="01D22213"/>
    <w:rsid w:val="02313595"/>
    <w:rsid w:val="02834D04"/>
    <w:rsid w:val="038D5656"/>
    <w:rsid w:val="04605697"/>
    <w:rsid w:val="05D22118"/>
    <w:rsid w:val="06057AB3"/>
    <w:rsid w:val="067A3460"/>
    <w:rsid w:val="076328DA"/>
    <w:rsid w:val="08186607"/>
    <w:rsid w:val="083A3947"/>
    <w:rsid w:val="08F93082"/>
    <w:rsid w:val="097479E0"/>
    <w:rsid w:val="0A0C6ADD"/>
    <w:rsid w:val="0A32752C"/>
    <w:rsid w:val="0A9D29B8"/>
    <w:rsid w:val="0B2C6C02"/>
    <w:rsid w:val="0BC12699"/>
    <w:rsid w:val="0BCC31F9"/>
    <w:rsid w:val="0C5A16A4"/>
    <w:rsid w:val="0DC35837"/>
    <w:rsid w:val="0DE61498"/>
    <w:rsid w:val="110C39D4"/>
    <w:rsid w:val="114520FA"/>
    <w:rsid w:val="1297576D"/>
    <w:rsid w:val="12BF4C87"/>
    <w:rsid w:val="12E70A09"/>
    <w:rsid w:val="15341747"/>
    <w:rsid w:val="164F6705"/>
    <w:rsid w:val="16646293"/>
    <w:rsid w:val="16FE5921"/>
    <w:rsid w:val="17B042A1"/>
    <w:rsid w:val="1A2B7D96"/>
    <w:rsid w:val="1BD33B78"/>
    <w:rsid w:val="1BEC2FB3"/>
    <w:rsid w:val="1CE262BC"/>
    <w:rsid w:val="1D6D770B"/>
    <w:rsid w:val="1E1A21EF"/>
    <w:rsid w:val="203B090D"/>
    <w:rsid w:val="21135480"/>
    <w:rsid w:val="212C3971"/>
    <w:rsid w:val="214D7086"/>
    <w:rsid w:val="21BA7E4E"/>
    <w:rsid w:val="22DF5956"/>
    <w:rsid w:val="22ED7F5E"/>
    <w:rsid w:val="24130D0C"/>
    <w:rsid w:val="259E2C64"/>
    <w:rsid w:val="26F76768"/>
    <w:rsid w:val="27AC61A6"/>
    <w:rsid w:val="27FE02E6"/>
    <w:rsid w:val="28C57566"/>
    <w:rsid w:val="29084622"/>
    <w:rsid w:val="29F704EF"/>
    <w:rsid w:val="2AC220DE"/>
    <w:rsid w:val="2ADB5E21"/>
    <w:rsid w:val="2ADF08BA"/>
    <w:rsid w:val="2B603075"/>
    <w:rsid w:val="2C210B5C"/>
    <w:rsid w:val="2C305EB2"/>
    <w:rsid w:val="2CD9238D"/>
    <w:rsid w:val="2E003054"/>
    <w:rsid w:val="2EB2531B"/>
    <w:rsid w:val="2F3D045F"/>
    <w:rsid w:val="2F6F3EAC"/>
    <w:rsid w:val="2F7D3F84"/>
    <w:rsid w:val="2F844FB7"/>
    <w:rsid w:val="30256074"/>
    <w:rsid w:val="302C4175"/>
    <w:rsid w:val="31713FF6"/>
    <w:rsid w:val="32B04D2F"/>
    <w:rsid w:val="33A35EAC"/>
    <w:rsid w:val="3464504B"/>
    <w:rsid w:val="34E00D83"/>
    <w:rsid w:val="34E40873"/>
    <w:rsid w:val="36216F0D"/>
    <w:rsid w:val="36316A75"/>
    <w:rsid w:val="36ED02B2"/>
    <w:rsid w:val="37DB73A7"/>
    <w:rsid w:val="389D7311"/>
    <w:rsid w:val="398E418A"/>
    <w:rsid w:val="3996009B"/>
    <w:rsid w:val="3997709B"/>
    <w:rsid w:val="39A55AE7"/>
    <w:rsid w:val="3A351BE0"/>
    <w:rsid w:val="3AFB2B32"/>
    <w:rsid w:val="3B0953A4"/>
    <w:rsid w:val="3C302F1C"/>
    <w:rsid w:val="3C8719BD"/>
    <w:rsid w:val="3CE46170"/>
    <w:rsid w:val="3D7933CA"/>
    <w:rsid w:val="3DAC3CC7"/>
    <w:rsid w:val="3E16524F"/>
    <w:rsid w:val="3EA30F9B"/>
    <w:rsid w:val="3F2D02B4"/>
    <w:rsid w:val="3F7C50B1"/>
    <w:rsid w:val="406B2371"/>
    <w:rsid w:val="407E15A7"/>
    <w:rsid w:val="40AA3B81"/>
    <w:rsid w:val="411C5733"/>
    <w:rsid w:val="417112FA"/>
    <w:rsid w:val="42D57A4D"/>
    <w:rsid w:val="436A096E"/>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F173EE"/>
    <w:rsid w:val="4C2F1B9C"/>
    <w:rsid w:val="4C870D35"/>
    <w:rsid w:val="4D2832EB"/>
    <w:rsid w:val="4DB81983"/>
    <w:rsid w:val="4DF66F25"/>
    <w:rsid w:val="4E376DB9"/>
    <w:rsid w:val="4E716394"/>
    <w:rsid w:val="4ECC39F8"/>
    <w:rsid w:val="4F0A3ECF"/>
    <w:rsid w:val="4F595384"/>
    <w:rsid w:val="4F7F3CCA"/>
    <w:rsid w:val="502844C8"/>
    <w:rsid w:val="51D845E4"/>
    <w:rsid w:val="52341DDD"/>
    <w:rsid w:val="531111FC"/>
    <w:rsid w:val="533444FB"/>
    <w:rsid w:val="55C54FE9"/>
    <w:rsid w:val="55E07717"/>
    <w:rsid w:val="56397366"/>
    <w:rsid w:val="58080247"/>
    <w:rsid w:val="5950112B"/>
    <w:rsid w:val="59C3293C"/>
    <w:rsid w:val="5A1C766A"/>
    <w:rsid w:val="5CF528AB"/>
    <w:rsid w:val="5D132301"/>
    <w:rsid w:val="5F1E1E73"/>
    <w:rsid w:val="612A3DEE"/>
    <w:rsid w:val="62B67083"/>
    <w:rsid w:val="649C599A"/>
    <w:rsid w:val="66B027B6"/>
    <w:rsid w:val="671A2875"/>
    <w:rsid w:val="67966EFB"/>
    <w:rsid w:val="67B628F5"/>
    <w:rsid w:val="682119CD"/>
    <w:rsid w:val="69A94E0C"/>
    <w:rsid w:val="6B656B47"/>
    <w:rsid w:val="6B7E1643"/>
    <w:rsid w:val="6C714475"/>
    <w:rsid w:val="6CDB032D"/>
    <w:rsid w:val="6DBD736C"/>
    <w:rsid w:val="6DF45A5A"/>
    <w:rsid w:val="6E160DB8"/>
    <w:rsid w:val="6E5526FF"/>
    <w:rsid w:val="6F2B1820"/>
    <w:rsid w:val="6F412F7A"/>
    <w:rsid w:val="707E74C2"/>
    <w:rsid w:val="710D0440"/>
    <w:rsid w:val="71C5585F"/>
    <w:rsid w:val="720E79AF"/>
    <w:rsid w:val="73A1381E"/>
    <w:rsid w:val="7459468D"/>
    <w:rsid w:val="749131D7"/>
    <w:rsid w:val="756F240E"/>
    <w:rsid w:val="779817DA"/>
    <w:rsid w:val="77D476E8"/>
    <w:rsid w:val="782A7918"/>
    <w:rsid w:val="79715756"/>
    <w:rsid w:val="7A500C84"/>
    <w:rsid w:val="7A7B08FF"/>
    <w:rsid w:val="7AE21E9E"/>
    <w:rsid w:val="7B09318D"/>
    <w:rsid w:val="7B6004E6"/>
    <w:rsid w:val="7BE14791"/>
    <w:rsid w:val="7C4C470C"/>
    <w:rsid w:val="7CD03426"/>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auto"/>
      <w:ind w:firstLine="600"/>
    </w:pPr>
    <w:rPr>
      <w:sz w:val="28"/>
    </w:rPr>
  </w:style>
  <w:style w:type="paragraph" w:styleId="5">
    <w:name w:val="annotation text"/>
    <w:basedOn w:val="1"/>
    <w:qFormat/>
    <w:uiPriority w:val="0"/>
    <w:pPr>
      <w:jc w:val="left"/>
    </w:pPr>
  </w:style>
  <w:style w:type="paragraph" w:styleId="6">
    <w:name w:val="Body Text"/>
    <w:basedOn w:val="1"/>
    <w:next w:val="1"/>
    <w:qFormat/>
    <w:uiPriority w:val="1"/>
    <w:pPr>
      <w:spacing w:after="120" w:afterLines="0"/>
    </w:p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9"/>
    <w:qFormat/>
    <w:uiPriority w:val="0"/>
    <w:rPr>
      <w:kern w:val="2"/>
      <w:sz w:val="18"/>
      <w:szCs w:val="18"/>
    </w:rPr>
  </w:style>
  <w:style w:type="character" w:customStyle="1" w:styleId="24">
    <w:name w:val="批注框文本 Char"/>
    <w:basedOn w:val="15"/>
    <w:link w:val="7"/>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default" w:ascii="Times New Roman" w:hAnsi="Times New Roman" w:cs="Times New Roman"/>
      <w:color w:val="000000"/>
      <w:sz w:val="22"/>
      <w:szCs w:val="22"/>
      <w:u w:val="none"/>
    </w:rPr>
  </w:style>
  <w:style w:type="character" w:customStyle="1" w:styleId="27">
    <w:name w:val="font41"/>
    <w:basedOn w:val="15"/>
    <w:qFormat/>
    <w:uiPriority w:val="0"/>
    <w:rPr>
      <w:rFonts w:ascii="仿宋_GB2312" w:eastAsia="仿宋_GB2312" w:cs="仿宋_GB2312"/>
      <w:color w:val="000000"/>
      <w:sz w:val="22"/>
      <w:szCs w:val="22"/>
      <w:u w:val="none"/>
    </w:rPr>
  </w:style>
  <w:style w:type="character" w:customStyle="1" w:styleId="28">
    <w:name w:val="font21"/>
    <w:basedOn w:val="15"/>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qFormat/>
    <w:uiPriority w:val="0"/>
    <w:rPr>
      <w:rFonts w:hint="eastAsia"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4"/>
      <w:szCs w:val="24"/>
      <w:u w:val="none"/>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qFormat/>
    <w:uiPriority w:val="0"/>
    <w:rPr>
      <w:rFonts w:ascii="宋体" w:hAnsi="宋体" w:eastAsia="宋体" w:cs="宋体"/>
      <w:color w:val="000000"/>
      <w:sz w:val="20"/>
      <w:szCs w:val="20"/>
      <w:u w:val="none"/>
    </w:rPr>
  </w:style>
  <w:style w:type="character" w:customStyle="1" w:styleId="33">
    <w:name w:val="font71"/>
    <w:basedOn w:val="15"/>
    <w:qFormat/>
    <w:uiPriority w:val="0"/>
    <w:rPr>
      <w:rFonts w:hint="eastAsia" w:ascii="仿宋" w:hAnsi="仿宋" w:eastAsia="仿宋" w:cs="仿宋"/>
      <w:color w:val="000000"/>
      <w:sz w:val="22"/>
      <w:szCs w:val="22"/>
      <w:u w:val="none"/>
    </w:rPr>
  </w:style>
  <w:style w:type="paragraph" w:customStyle="1" w:styleId="34">
    <w:name w:val="样式1"/>
    <w:basedOn w:val="1"/>
    <w:qFormat/>
    <w:uiPriority w:val="0"/>
    <w:pPr>
      <w:spacing w:line="240" w:lineRule="exact"/>
    </w:pPr>
    <w:rPr>
      <w:rFonts w:ascii="宋体" w:hAnsi="宋体" w:eastAsia="宋体"/>
      <w:sz w:val="24"/>
      <w:szCs w:val="24"/>
    </w:rPr>
  </w:style>
  <w:style w:type="character" w:customStyle="1" w:styleId="35">
    <w:name w:val="标题 1 Char"/>
    <w:link w:val="4"/>
    <w:qFormat/>
    <w:uiPriority w:val="0"/>
    <w:rPr>
      <w:rFonts w:ascii="宋体" w:hAnsi="Arial" w:eastAsia="黑体"/>
      <w:b/>
      <w:color w:val="000000"/>
      <w:kern w:val="44"/>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4075</Words>
  <Characters>4189</Characters>
  <Lines>53</Lines>
  <Paragraphs>15</Paragraphs>
  <TotalTime>5</TotalTime>
  <ScaleCrop>false</ScaleCrop>
  <LinksUpToDate>false</LinksUpToDate>
  <CharactersWithSpaces>4378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cp:lastModifiedBy>
  <cp:lastPrinted>2021-06-17T01:09:00Z</cp:lastPrinted>
  <dcterms:modified xsi:type="dcterms:W3CDTF">2023-12-12T02:17:35Z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07DEC81FD3E8410C8FC7D2A5303090D3</vt:lpwstr>
  </property>
</Properties>
</file>