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pPr>
        <w:pStyle w:val="2"/>
      </w:pP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年度消防维保项目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ZSNY2311019 </w:t>
      </w:r>
    </w:p>
    <w:p>
      <w:pPr>
        <w:spacing w:line="360" w:lineRule="auto"/>
        <w:ind w:firstLine="80" w:firstLineChars="25"/>
        <w:jc w:val="center"/>
        <w:rPr>
          <w:rFonts w:hint="eastAsia" w:ascii="仿宋" w:hAnsi="仿宋" w:eastAsia="仿宋" w:cs="仿宋"/>
          <w:sz w:val="32"/>
          <w:szCs w:val="32"/>
          <w:u w:val="single"/>
          <w:lang w:val="en-US" w:eastAsia="zh-CN"/>
        </w:rPr>
      </w:pPr>
      <w:bookmarkStart w:id="1" w:name="OLE_LINK53"/>
      <w:bookmarkStart w:id="2" w:name="OLE_LINK52"/>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年度消防维保</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val="en-US" w:eastAsia="zh-CN"/>
        </w:rPr>
        <w:t>十一</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pPr>
        <w:rPr>
          <w:rFonts w:hint="eastAsia" w:ascii="仿宋" w:hAnsi="仿宋" w:eastAsia="仿宋" w:cs="仿宋"/>
          <w:sz w:val="56"/>
          <w:szCs w:val="32"/>
        </w:rPr>
      </w:pPr>
      <w:r>
        <w:rPr>
          <w:rFonts w:hint="eastAsia" w:ascii="仿宋" w:hAnsi="仿宋" w:eastAsia="仿宋" w:cs="仿宋"/>
          <w:b w:val="0"/>
          <w:bCs/>
          <w:sz w:val="32"/>
          <w:szCs w:val="28"/>
        </w:rPr>
        <w:fldChar w:fldCharType="end"/>
      </w:r>
    </w:p>
    <w:p>
      <w:pPr>
        <w:rPr>
          <w:rFonts w:hint="eastAsia" w:ascii="仿宋" w:hAnsi="仿宋" w:eastAsia="仿宋" w:cs="仿宋"/>
          <w:sz w:val="36"/>
        </w:rPr>
      </w:pPr>
    </w:p>
    <w:p>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6995"/>
      <w:bookmarkStart w:id="4" w:name="_Toc530583878"/>
      <w:bookmarkStart w:id="5" w:name="_Toc530583921"/>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eastAsia="zh-CN"/>
        </w:rPr>
        <w:t>年度消防维保项目进行挂网招标</w:t>
      </w:r>
      <w:r>
        <w:rPr>
          <w:rFonts w:hint="eastAsia" w:ascii="仿宋" w:hAnsi="仿宋" w:eastAsia="仿宋" w:cs="仿宋"/>
          <w:sz w:val="30"/>
          <w:szCs w:val="30"/>
        </w:rPr>
        <w:t>，欢迎符合要求的供应商积极参与。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ZSNY2311019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项目</w:t>
      </w:r>
      <w:r>
        <w:rPr>
          <w:rFonts w:hint="eastAsia" w:ascii="仿宋" w:hAnsi="仿宋" w:eastAsia="仿宋" w:cs="仿宋"/>
          <w:sz w:val="30"/>
          <w:szCs w:val="30"/>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①火灾自动报警系统；②消火栓、消防炮系统；③消防供水系统；④防排烟系统；⑤消防电话系统；⑥消防应急广播系统；⑦消防应急照明、疏散指示系统；⑧消防卷帘门、防火门；⑨消防设施检测</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rPr>
      </w:pPr>
      <w:r>
        <w:rPr>
          <w:rFonts w:hint="eastAsia" w:ascii="仿宋" w:hAnsi="仿宋" w:eastAsia="仿宋" w:cs="仿宋"/>
          <w:sz w:val="30"/>
          <w:szCs w:val="30"/>
          <w:lang w:val="en-US" w:eastAsia="zh-CN"/>
        </w:rPr>
        <w:t>以上内容需依据国家相关消防规范（《火灾自动报警系统设计规范》《自动喷水灭火系统设计规范》《消防应急照明灯具通用技术规范》等）及其他相关规范等进行消防设施检测，并按计划抽样测试部分设备，致使一年内所有设备全部覆盖测试一遍，确保系统、设备的正常运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人民币伍</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923"/>
      <w:bookmarkStart w:id="7"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12月13</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12月6</w:t>
      </w:r>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bookmarkStart w:id="16" w:name="_GoBack"/>
      <w:bookmarkEnd w:id="16"/>
      <w:r>
        <w:rPr>
          <w:rFonts w:hint="eastAsia" w:ascii="仿宋_GB2312" w:eastAsia="仿宋_GB2312"/>
          <w:sz w:val="30"/>
          <w:szCs w:val="30"/>
        </w:rPr>
        <w:br w:type="page"/>
      </w:r>
      <w:bookmarkStart w:id="8" w:name="_Toc530583879"/>
      <w:bookmarkStart w:id="9" w:name="_Toc23057"/>
      <w:bookmarkStart w:id="10" w:name="_Toc530583922"/>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outlineLvl w:val="1"/>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outlineLvl w:val="9"/>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3"/>
        <w:rPr>
          <w:rFonts w:hint="eastAsia" w:ascii="仿宋" w:hAnsi="仿宋" w:eastAsia="仿宋" w:cs="仿宋"/>
          <w:snapToGrid w:val="0"/>
          <w:sz w:val="44"/>
          <w:szCs w:val="44"/>
        </w:rPr>
      </w:pPr>
    </w:p>
    <w:p>
      <w:pPr>
        <w:pStyle w:val="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4"/>
        <w:numPr>
          <w:ilvl w:val="0"/>
          <w:numId w:val="0"/>
        </w:numPr>
        <w:jc w:val="center"/>
        <w:rPr>
          <w:rFonts w:hint="eastAsia" w:ascii="仿宋" w:hAnsi="仿宋" w:eastAsia="仿宋" w:cs="仿宋"/>
          <w:b w:val="0"/>
          <w:bCs/>
          <w:snapToGrid w:val="0"/>
          <w:sz w:val="44"/>
        </w:rPr>
      </w:pPr>
      <w:bookmarkStart w:id="11" w:name="_Toc4053"/>
      <w:r>
        <w:rPr>
          <w:rFonts w:hint="eastAsia" w:ascii="仿宋" w:hAnsi="仿宋" w:eastAsia="仿宋" w:cs="仿宋"/>
          <w:snapToGrid w:val="0"/>
          <w:sz w:val="44"/>
          <w:szCs w:val="44"/>
        </w:rPr>
        <w:t>第三部分   询价内容</w:t>
      </w:r>
      <w:bookmarkEnd w:id="6"/>
      <w:bookmarkEnd w:id="7"/>
      <w:bookmarkEnd w:id="11"/>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一、项目</w:t>
      </w:r>
      <w:r>
        <w:rPr>
          <w:rFonts w:hint="eastAsia" w:ascii="仿宋" w:hAnsi="仿宋" w:eastAsia="仿宋" w:cs="仿宋"/>
          <w:color w:val="auto"/>
          <w:kern w:val="2"/>
          <w:sz w:val="30"/>
          <w:szCs w:val="30"/>
        </w:rPr>
        <w:t>内容及相关说明</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（1）.内容明细</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1.检查紧急广播的放音及切换功能。放音包括通过话筒、磁带等方 式放音,检查声音的大小。切换功能指每个区是否都能正常切换。2.各信号线路及线路保护管道维修。3 控制器的基本功能试验。包括控  制器的开机、液晶和数码管的显示、主备电的工作、显示和切换、声音、打印、时钟、黑匣子记录等。4 检查控制器的点名、报火警、报故障功能。5 探测器的报警试验。包括感烟、感温等所有类型探测器  的试验，试验工具符合检测要求。6 手动报警按钮的报警试验。7.声光报警器 8.消防泵的远程启停，风机的远程启停。9 消防稳压泵自动给水。</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 xml:space="preserve">（2）、工作计划 </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default"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1.控制器每月检测一次。2 现场探测器和手动报警按钮每月检测一次。3.每年找有资质的单位年检一次。4.每月对消防泵作一次启动试运转。 5.消火栓系统 ：每月检查室内消火栓栓头是否漏水,开关是否灵活,组件是否完整。每月对屋面试验栓进行放水试验,并用消火栓按钮启动消防泵,实验供水系统的水量水压。6.每月风机远程控测试一次。7 检查消防水箱的水量能否满足要求;消防气压给水装置能否保证水量和水压;自动控制系统能否正常工作。水位计、压力表工作是否正常,压力表指针是否正确,进水管上的控制阀门应每个季度检查一次，核实是否处于全开启状态。8.消防管道维修</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lang w:eastAsia="zh-CN"/>
        </w:rPr>
        <w:t>服务</w:t>
      </w:r>
      <w:r>
        <w:rPr>
          <w:rFonts w:hint="eastAsia" w:ascii="仿宋" w:hAnsi="仿宋" w:eastAsia="仿宋" w:cs="仿宋"/>
          <w:color w:val="auto"/>
          <w:kern w:val="2"/>
          <w:sz w:val="30"/>
          <w:szCs w:val="30"/>
        </w:rPr>
        <w:t>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default" w:ascii="仿宋" w:hAnsi="仿宋" w:eastAsia="仿宋" w:cs="仿宋"/>
          <w:color w:val="auto"/>
          <w:kern w:val="2"/>
          <w:sz w:val="30"/>
          <w:szCs w:val="30"/>
          <w:lang w:val="en-US"/>
        </w:rPr>
      </w:pPr>
      <w:r>
        <w:rPr>
          <w:rFonts w:hint="eastAsia" w:ascii="仿宋" w:hAnsi="仿宋" w:eastAsia="仿宋" w:cs="仿宋"/>
          <w:color w:val="auto"/>
          <w:kern w:val="2"/>
          <w:sz w:val="30"/>
          <w:szCs w:val="30"/>
          <w:lang w:eastAsia="zh-CN"/>
        </w:rPr>
        <w:t>本项目供货期为一年，即</w:t>
      </w:r>
      <w:r>
        <w:rPr>
          <w:rFonts w:hint="eastAsia" w:ascii="仿宋" w:hAnsi="仿宋" w:eastAsia="仿宋" w:cs="仿宋"/>
          <w:color w:val="auto"/>
          <w:kern w:val="2"/>
          <w:sz w:val="30"/>
          <w:szCs w:val="30"/>
          <w:lang w:val="en-US" w:eastAsia="zh-CN"/>
        </w:rPr>
        <w:t>2024年1月1日至2024年12月31日</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_GB2312" w:eastAsia="仿宋_GB2312" w:cs="Times New Roman"/>
          <w:color w:val="auto"/>
          <w:kern w:val="2"/>
          <w:sz w:val="30"/>
          <w:szCs w:val="30"/>
          <w:highlight w:val="none"/>
          <w:lang w:val="en-US" w:eastAsia="zh-CN" w:bidi="ar-SA"/>
        </w:rPr>
        <w:t>在合同有效期内，供货方实施按 6 个月付款 1 次。每 6 个月经消防检测合格（有资质的第三方检测机构出具的检测报告）后支付总金额的 50%和当季配件更换费。付款具体时间为采购方收到供货方开具结算价款的合格增值税专用发票后，次二月内向供货方支付结算价款</w:t>
      </w:r>
      <w:r>
        <w:rPr>
          <w:rFonts w:hint="eastAsia" w:ascii="仿宋" w:hAnsi="仿宋" w:eastAsia="仿宋" w:cs="仿宋"/>
          <w:color w:val="auto"/>
          <w:kern w:val="2"/>
          <w:sz w:val="30"/>
          <w:szCs w:val="30"/>
        </w:rPr>
        <w:t>。</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pPr>
        <w:pStyle w:val="4"/>
        <w:numPr>
          <w:ilvl w:val="0"/>
          <w:numId w:val="0"/>
        </w:numPr>
        <w:jc w:val="center"/>
        <w:rPr>
          <w:rFonts w:hint="eastAsia" w:ascii="仿宋" w:hAnsi="仿宋" w:eastAsia="仿宋" w:cs="仿宋"/>
          <w:snapToGrid w:val="0"/>
          <w:sz w:val="44"/>
          <w:szCs w:val="44"/>
        </w:rPr>
      </w:pPr>
      <w:bookmarkStart w:id="13"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四</w:t>
      </w:r>
      <w:r>
        <w:rPr>
          <w:rFonts w:hint="eastAsia" w:ascii="仿宋" w:hAnsi="仿宋" w:eastAsia="仿宋" w:cs="仿宋"/>
          <w:snapToGrid w:val="0"/>
          <w:sz w:val="44"/>
          <w:szCs w:val="44"/>
        </w:rPr>
        <w:t>部分    报价文件格式</w:t>
      </w:r>
      <w:bookmarkEnd w:id="12"/>
      <w:bookmarkEnd w:id="13"/>
    </w:p>
    <w:p>
      <w:pPr>
        <w:jc w:val="left"/>
        <w:outlineLvl w:val="0"/>
        <w:rPr>
          <w:rStyle w:val="20"/>
          <w:rFonts w:hint="eastAsia" w:ascii="仿宋" w:hAnsi="仿宋" w:eastAsia="仿宋" w:cs="仿宋"/>
          <w:sz w:val="30"/>
        </w:rPr>
      </w:pPr>
      <w:bookmarkStart w:id="14" w:name="_Toc22901"/>
      <w:r>
        <w:rPr>
          <w:rStyle w:val="20"/>
          <w:rFonts w:hint="eastAsia" w:ascii="仿宋" w:hAnsi="仿宋" w:eastAsia="仿宋" w:cs="仿宋"/>
          <w:sz w:val="30"/>
        </w:rPr>
        <w:t>附件一：</w:t>
      </w:r>
      <w:bookmarkEnd w:id="14"/>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eastAsia="zh-CN"/>
        </w:rPr>
        <w:t>年度消防维保</w:t>
      </w:r>
      <w:r>
        <w:rPr>
          <w:rFonts w:hint="eastAsia" w:ascii="仿宋" w:hAnsi="仿宋" w:eastAsia="仿宋" w:cs="仿宋"/>
          <w:sz w:val="52"/>
        </w:rPr>
        <w:t>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ZSNY2311019</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outlineLvl w:val="0"/>
        <w:rPr>
          <w:rStyle w:val="20"/>
          <w:rFonts w:hint="eastAsia" w:ascii="仿宋" w:hAnsi="仿宋" w:eastAsia="仿宋" w:cs="仿宋"/>
          <w:sz w:val="30"/>
        </w:rPr>
      </w:pPr>
      <w:bookmarkStart w:id="15" w:name="_Toc20355"/>
      <w:r>
        <w:rPr>
          <w:rStyle w:val="20"/>
          <w:rFonts w:hint="eastAsia" w:ascii="仿宋" w:hAnsi="仿宋" w:eastAsia="仿宋" w:cs="仿宋"/>
          <w:sz w:val="30"/>
        </w:rPr>
        <w:t>附件二</w:t>
      </w:r>
      <w:bookmarkEnd w:id="15"/>
      <w:r>
        <w:rPr>
          <w:rStyle w:val="20"/>
          <w:rFonts w:hint="eastAsia" w:ascii="仿宋" w:hAnsi="仿宋" w:eastAsia="仿宋" w:cs="仿宋"/>
          <w:sz w:val="30"/>
        </w:rPr>
        <w:t xml:space="preserve">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绍兴市再生能源发展有限公司年度消防维保 </w:t>
      </w:r>
      <w:r>
        <w:rPr>
          <w:rFonts w:hint="eastAsia" w:ascii="仿宋" w:hAnsi="仿宋" w:eastAsia="仿宋" w:cs="仿宋"/>
          <w:sz w:val="30"/>
          <w:szCs w:val="30"/>
          <w:u w:val="none"/>
          <w:lang w:val="en-US" w:eastAsia="zh-CN"/>
        </w:rPr>
        <w:t>项目。</w:t>
      </w:r>
    </w:p>
    <w:tbl>
      <w:tblPr>
        <w:tblStyle w:val="13"/>
        <w:tblW w:w="4270" w:type="pct"/>
        <w:jc w:val="center"/>
        <w:tblLayout w:type="fixed"/>
        <w:tblCellMar>
          <w:top w:w="0" w:type="dxa"/>
          <w:left w:w="108" w:type="dxa"/>
          <w:bottom w:w="0" w:type="dxa"/>
          <w:right w:w="108" w:type="dxa"/>
        </w:tblCellMar>
      </w:tblPr>
      <w:tblGrid>
        <w:gridCol w:w="1521"/>
        <w:gridCol w:w="2618"/>
        <w:gridCol w:w="2233"/>
        <w:gridCol w:w="1561"/>
      </w:tblGrid>
      <w:tr>
        <w:tblPrEx>
          <w:tblCellMar>
            <w:top w:w="0" w:type="dxa"/>
            <w:left w:w="108" w:type="dxa"/>
            <w:bottom w:w="0" w:type="dxa"/>
            <w:right w:w="108" w:type="dxa"/>
          </w:tblCellMar>
        </w:tblPrEx>
        <w:trPr>
          <w:trHeight w:val="467" w:hRule="atLeast"/>
          <w:jc w:val="center"/>
        </w:trPr>
        <w:tc>
          <w:tcPr>
            <w:tcW w:w="1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6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项目名称</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报价</w:t>
            </w:r>
          </w:p>
        </w:tc>
        <w:tc>
          <w:tcPr>
            <w:tcW w:w="15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32" w:hRule="atLeast"/>
          <w:jc w:val="center"/>
        </w:trPr>
        <w:tc>
          <w:tcPr>
            <w:tcW w:w="15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宋体" w:hAnsi="宋体" w:eastAsia="宋体" w:cs="宋体"/>
                <w:i w:val="0"/>
                <w:iCs w:val="0"/>
                <w:color w:val="auto"/>
                <w:kern w:val="0"/>
                <w:sz w:val="22"/>
                <w:szCs w:val="22"/>
                <w:u w:val="none"/>
                <w:lang w:val="en-US" w:eastAsia="zh-CN" w:bidi="ar"/>
              </w:rPr>
              <w:t>1</w:t>
            </w:r>
          </w:p>
        </w:tc>
        <w:tc>
          <w:tcPr>
            <w:tcW w:w="2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宋体" w:hAnsi="宋体" w:cs="宋体"/>
                <w:i w:val="0"/>
                <w:iCs w:val="0"/>
                <w:color w:val="000000"/>
                <w:kern w:val="0"/>
                <w:sz w:val="22"/>
                <w:szCs w:val="22"/>
                <w:u w:val="none"/>
                <w:lang w:val="en-US" w:eastAsia="zh-CN" w:bidi="ar"/>
              </w:rPr>
              <w:t>消防设备维保项目</w:t>
            </w:r>
          </w:p>
        </w:tc>
        <w:tc>
          <w:tcPr>
            <w:tcW w:w="2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5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¥50000.00</w:t>
            </w:r>
          </w:p>
        </w:tc>
      </w:tr>
    </w:tbl>
    <w:p>
      <w:pPr>
        <w:pStyle w:val="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6</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_GB2312" w:eastAsia="仿宋_GB2312" w:cs="Times New Roman"/>
          <w:color w:val="auto"/>
          <w:kern w:val="2"/>
          <w:sz w:val="30"/>
          <w:szCs w:val="30"/>
          <w:highlight w:val="none"/>
          <w:lang w:val="en-US" w:eastAsia="zh-CN" w:bidi="ar-SA"/>
        </w:rPr>
        <w:t>在合同有效期内，供货方实施按 6 个月付款 1 次。每 6 个月经消防检测合格（有资质的第三方检测机构出具的检测报告）后支付总金额的 50%和当季配件更换费。付款具体时间为采购方收到供货方开具结算价款的合格增值税专用发票后，次二月内向供货方支付结算价款</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相关要求：1、</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人民币伍</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2、投标方报价内需包含</w:t>
      </w:r>
      <w:r>
        <w:rPr>
          <w:rFonts w:hint="eastAsia" w:ascii="仿宋_GB2312" w:eastAsia="仿宋_GB2312" w:cs="Times New Roman"/>
          <w:color w:val="auto"/>
          <w:kern w:val="2"/>
          <w:sz w:val="30"/>
          <w:szCs w:val="30"/>
          <w:highlight w:val="none"/>
          <w:lang w:val="en-US" w:eastAsia="zh-CN" w:bidi="ar-SA"/>
        </w:rPr>
        <w:t>有资质的第三方检测机构出具的检测报告的相关检测费用，到时不得再以此为理由另外新增费用。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3、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4、以上总价应为含税全包价，包括运费、税费等一切费用，发票必须为增值税专用发票。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pStyle w:val="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CC8527C"/>
    <w:multiLevelType w:val="singleLevel"/>
    <w:tmpl w:val="4CC8527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2DE5963"/>
    <w:rsid w:val="038D5656"/>
    <w:rsid w:val="04605697"/>
    <w:rsid w:val="05D22118"/>
    <w:rsid w:val="06057AB3"/>
    <w:rsid w:val="067A3460"/>
    <w:rsid w:val="076328DA"/>
    <w:rsid w:val="08186607"/>
    <w:rsid w:val="083A3947"/>
    <w:rsid w:val="08F93082"/>
    <w:rsid w:val="097479E0"/>
    <w:rsid w:val="0A0C6ADD"/>
    <w:rsid w:val="0A32752C"/>
    <w:rsid w:val="0A9D29B8"/>
    <w:rsid w:val="0B2C6C02"/>
    <w:rsid w:val="0BC12699"/>
    <w:rsid w:val="0BCC31F9"/>
    <w:rsid w:val="0C5A16A4"/>
    <w:rsid w:val="0DC35837"/>
    <w:rsid w:val="0DE61498"/>
    <w:rsid w:val="110C39D4"/>
    <w:rsid w:val="1297576D"/>
    <w:rsid w:val="12BF4C87"/>
    <w:rsid w:val="12E70A09"/>
    <w:rsid w:val="15341747"/>
    <w:rsid w:val="164F6705"/>
    <w:rsid w:val="16646293"/>
    <w:rsid w:val="16FE5921"/>
    <w:rsid w:val="17B042A1"/>
    <w:rsid w:val="1A2B7D96"/>
    <w:rsid w:val="1BD33B78"/>
    <w:rsid w:val="1BEC2FB3"/>
    <w:rsid w:val="1CE262BC"/>
    <w:rsid w:val="1D6D770B"/>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4E40873"/>
    <w:rsid w:val="36216F0D"/>
    <w:rsid w:val="36316A75"/>
    <w:rsid w:val="36ED02B2"/>
    <w:rsid w:val="37DB73A7"/>
    <w:rsid w:val="389D7311"/>
    <w:rsid w:val="398E418A"/>
    <w:rsid w:val="3996009B"/>
    <w:rsid w:val="3997709B"/>
    <w:rsid w:val="39A55AE7"/>
    <w:rsid w:val="3A351BE0"/>
    <w:rsid w:val="3AFB2B32"/>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B81983"/>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8080247"/>
    <w:rsid w:val="5950112B"/>
    <w:rsid w:val="59C3293C"/>
    <w:rsid w:val="5A1C766A"/>
    <w:rsid w:val="5CF528AB"/>
    <w:rsid w:val="5D132301"/>
    <w:rsid w:val="5F1E1E73"/>
    <w:rsid w:val="612A3DEE"/>
    <w:rsid w:val="62B67083"/>
    <w:rsid w:val="63F62293"/>
    <w:rsid w:val="649C599A"/>
    <w:rsid w:val="66B027B6"/>
    <w:rsid w:val="671A2875"/>
    <w:rsid w:val="67966EFB"/>
    <w:rsid w:val="67B628F5"/>
    <w:rsid w:val="682119CD"/>
    <w:rsid w:val="69A94E0C"/>
    <w:rsid w:val="6B656B47"/>
    <w:rsid w:val="6B7E1643"/>
    <w:rsid w:val="6C714475"/>
    <w:rsid w:val="6CDB032D"/>
    <w:rsid w:val="6DBD736C"/>
    <w:rsid w:val="6DF45A5A"/>
    <w:rsid w:val="6E160DB8"/>
    <w:rsid w:val="6E5526FF"/>
    <w:rsid w:val="6F2B1820"/>
    <w:rsid w:val="6F412F7A"/>
    <w:rsid w:val="707E74C2"/>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widowControl/>
      <w:spacing w:after="120" w:afterLines="0" w:line="240" w:lineRule="auto"/>
      <w:ind w:firstLine="420" w:firstLineChars="100"/>
      <w:jc w:val="left"/>
    </w:pPr>
    <w:rPr>
      <w:rFonts w:ascii="Times New Roman" w:eastAsia="宋体"/>
      <w:kern w:val="0"/>
      <w:sz w:val="21"/>
    </w:rPr>
  </w:style>
  <w:style w:type="paragraph" w:styleId="3">
    <w:name w:val="Body Text"/>
    <w:basedOn w:val="1"/>
    <w:next w:val="1"/>
    <w:qFormat/>
    <w:uiPriority w:val="1"/>
    <w:pPr>
      <w:spacing w:after="120" w:afterLines="0"/>
    </w:pPr>
  </w:style>
  <w:style w:type="paragraph" w:styleId="5">
    <w:name w:val="annotation text"/>
    <w:basedOn w:val="1"/>
    <w:qFormat/>
    <w:uiPriority w:val="0"/>
    <w:pPr>
      <w:jc w:val="left"/>
    </w:pPr>
  </w:style>
  <w:style w:type="paragraph" w:styleId="6">
    <w:name w:val="Body Text Indent"/>
    <w:basedOn w:val="1"/>
    <w:qFormat/>
    <w:uiPriority w:val="0"/>
    <w:pPr>
      <w:spacing w:line="480" w:lineRule="auto"/>
      <w:ind w:firstLine="600"/>
    </w:pPr>
    <w:rPr>
      <w:sz w:val="28"/>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2"/>
    <w:basedOn w:val="6"/>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5850</Words>
  <Characters>5978</Characters>
  <Lines>53</Lines>
  <Paragraphs>15</Paragraphs>
  <TotalTime>2</TotalTime>
  <ScaleCrop>false</ScaleCrop>
  <LinksUpToDate>false</LinksUpToDate>
  <CharactersWithSpaces>6869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2021-06-17T01:09:00Z</cp:lastPrinted>
  <dcterms:modified xsi:type="dcterms:W3CDTF">2023-12-06T05:27:41Z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07DEC81FD3E8410C8FC7D2A5303090D3</vt:lpwstr>
  </property>
</Properties>
</file>