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72"/>
        </w:rPr>
      </w:pPr>
    </w:p>
    <w:p>
      <w:pPr>
        <w:jc w:val="center"/>
        <w:rPr>
          <w:rFonts w:hint="eastAsia" w:ascii="仿宋" w:hAnsi="仿宋" w:eastAsia="仿宋" w:cs="仿宋"/>
          <w:sz w:val="72"/>
        </w:rPr>
      </w:pPr>
    </w:p>
    <w:p>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pPr>
        <w:pStyle w:val="12"/>
      </w:pP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空压机备件采购项目</w:t>
      </w:r>
    </w:p>
    <w:p>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pPr>
        <w:jc w:val="center"/>
        <w:rPr>
          <w:rFonts w:hint="eastAsia" w:ascii="仿宋" w:hAnsi="仿宋" w:eastAsia="仿宋" w:cs="仿宋"/>
          <w:b/>
          <w:sz w:val="48"/>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rPr>
          <w:rFonts w:hint="eastAsia" w:ascii="仿宋" w:hAnsi="仿宋" w:eastAsia="仿宋" w:cs="仿宋"/>
          <w:sz w:val="40"/>
          <w:szCs w:val="48"/>
        </w:rPr>
      </w:pPr>
    </w:p>
    <w:p>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u w:val="single"/>
          <w:lang w:val="en-US" w:eastAsia="zh-CN"/>
        </w:rPr>
        <w:t xml:space="preserve"> ZSNY/SBBJ2311023 </w:t>
      </w:r>
    </w:p>
    <w:p>
      <w:pPr>
        <w:spacing w:line="360" w:lineRule="auto"/>
        <w:ind w:firstLine="80" w:firstLineChars="25"/>
        <w:jc w:val="center"/>
        <w:rPr>
          <w:rFonts w:hint="eastAsia" w:ascii="仿宋" w:hAnsi="仿宋" w:eastAsia="仿宋" w:cs="仿宋"/>
          <w:sz w:val="32"/>
          <w:szCs w:val="32"/>
          <w:u w:val="single"/>
          <w:lang w:val="en-US" w:eastAsia="zh-CN"/>
        </w:rPr>
      </w:pPr>
      <w:bookmarkStart w:id="1" w:name="OLE_LINK52"/>
      <w:bookmarkStart w:id="2" w:name="OLE_LINK53"/>
      <w:r>
        <w:rPr>
          <w:rFonts w:hint="eastAsia" w:ascii="仿宋" w:hAnsi="仿宋" w:eastAsia="仿宋" w:cs="仿宋"/>
          <w:sz w:val="32"/>
          <w:szCs w:val="32"/>
        </w:rPr>
        <w:t>项目名称：</w:t>
      </w:r>
      <w:bookmarkEnd w:id="1"/>
      <w:bookmarkEnd w:id="2"/>
      <w:r>
        <w:rPr>
          <w:rFonts w:hint="eastAsia" w:ascii="仿宋" w:hAnsi="仿宋" w:eastAsia="仿宋" w:cs="仿宋"/>
          <w:sz w:val="32"/>
          <w:szCs w:val="32"/>
          <w:u w:val="single"/>
          <w:lang w:val="en-US" w:eastAsia="zh-CN"/>
        </w:rPr>
        <w:t xml:space="preserve">  空压机备件</w:t>
      </w:r>
      <w:r>
        <w:rPr>
          <w:rFonts w:hint="eastAsia" w:ascii="仿宋" w:hAnsi="仿宋" w:eastAsia="仿宋" w:cs="仿宋"/>
          <w:sz w:val="32"/>
          <w:szCs w:val="32"/>
          <w:u w:val="single"/>
        </w:rPr>
        <w:t>采购</w:t>
      </w:r>
      <w:r>
        <w:rPr>
          <w:rFonts w:hint="eastAsia" w:ascii="仿宋" w:hAnsi="仿宋" w:eastAsia="仿宋" w:cs="仿宋"/>
          <w:sz w:val="32"/>
          <w:szCs w:val="32"/>
          <w:u w:val="single"/>
          <w:lang w:val="en-US" w:eastAsia="zh-CN"/>
        </w:rPr>
        <w:t>项目</w:t>
      </w:r>
    </w:p>
    <w:p>
      <w:pPr>
        <w:rPr>
          <w:rFonts w:hint="eastAsia" w:ascii="仿宋" w:hAnsi="仿宋" w:eastAsia="仿宋" w:cs="仿宋"/>
          <w:sz w:val="84"/>
        </w:rPr>
      </w:pPr>
    </w:p>
    <w:p>
      <w:pPr>
        <w:rPr>
          <w:rFonts w:hint="eastAsia" w:ascii="仿宋" w:hAnsi="仿宋" w:eastAsia="仿宋" w:cs="仿宋"/>
          <w:sz w:val="84"/>
        </w:rPr>
      </w:pPr>
    </w:p>
    <w:p>
      <w:pPr>
        <w:rPr>
          <w:rFonts w:hint="eastAsia" w:ascii="仿宋" w:hAnsi="仿宋" w:eastAsia="仿宋" w:cs="仿宋"/>
          <w:sz w:val="84"/>
        </w:rPr>
      </w:pPr>
    </w:p>
    <w:p>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eastAsia="zh-CN"/>
        </w:rPr>
        <w:t>三</w:t>
      </w:r>
      <w:r>
        <w:rPr>
          <w:rFonts w:hint="eastAsia" w:ascii="仿宋" w:hAnsi="仿宋" w:eastAsia="仿宋" w:cs="仿宋"/>
          <w:sz w:val="32"/>
          <w:szCs w:val="32"/>
        </w:rPr>
        <w:t>年</w:t>
      </w:r>
      <w:r>
        <w:rPr>
          <w:rFonts w:hint="eastAsia" w:ascii="仿宋" w:hAnsi="仿宋" w:eastAsia="仿宋" w:cs="仿宋"/>
          <w:sz w:val="32"/>
          <w:szCs w:val="32"/>
          <w:lang w:eastAsia="zh-CN"/>
        </w:rPr>
        <w:t>十一</w:t>
      </w:r>
      <w:r>
        <w:rPr>
          <w:rFonts w:hint="eastAsia" w:ascii="仿宋" w:hAnsi="仿宋" w:eastAsia="仿宋" w:cs="仿宋"/>
          <w:sz w:val="32"/>
          <w:szCs w:val="32"/>
        </w:rPr>
        <w:t>月</w:t>
      </w: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6</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10</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11</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15</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15</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16</w:t>
      </w:r>
      <w:r>
        <w:rPr>
          <w:b w:val="0"/>
          <w:bCs/>
          <w:sz w:val="32"/>
          <w:szCs w:val="28"/>
        </w:rPr>
        <w:fldChar w:fldCharType="end"/>
      </w:r>
      <w:r>
        <w:rPr>
          <w:rFonts w:hint="eastAsia" w:ascii="仿宋" w:hAnsi="仿宋" w:eastAsia="仿宋" w:cs="仿宋"/>
          <w:b w:val="0"/>
          <w:bCs/>
          <w:sz w:val="32"/>
          <w:szCs w:val="28"/>
        </w:rPr>
        <w:fldChar w:fldCharType="end"/>
      </w:r>
    </w:p>
    <w:p>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pPr>
        <w:rPr>
          <w:rFonts w:hint="eastAsia" w:ascii="仿宋" w:hAnsi="仿宋" w:eastAsia="仿宋" w:cs="仿宋"/>
          <w:sz w:val="56"/>
          <w:szCs w:val="32"/>
        </w:rPr>
      </w:pPr>
      <w:r>
        <w:rPr>
          <w:rFonts w:hint="eastAsia" w:ascii="仿宋" w:hAnsi="仿宋" w:eastAsia="仿宋" w:cs="仿宋"/>
          <w:b w:val="0"/>
          <w:bCs/>
          <w:sz w:val="32"/>
          <w:szCs w:val="28"/>
        </w:rPr>
        <w:fldChar w:fldCharType="end"/>
      </w:r>
    </w:p>
    <w:p>
      <w:pPr>
        <w:rPr>
          <w:rFonts w:hint="eastAsia" w:ascii="仿宋" w:hAnsi="仿宋" w:eastAsia="仿宋" w:cs="仿宋"/>
          <w:sz w:val="36"/>
        </w:rPr>
      </w:pPr>
    </w:p>
    <w:p>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3" w:name="_Toc530583878"/>
      <w:bookmarkStart w:id="4" w:name="_Toc530583921"/>
      <w:bookmarkStart w:id="5" w:name="_Toc6995"/>
      <w:r>
        <w:rPr>
          <w:rFonts w:hint="eastAsia" w:ascii="仿宋" w:hAnsi="仿宋" w:eastAsia="仿宋" w:cs="仿宋"/>
          <w:b/>
          <w:snapToGrid w:val="0"/>
          <w:color w:val="000000"/>
          <w:kern w:val="44"/>
          <w:sz w:val="44"/>
          <w:szCs w:val="44"/>
          <w:lang w:val="en-US" w:eastAsia="zh-CN" w:bidi="ar-SA"/>
        </w:rPr>
        <w:t>第一部分   询价公告</w:t>
      </w:r>
      <w:bookmarkEnd w:id="3"/>
      <w:bookmarkEnd w:id="4"/>
      <w:bookmarkEnd w:id="5"/>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因日常生产需要，需采购</w:t>
      </w:r>
      <w:r>
        <w:rPr>
          <w:rFonts w:hint="eastAsia" w:ascii="仿宋" w:hAnsi="仿宋" w:eastAsia="仿宋" w:cs="仿宋"/>
          <w:sz w:val="30"/>
          <w:szCs w:val="30"/>
          <w:lang w:eastAsia="zh-CN"/>
        </w:rPr>
        <w:t>空压机备件</w:t>
      </w:r>
      <w:r>
        <w:rPr>
          <w:rFonts w:hint="eastAsia" w:ascii="仿宋" w:hAnsi="仿宋" w:eastAsia="仿宋" w:cs="仿宋"/>
          <w:sz w:val="30"/>
          <w:szCs w:val="30"/>
        </w:rPr>
        <w:t>一批，欢迎符合要求的供应商积极参与。</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ZSNY/SBBJ2311023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2.采购内容：</w:t>
      </w:r>
    </w:p>
    <w:tbl>
      <w:tblPr>
        <w:tblStyle w:val="13"/>
        <w:tblW w:w="4996" w:type="pct"/>
        <w:jc w:val="center"/>
        <w:tblLayout w:type="autofit"/>
        <w:tblCellMar>
          <w:top w:w="0" w:type="dxa"/>
          <w:left w:w="108" w:type="dxa"/>
          <w:bottom w:w="0" w:type="dxa"/>
          <w:right w:w="108" w:type="dxa"/>
        </w:tblCellMar>
      </w:tblPr>
      <w:tblGrid>
        <w:gridCol w:w="832"/>
        <w:gridCol w:w="1866"/>
        <w:gridCol w:w="2743"/>
        <w:gridCol w:w="748"/>
        <w:gridCol w:w="737"/>
        <w:gridCol w:w="1428"/>
        <w:gridCol w:w="925"/>
      </w:tblGrid>
      <w:tr>
        <w:tblPrEx>
          <w:tblCellMar>
            <w:top w:w="0" w:type="dxa"/>
            <w:left w:w="108" w:type="dxa"/>
            <w:bottom w:w="0" w:type="dxa"/>
            <w:right w:w="108" w:type="dxa"/>
          </w:tblCellMar>
        </w:tblPrEx>
        <w:trPr>
          <w:trHeight w:val="90" w:hRule="atLeast"/>
          <w:jc w:val="center"/>
        </w:trPr>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005"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147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型号规格</w:t>
            </w:r>
          </w:p>
        </w:tc>
        <w:tc>
          <w:tcPr>
            <w:tcW w:w="40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数量</w:t>
            </w:r>
          </w:p>
        </w:tc>
        <w:tc>
          <w:tcPr>
            <w:tcW w:w="397"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单位</w:t>
            </w:r>
          </w:p>
        </w:tc>
        <w:tc>
          <w:tcPr>
            <w:tcW w:w="769"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限价</w:t>
            </w:r>
          </w:p>
        </w:tc>
        <w:tc>
          <w:tcPr>
            <w:tcW w:w="49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tblPrEx>
          <w:tblCellMar>
            <w:top w:w="0" w:type="dxa"/>
            <w:left w:w="108" w:type="dxa"/>
            <w:bottom w:w="0" w:type="dxa"/>
            <w:right w:w="108" w:type="dxa"/>
          </w:tblCellMar>
        </w:tblPrEx>
        <w:trPr>
          <w:trHeight w:val="561" w:hRule="atLeast"/>
          <w:jc w:val="center"/>
        </w:trPr>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1</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三相电磁阀</w:t>
            </w:r>
          </w:p>
        </w:tc>
        <w:tc>
          <w:tcPr>
            <w:tcW w:w="2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9313715-164101-B</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1000元/只</w:t>
            </w:r>
          </w:p>
        </w:tc>
        <w:tc>
          <w:tcPr>
            <w:tcW w:w="498" w:type="pct"/>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复盛</w:t>
            </w:r>
          </w:p>
        </w:tc>
      </w:tr>
      <w:tr>
        <w:tblPrEx>
          <w:tblCellMar>
            <w:top w:w="0" w:type="dxa"/>
            <w:left w:w="108" w:type="dxa"/>
            <w:bottom w:w="0" w:type="dxa"/>
            <w:right w:w="108" w:type="dxa"/>
          </w:tblCellMar>
        </w:tblPrEx>
        <w:trPr>
          <w:trHeight w:val="561" w:hRule="atLeast"/>
          <w:jc w:val="center"/>
        </w:trPr>
        <w:tc>
          <w:tcPr>
            <w:tcW w:w="448"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仿宋" w:hAnsi="仿宋" w:eastAsia="仿宋" w:cs="仿宋"/>
                <w:i w:val="0"/>
                <w:iCs w:val="0"/>
                <w:color w:val="auto"/>
                <w:kern w:val="0"/>
                <w:sz w:val="22"/>
                <w:szCs w:val="22"/>
                <w:u w:val="none"/>
                <w:lang w:val="en-US" w:eastAsia="zh-CN" w:bidi="ar"/>
              </w:rPr>
            </w:pPr>
            <w:r>
              <w:rPr>
                <w:rFonts w:hint="eastAsia" w:ascii="仿宋" w:hAnsi="仿宋" w:eastAsia="仿宋" w:cs="仿宋"/>
                <w:i w:val="0"/>
                <w:iCs w:val="0"/>
                <w:color w:val="auto"/>
                <w:kern w:val="0"/>
                <w:sz w:val="22"/>
                <w:szCs w:val="22"/>
                <w:u w:val="none"/>
                <w:lang w:val="en-US" w:eastAsia="zh-CN" w:bidi="ar"/>
              </w:rPr>
              <w:t>2</w:t>
            </w:r>
          </w:p>
        </w:tc>
        <w:tc>
          <w:tcPr>
            <w:tcW w:w="18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蝶式进气阀</w:t>
            </w:r>
          </w:p>
        </w:tc>
        <w:tc>
          <w:tcPr>
            <w:tcW w:w="27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SF200W/8 （2104050056）</w:t>
            </w:r>
          </w:p>
        </w:tc>
        <w:tc>
          <w:tcPr>
            <w:tcW w:w="7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76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13000元/个</w:t>
            </w:r>
          </w:p>
        </w:tc>
        <w:tc>
          <w:tcPr>
            <w:tcW w:w="498" w:type="pct"/>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1"/>
                <w:szCs w:val="21"/>
                <w:u w:val="none"/>
                <w:lang w:val="en-US" w:eastAsia="zh-CN" w:bidi="ar"/>
              </w:rPr>
            </w:pPr>
          </w:p>
        </w:tc>
      </w:tr>
    </w:tbl>
    <w:p>
      <w:pPr>
        <w:pStyle w:val="12"/>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3.本项目采购总金额限价为</w:t>
      </w:r>
      <w:r>
        <w:rPr>
          <w:rFonts w:hint="eastAsia" w:ascii="仿宋" w:hAnsi="仿宋" w:eastAsia="仿宋" w:cs="仿宋"/>
          <w:sz w:val="30"/>
          <w:szCs w:val="30"/>
          <w:lang w:eastAsia="zh-CN"/>
        </w:rPr>
        <w:t>人民币</w:t>
      </w:r>
      <w:r>
        <w:rPr>
          <w:rFonts w:hint="eastAsia" w:ascii="仿宋" w:hAnsi="仿宋" w:eastAsia="仿宋" w:cs="仿宋"/>
          <w:sz w:val="30"/>
          <w:szCs w:val="30"/>
          <w:lang w:val="en-US" w:eastAsia="zh-CN"/>
        </w:rPr>
        <w:t>壹万伍仟</w:t>
      </w:r>
      <w:r>
        <w:rPr>
          <w:rFonts w:hint="eastAsia" w:ascii="仿宋" w:hAnsi="仿宋" w:eastAsia="仿宋" w:cs="仿宋"/>
          <w:sz w:val="30"/>
          <w:szCs w:val="30"/>
        </w:rPr>
        <w:t>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6" w:name="_Toc530583880"/>
      <w:bookmarkStart w:id="7"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default" w:ascii="仿宋_GB2312" w:eastAsia="仿宋_GB2312"/>
          <w:sz w:val="30"/>
          <w:szCs w:val="30"/>
          <w:lang w:val="en-US"/>
        </w:rPr>
        <w:t>3</w:t>
      </w:r>
      <w:r>
        <w:rPr>
          <w:rFonts w:hint="eastAsia" w:ascii="仿宋_GB2312" w:eastAsia="仿宋_GB2312"/>
          <w:sz w:val="30"/>
          <w:szCs w:val="30"/>
        </w:rPr>
        <w:t>年</w:t>
      </w:r>
      <w:r>
        <w:rPr>
          <w:rFonts w:hint="eastAsia" w:ascii="仿宋_GB2312" w:eastAsia="仿宋_GB2312"/>
          <w:sz w:val="30"/>
          <w:szCs w:val="30"/>
          <w:lang w:val="en-US" w:eastAsia="zh-CN"/>
        </w:rPr>
        <w:t>12月6</w:t>
      </w:r>
      <w:r>
        <w:rPr>
          <w:rFonts w:hint="eastAsia" w:ascii="仿宋_GB2312" w:eastAsia="仿宋_GB2312"/>
          <w:sz w:val="30"/>
          <w:szCs w:val="30"/>
        </w:rPr>
        <w:t>日10:</w:t>
      </w:r>
      <w:r>
        <w:rPr>
          <w:rFonts w:hint="eastAsia" w:ascii="仿宋_GB2312" w:eastAsia="仿宋_GB2312"/>
          <w:sz w:val="30"/>
          <w:szCs w:val="30"/>
          <w:lang w:val="en-US" w:eastAsia="zh-CN"/>
        </w:rPr>
        <w:t>30</w:t>
      </w:r>
      <w:r>
        <w:rPr>
          <w:rFonts w:hint="eastAsia" w:ascii="仿宋_GB2312" w:eastAsia="仿宋_GB2312"/>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2.联系人：王工    联系电话：18367809201</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rPr>
      </w:pPr>
      <w:r>
        <w:rPr>
          <w:rFonts w:hint="eastAsia" w:ascii="仿宋_GB2312" w:eastAsia="仿宋_GB2312"/>
          <w:sz w:val="30"/>
          <w:szCs w:val="30"/>
          <w:lang w:val="en-US" w:eastAsia="zh-CN"/>
        </w:rPr>
        <w:t>2023</w:t>
      </w:r>
      <w:r>
        <w:rPr>
          <w:rFonts w:hint="default" w:ascii="仿宋_GB2312" w:eastAsia="仿宋_GB2312"/>
          <w:sz w:val="30"/>
          <w:szCs w:val="30"/>
          <w:lang w:val="en-US"/>
        </w:rPr>
        <w:t>年</w:t>
      </w:r>
      <w:r>
        <w:rPr>
          <w:rFonts w:hint="eastAsia" w:ascii="仿宋_GB2312" w:eastAsia="仿宋_GB2312"/>
          <w:sz w:val="30"/>
          <w:szCs w:val="30"/>
          <w:lang w:val="en-US" w:eastAsia="zh-CN"/>
        </w:rPr>
        <w:t>12月6</w:t>
      </w:r>
      <w:bookmarkStart w:id="20" w:name="_GoBack"/>
      <w:bookmarkEnd w:id="20"/>
      <w:r>
        <w:rPr>
          <w:rFonts w:hint="eastAsia" w:ascii="仿宋_GB2312" w:eastAsia="仿宋_GB2312"/>
          <w:sz w:val="30"/>
          <w:szCs w:val="30"/>
        </w:rPr>
        <w:t>日</w:t>
      </w:r>
    </w:p>
    <w:p>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8" w:name="_Toc530583922"/>
      <w:bookmarkStart w:id="9" w:name="_Toc23057"/>
      <w:bookmarkStart w:id="10" w:name="_Toc530583879"/>
      <w:r>
        <w:rPr>
          <w:rFonts w:hint="eastAsia" w:ascii="仿宋" w:hAnsi="仿宋" w:eastAsia="仿宋" w:cs="仿宋"/>
          <w:b/>
          <w:snapToGrid w:val="0"/>
          <w:color w:val="000000"/>
          <w:kern w:val="44"/>
          <w:sz w:val="44"/>
          <w:szCs w:val="44"/>
          <w:lang w:val="en-US" w:eastAsia="zh-CN" w:bidi="ar-SA"/>
        </w:rPr>
        <w:t>第二部分   采购须知</w:t>
      </w:r>
      <w:bookmarkEnd w:id="8"/>
      <w:bookmarkEnd w:id="9"/>
      <w:bookmarkEnd w:id="10"/>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pPr>
        <w:pageBreakBefore w:val="0"/>
        <w:kinsoku/>
        <w:wordWrap/>
        <w:topLinePunct w:val="0"/>
        <w:bidi w:val="0"/>
        <w:snapToGrid w:val="0"/>
        <w:spacing w:line="360" w:lineRule="auto"/>
        <w:ind w:firstLine="602" w:firstLineChars="200"/>
        <w:jc w:val="left"/>
        <w:outlineLvl w:val="1"/>
        <w:rPr>
          <w:rFonts w:ascii="仿宋_GB2312" w:eastAsia="仿宋_GB2312"/>
          <w:b/>
          <w:bCs/>
          <w:sz w:val="30"/>
          <w:szCs w:val="30"/>
        </w:rPr>
      </w:pPr>
      <w:r>
        <w:rPr>
          <w:rFonts w:hint="eastAsia" w:ascii="仿宋_GB2312" w:eastAsia="仿宋_GB2312"/>
          <w:b/>
          <w:bCs/>
          <w:sz w:val="30"/>
          <w:szCs w:val="30"/>
          <w:lang w:eastAsia="zh-CN"/>
        </w:rPr>
        <w:t>十一、</w:t>
      </w:r>
      <w:r>
        <w:rPr>
          <w:rFonts w:hint="eastAsia" w:ascii="仿宋_GB2312" w:eastAsia="仿宋_GB2312"/>
          <w:b/>
          <w:bCs/>
          <w:sz w:val="30"/>
          <w:szCs w:val="30"/>
        </w:rPr>
        <w:t>成交原则与方法。</w:t>
      </w:r>
    </w:p>
    <w:p>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（一）</w:t>
      </w:r>
      <w:r>
        <w:rPr>
          <w:rFonts w:hint="eastAsia" w:ascii="仿宋_GB2312" w:eastAsia="仿宋_GB2312"/>
          <w:sz w:val="30"/>
          <w:szCs w:val="30"/>
          <w:lang w:val="en-US" w:eastAsia="zh-CN"/>
        </w:rPr>
        <w:t>采购人</w:t>
      </w:r>
      <w:r>
        <w:rPr>
          <w:rFonts w:hint="eastAsia" w:ascii="仿宋_GB2312" w:eastAsia="仿宋_GB2312"/>
          <w:sz w:val="30"/>
          <w:szCs w:val="30"/>
        </w:rPr>
        <w:t>组织评审小组对各单位的报价资料进行审核，在满足</w:t>
      </w:r>
      <w:r>
        <w:rPr>
          <w:rFonts w:hint="eastAsia" w:ascii="仿宋_GB2312" w:eastAsia="仿宋_GB2312"/>
          <w:sz w:val="30"/>
          <w:szCs w:val="30"/>
          <w:lang w:val="en-US" w:eastAsia="zh-CN"/>
        </w:rPr>
        <w:t>采购人</w:t>
      </w:r>
      <w:r>
        <w:rPr>
          <w:rFonts w:hint="eastAsia" w:ascii="仿宋_GB2312" w:eastAsia="仿宋_GB2312"/>
          <w:sz w:val="30"/>
          <w:szCs w:val="30"/>
        </w:rPr>
        <w:t>要求的前提下，按经评审通过后总金额最低价成交的原则确定</w:t>
      </w:r>
      <w:r>
        <w:rPr>
          <w:rFonts w:hint="eastAsia" w:ascii="仿宋_GB2312" w:eastAsia="仿宋_GB2312"/>
          <w:sz w:val="30"/>
          <w:szCs w:val="30"/>
          <w:lang w:val="en-US" w:eastAsia="zh-CN"/>
        </w:rPr>
        <w:t>中标单位，</w:t>
      </w:r>
      <w:r>
        <w:rPr>
          <w:rFonts w:hint="eastAsia" w:ascii="仿宋_GB2312" w:eastAsia="仿宋_GB2312"/>
          <w:sz w:val="30"/>
          <w:szCs w:val="30"/>
        </w:rPr>
        <w:t>若出现税率不一致的情况，以除税</w:t>
      </w:r>
      <w:r>
        <w:rPr>
          <w:rFonts w:hint="eastAsia" w:ascii="仿宋_GB2312" w:eastAsia="仿宋_GB2312"/>
          <w:sz w:val="30"/>
          <w:szCs w:val="30"/>
          <w:lang w:eastAsia="zh-CN"/>
        </w:rPr>
        <w:t>总金额</w:t>
      </w:r>
      <w:r>
        <w:rPr>
          <w:rFonts w:hint="eastAsia" w:ascii="仿宋_GB2312" w:eastAsia="仿宋_GB2312"/>
          <w:sz w:val="30"/>
          <w:szCs w:val="30"/>
        </w:rPr>
        <w:t>相对比。如果出现相同总金额最低报价情况时，总金额最低报价相同的</w:t>
      </w:r>
      <w:r>
        <w:rPr>
          <w:rFonts w:hint="eastAsia" w:ascii="仿宋_GB2312" w:eastAsia="仿宋_GB2312"/>
          <w:sz w:val="30"/>
          <w:szCs w:val="30"/>
          <w:lang w:val="en-US" w:eastAsia="zh-CN"/>
        </w:rPr>
        <w:t>报价人</w:t>
      </w:r>
      <w:r>
        <w:rPr>
          <w:rFonts w:hint="eastAsia" w:ascii="仿宋_GB2312" w:eastAsia="仿宋_GB2312"/>
          <w:sz w:val="30"/>
          <w:szCs w:val="30"/>
        </w:rPr>
        <w:t>再进行一轮报价。如报价再相同，则由</w:t>
      </w:r>
      <w:r>
        <w:rPr>
          <w:rFonts w:hint="eastAsia" w:ascii="仿宋_GB2312" w:eastAsia="仿宋_GB2312"/>
          <w:sz w:val="30"/>
          <w:szCs w:val="30"/>
          <w:lang w:val="en-US" w:eastAsia="zh-CN"/>
        </w:rPr>
        <w:t>采购人</w:t>
      </w:r>
      <w:r>
        <w:rPr>
          <w:rFonts w:hint="eastAsia" w:ascii="仿宋_GB2312" w:eastAsia="仿宋_GB2312"/>
          <w:sz w:val="30"/>
          <w:szCs w:val="30"/>
        </w:rPr>
        <w:t>抽签决定</w:t>
      </w:r>
      <w:r>
        <w:rPr>
          <w:rFonts w:hint="eastAsia" w:ascii="仿宋_GB2312" w:eastAsia="仿宋_GB2312"/>
          <w:sz w:val="30"/>
          <w:szCs w:val="30"/>
          <w:lang w:val="en-US" w:eastAsia="zh-CN"/>
        </w:rPr>
        <w:t>中标单位</w:t>
      </w:r>
      <w:r>
        <w:rPr>
          <w:rFonts w:hint="eastAsia" w:ascii="仿宋_GB2312" w:eastAsia="仿宋_GB2312"/>
          <w:sz w:val="30"/>
          <w:szCs w:val="30"/>
        </w:rPr>
        <w:t>。</w:t>
      </w:r>
    </w:p>
    <w:p>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（二）</w:t>
      </w:r>
      <w:r>
        <w:rPr>
          <w:rFonts w:hint="eastAsia" w:ascii="仿宋_GB2312" w:eastAsia="仿宋_GB2312"/>
          <w:sz w:val="30"/>
          <w:szCs w:val="30"/>
          <w:lang w:val="en-US" w:eastAsia="zh-CN"/>
        </w:rPr>
        <w:t>采购人</w:t>
      </w:r>
      <w:r>
        <w:rPr>
          <w:rFonts w:hint="eastAsia" w:ascii="仿宋_GB2312" w:eastAsia="仿宋_GB2312"/>
          <w:sz w:val="30"/>
          <w:szCs w:val="30"/>
        </w:rPr>
        <w:t>不向未</w:t>
      </w:r>
      <w:r>
        <w:rPr>
          <w:rFonts w:hint="eastAsia" w:ascii="仿宋_GB2312" w:eastAsia="仿宋_GB2312"/>
          <w:sz w:val="30"/>
          <w:szCs w:val="30"/>
          <w:lang w:val="en-US" w:eastAsia="zh-CN"/>
        </w:rPr>
        <w:t>中标单位</w:t>
      </w:r>
      <w:r>
        <w:rPr>
          <w:rFonts w:hint="eastAsia" w:ascii="仿宋_GB2312" w:eastAsia="仿宋_GB2312"/>
          <w:sz w:val="30"/>
          <w:szCs w:val="30"/>
        </w:rPr>
        <w:t>解释未成交原因，不退还报价文件。</w:t>
      </w:r>
    </w:p>
    <w:p>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pPr>
        <w:pStyle w:val="4"/>
        <w:numPr>
          <w:ilvl w:val="0"/>
          <w:numId w:val="0"/>
        </w:numPr>
        <w:jc w:val="center"/>
        <w:outlineLvl w:val="9"/>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6"/>
        <w:rPr>
          <w:rFonts w:hint="eastAsia" w:ascii="仿宋" w:hAnsi="仿宋" w:eastAsia="仿宋" w:cs="仿宋"/>
          <w:snapToGrid w:val="0"/>
          <w:sz w:val="44"/>
          <w:szCs w:val="44"/>
        </w:rPr>
      </w:pPr>
    </w:p>
    <w:p>
      <w:pPr>
        <w:pStyle w:val="12"/>
        <w:rPr>
          <w:rFonts w:hint="eastAsia" w:ascii="仿宋" w:hAnsi="仿宋" w:eastAsia="仿宋" w:cs="仿宋"/>
          <w:snapToGrid w:val="0"/>
          <w:sz w:val="44"/>
          <w:szCs w:val="44"/>
        </w:rPr>
      </w:pPr>
    </w:p>
    <w:p>
      <w:pPr>
        <w:rPr>
          <w:rFonts w:hint="eastAsia" w:ascii="仿宋" w:hAnsi="仿宋" w:eastAsia="仿宋" w:cs="仿宋"/>
          <w:snapToGrid w:val="0"/>
          <w:sz w:val="44"/>
          <w:szCs w:val="44"/>
        </w:rPr>
      </w:pPr>
    </w:p>
    <w:p>
      <w:pPr>
        <w:pStyle w:val="4"/>
        <w:numPr>
          <w:ilvl w:val="0"/>
          <w:numId w:val="0"/>
        </w:numPr>
        <w:jc w:val="center"/>
        <w:rPr>
          <w:rFonts w:hint="eastAsia" w:ascii="仿宋" w:hAnsi="仿宋" w:eastAsia="仿宋" w:cs="仿宋"/>
          <w:b w:val="0"/>
          <w:bCs/>
          <w:snapToGrid w:val="0"/>
          <w:sz w:val="44"/>
        </w:rPr>
      </w:pPr>
      <w:bookmarkStart w:id="11" w:name="_Toc4053"/>
      <w:r>
        <w:rPr>
          <w:rFonts w:hint="eastAsia" w:ascii="仿宋" w:hAnsi="仿宋" w:eastAsia="仿宋" w:cs="仿宋"/>
          <w:snapToGrid w:val="0"/>
          <w:sz w:val="44"/>
          <w:szCs w:val="44"/>
        </w:rPr>
        <w:t>第三部分   询价内容</w:t>
      </w:r>
      <w:bookmarkEnd w:id="6"/>
      <w:bookmarkEnd w:id="7"/>
      <w:bookmarkEnd w:id="11"/>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供应商接到采购人送货通知后，</w:t>
      </w:r>
      <w:r>
        <w:rPr>
          <w:rFonts w:hint="eastAsia" w:ascii="仿宋" w:hAnsi="仿宋" w:eastAsia="仿宋" w:cs="仿宋"/>
          <w:color w:val="auto"/>
          <w:kern w:val="2"/>
          <w:sz w:val="30"/>
          <w:szCs w:val="30"/>
          <w:lang w:val="en-US" w:eastAsia="zh-CN"/>
        </w:rPr>
        <w:t>10个</w:t>
      </w:r>
      <w:r>
        <w:rPr>
          <w:rFonts w:hint="eastAsia" w:ascii="仿宋" w:hAnsi="仿宋" w:eastAsia="仿宋" w:cs="仿宋"/>
          <w:color w:val="auto"/>
          <w:kern w:val="2"/>
          <w:sz w:val="30"/>
          <w:szCs w:val="30"/>
          <w:lang w:eastAsia="zh-CN"/>
        </w:rPr>
        <w:t>工作日</w:t>
      </w:r>
      <w:r>
        <w:rPr>
          <w:rFonts w:hint="eastAsia" w:ascii="仿宋" w:hAnsi="仿宋" w:eastAsia="仿宋" w:cs="仿宋"/>
          <w:color w:val="auto"/>
          <w:kern w:val="2"/>
          <w:sz w:val="30"/>
          <w:szCs w:val="30"/>
        </w:rPr>
        <w:t>内将货物如数送至采购人指定地点。</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中标人需提供一年质保，其履约保证金（合同价的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）到时自动转为质保金，于质保期到期后支付，质保期从验收之日起计算</w:t>
      </w:r>
      <w:r>
        <w:rPr>
          <w:rFonts w:hint="eastAsia" w:ascii="仿宋" w:hAnsi="仿宋" w:eastAsia="仿宋" w:cs="仿宋"/>
          <w:color w:val="auto"/>
          <w:kern w:val="2"/>
          <w:sz w:val="30"/>
          <w:szCs w:val="30"/>
        </w:rPr>
        <w:t>。</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pPr>
        <w:pStyle w:val="4"/>
        <w:numPr>
          <w:ilvl w:val="0"/>
          <w:numId w:val="0"/>
        </w:numPr>
        <w:jc w:val="center"/>
        <w:outlineLvl w:val="9"/>
        <w:rPr>
          <w:rFonts w:hint="eastAsia" w:ascii="仿宋" w:hAnsi="仿宋" w:eastAsia="仿宋" w:cs="仿宋"/>
          <w:snapToGrid w:val="0"/>
          <w:sz w:val="30"/>
          <w:szCs w:val="30"/>
        </w:rPr>
      </w:pPr>
      <w:bookmarkStart w:id="12" w:name="_Toc530583924"/>
      <w:r>
        <w:rPr>
          <w:rFonts w:hint="eastAsia" w:ascii="仿宋" w:hAnsi="仿宋" w:eastAsia="仿宋" w:cs="仿宋"/>
          <w:snapToGrid w:val="0"/>
          <w:sz w:val="30"/>
          <w:szCs w:val="30"/>
        </w:rPr>
        <w:br w:type="page"/>
      </w:r>
    </w:p>
    <w:p>
      <w:pPr>
        <w:pStyle w:val="4"/>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3" w:name="_Toc30277"/>
      <w:r>
        <w:rPr>
          <w:rFonts w:hint="eastAsia" w:ascii="仿宋" w:hAnsi="仿宋" w:eastAsia="仿宋" w:cs="仿宋"/>
          <w:snapToGrid w:val="0"/>
          <w:sz w:val="44"/>
          <w:szCs w:val="44"/>
          <w:lang w:val="en-US" w:eastAsia="zh-CN"/>
        </w:rPr>
        <w:t>合同主要条款</w:t>
      </w:r>
      <w:bookmarkEnd w:id="13"/>
    </w:p>
    <w:p>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w:t>
      </w:r>
      <w:r>
        <w:rPr>
          <w:rFonts w:hint="eastAsia" w:ascii="黑体" w:hAnsi="黑体" w:eastAsia="黑体" w:cs="黑体"/>
          <w:sz w:val="28"/>
          <w:szCs w:val="28"/>
        </w:rPr>
        <w:t>供货范围及价格</w:t>
      </w:r>
    </w:p>
    <w:tbl>
      <w:tblPr>
        <w:tblStyle w:val="13"/>
        <w:tblW w:w="9571" w:type="dxa"/>
        <w:jc w:val="center"/>
        <w:tblLayout w:type="fixed"/>
        <w:tblCellMar>
          <w:top w:w="0" w:type="dxa"/>
          <w:left w:w="108" w:type="dxa"/>
          <w:bottom w:w="0" w:type="dxa"/>
          <w:right w:w="108" w:type="dxa"/>
        </w:tblCellMar>
      </w:tblPr>
      <w:tblGrid>
        <w:gridCol w:w="751"/>
        <w:gridCol w:w="1439"/>
        <w:gridCol w:w="1711"/>
        <w:gridCol w:w="709"/>
        <w:gridCol w:w="709"/>
        <w:gridCol w:w="992"/>
        <w:gridCol w:w="1633"/>
        <w:gridCol w:w="1627"/>
      </w:tblGrid>
      <w:tr>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物资名称</w:t>
            </w:r>
          </w:p>
        </w:tc>
        <w:tc>
          <w:tcPr>
            <w:tcW w:w="1711"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规格型号</w:t>
            </w:r>
          </w:p>
        </w:tc>
        <w:tc>
          <w:tcPr>
            <w:tcW w:w="709"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单位</w:t>
            </w:r>
          </w:p>
        </w:tc>
        <w:tc>
          <w:tcPr>
            <w:tcW w:w="709"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数量</w:t>
            </w:r>
          </w:p>
        </w:tc>
        <w:tc>
          <w:tcPr>
            <w:tcW w:w="992"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pPr>
              <w:adjustRightInd/>
              <w:snapToGrid/>
              <w:spacing w:after="0"/>
              <w:jc w:val="center"/>
              <w:rPr>
                <w:rFonts w:hint="eastAsia" w:ascii="Times New Roman" w:hAnsi="Times New Roman" w:eastAsia="方正仿宋_GBK" w:cs="Times New Roman"/>
                <w:b/>
                <w:bCs/>
                <w:sz w:val="24"/>
                <w:szCs w:val="24"/>
              </w:rPr>
            </w:pPr>
          </w:p>
        </w:tc>
        <w:tc>
          <w:tcPr>
            <w:tcW w:w="1711" w:type="dxa"/>
            <w:tcBorders>
              <w:top w:val="nil"/>
              <w:left w:val="nil"/>
              <w:bottom w:val="single" w:color="auto" w:sz="4" w:space="0"/>
              <w:right w:val="single" w:color="auto" w:sz="4" w:space="0"/>
            </w:tcBorders>
            <w:shd w:val="clear" w:color="000000" w:fill="FFFFFF"/>
            <w:noWrap w:val="0"/>
            <w:vAlign w:val="center"/>
          </w:tcPr>
          <w:p>
            <w:pPr>
              <w:adjustRightInd/>
              <w:snapToGrid/>
              <w:spacing w:after="0"/>
              <w:jc w:val="center"/>
              <w:rPr>
                <w:rFonts w:hint="eastAsia" w:ascii="Times New Roman" w:hAnsi="Times New Roman" w:eastAsia="方正仿宋_GBK" w:cs="Times New Roman"/>
                <w:b/>
                <w:bCs/>
                <w:sz w:val="24"/>
                <w:szCs w:val="24"/>
              </w:rPr>
            </w:pPr>
          </w:p>
        </w:tc>
        <w:tc>
          <w:tcPr>
            <w:tcW w:w="709" w:type="dxa"/>
            <w:tcBorders>
              <w:top w:val="nil"/>
              <w:left w:val="nil"/>
              <w:bottom w:val="single" w:color="auto" w:sz="4" w:space="0"/>
              <w:right w:val="single" w:color="auto" w:sz="4" w:space="0"/>
            </w:tcBorders>
            <w:shd w:val="clear" w:color="000000" w:fill="FFFFFF"/>
            <w:noWrap w:val="0"/>
            <w:vAlign w:val="center"/>
          </w:tcPr>
          <w:p>
            <w:pPr>
              <w:adjustRightInd/>
              <w:snapToGrid/>
              <w:spacing w:after="0"/>
              <w:jc w:val="center"/>
              <w:rPr>
                <w:rFonts w:hint="default" w:ascii="Times New Roman" w:hAnsi="Times New Roman" w:eastAsia="方正仿宋_GBK" w:cs="Times New Roman"/>
                <w:b/>
                <w:bCs/>
                <w:sz w:val="24"/>
                <w:szCs w:val="24"/>
              </w:rPr>
            </w:pPr>
          </w:p>
        </w:tc>
        <w:tc>
          <w:tcPr>
            <w:tcW w:w="709" w:type="dxa"/>
            <w:tcBorders>
              <w:top w:val="nil"/>
              <w:left w:val="nil"/>
              <w:bottom w:val="single" w:color="auto" w:sz="4" w:space="0"/>
              <w:right w:val="single" w:color="auto" w:sz="4" w:space="0"/>
            </w:tcBorders>
            <w:shd w:val="clear" w:color="000000" w:fill="FFFFFF"/>
            <w:noWrap w:val="0"/>
            <w:vAlign w:val="center"/>
          </w:tcPr>
          <w:p>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pPr>
              <w:adjustRightInd/>
              <w:snapToGrid/>
              <w:spacing w:after="0"/>
              <w:jc w:val="center"/>
              <w:rPr>
                <w:rFonts w:hint="eastAsia" w:ascii="Times New Roman" w:hAnsi="Times New Roman" w:eastAsia="方正仿宋_GBK" w:cs="Times New Roman"/>
                <w:b/>
                <w:bCs/>
                <w:sz w:val="24"/>
                <w:szCs w:val="24"/>
              </w:rPr>
            </w:pPr>
          </w:p>
        </w:tc>
      </w:tr>
      <w:tr>
        <w:tblPrEx>
          <w:tblCellMar>
            <w:top w:w="0" w:type="dxa"/>
            <w:left w:w="108" w:type="dxa"/>
            <w:bottom w:w="0" w:type="dxa"/>
            <w:right w:w="108" w:type="dxa"/>
          </w:tblCellMar>
        </w:tblPrEx>
        <w:trPr>
          <w:trHeight w:val="836" w:hRule="atLeast"/>
          <w:jc w:val="center"/>
        </w:trPr>
        <w:tc>
          <w:tcPr>
            <w:tcW w:w="6311" w:type="dxa"/>
            <w:gridSpan w:val="6"/>
            <w:tcBorders>
              <w:top w:val="nil"/>
              <w:left w:val="single" w:color="auto" w:sz="4" w:space="0"/>
              <w:bottom w:val="single" w:color="auto" w:sz="4" w:space="0"/>
              <w:right w:val="single" w:color="auto" w:sz="4" w:space="0"/>
            </w:tcBorders>
            <w:noWrap w:val="0"/>
            <w:vAlign w:val="center"/>
          </w:tcPr>
          <w:p>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pPr>
              <w:adjustRightInd/>
              <w:snapToGrid/>
              <w:spacing w:after="0"/>
              <w:jc w:val="left"/>
              <w:rPr>
                <w:rFonts w:hint="eastAsia" w:ascii="Times New Roman" w:hAnsi="Times New Roman" w:eastAsia="方正仿宋_GBK" w:cs="Times New Roman"/>
                <w:b/>
                <w:bCs/>
                <w:sz w:val="24"/>
                <w:szCs w:val="24"/>
              </w:rPr>
            </w:pPr>
          </w:p>
        </w:tc>
      </w:tr>
      <w:tr>
        <w:tblPrEx>
          <w:tblCellMar>
            <w:top w:w="0" w:type="dxa"/>
            <w:left w:w="108" w:type="dxa"/>
            <w:bottom w:w="0" w:type="dxa"/>
            <w:right w:w="108" w:type="dxa"/>
          </w:tblCellMar>
        </w:tblPrEx>
        <w:trPr>
          <w:trHeight w:val="716" w:hRule="atLeast"/>
          <w:jc w:val="center"/>
        </w:trPr>
        <w:tc>
          <w:tcPr>
            <w:tcW w:w="9571" w:type="dxa"/>
            <w:gridSpan w:val="8"/>
            <w:tcBorders>
              <w:top w:val="nil"/>
              <w:left w:val="single" w:color="auto" w:sz="4" w:space="0"/>
              <w:bottom w:val="single" w:color="auto" w:sz="4" w:space="0"/>
              <w:right w:val="single" w:color="auto" w:sz="4" w:space="0"/>
            </w:tcBorders>
            <w:noWrap w:val="0"/>
            <w:vAlign w:val="center"/>
          </w:tcPr>
          <w:p>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第二条  交货时间、地点</w:t>
      </w:r>
      <w:r>
        <w:rPr>
          <w:rFonts w:hint="eastAsia" w:ascii="黑体" w:hAnsi="黑体" w:eastAsia="黑体" w:cs="黑体"/>
          <w:sz w:val="28"/>
          <w:szCs w:val="28"/>
          <w:lang w:eastAsia="zh-CN"/>
        </w:rPr>
        <w:t>、要求</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1、交货时间：合同签订后</w:t>
      </w:r>
      <w:r>
        <w:rPr>
          <w:rFonts w:hint="eastAsia" w:ascii="方正仿宋_GBK" w:hAnsi="方正仿宋_GBK" w:eastAsia="方正仿宋_GBK" w:cs="方正仿宋_GBK"/>
          <w:sz w:val="28"/>
          <w:szCs w:val="28"/>
          <w:lang w:val="en-US" w:eastAsia="zh-CN"/>
        </w:rPr>
        <w:t xml:space="preserve">  </w:t>
      </w:r>
      <w:r>
        <w:rPr>
          <w:rFonts w:hint="eastAsia" w:ascii="方正仿宋_GBK" w:hAnsi="方正仿宋_GBK" w:eastAsia="方正仿宋_GBK" w:cs="方正仿宋_GBK"/>
          <w:sz w:val="28"/>
          <w:szCs w:val="28"/>
        </w:rPr>
        <w:t>天供货。</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2、交货地点：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3、交货要求：交货时，应附有相应的装货清单、合格证及相关技术资料。（如有）</w:t>
      </w:r>
    </w:p>
    <w:p>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第三条 技术要求</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设备/备件符合用户方使用或安装要求。</w:t>
      </w:r>
    </w:p>
    <w:p>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元整，本合同为固定总价合同，金额包含包装费、运费、税金、保险费等， 供需双方不能因市场价格变化而调整合同价。</w:t>
      </w:r>
    </w:p>
    <w:p>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中标人需提供一年质保，其履约保证金（合同价的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）到时自动转为质保金，于质保期到期后支付，质保期从验收之日起计算</w:t>
      </w:r>
      <w:r>
        <w:rPr>
          <w:rFonts w:hint="eastAsia" w:ascii="仿宋" w:hAnsi="仿宋" w:eastAsia="仿宋" w:cs="仿宋"/>
          <w:color w:val="auto"/>
          <w:kern w:val="2"/>
          <w:sz w:val="30"/>
          <w:szCs w:val="30"/>
        </w:rPr>
        <w:t>。</w:t>
      </w:r>
    </w:p>
    <w:p>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供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反商业贿赂</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双方同意，双方将清楚并严格遵守关于反商业贿赂及其他相关法律规定，双方及其员工均不向对方业务人员或其他与本合同业务有关人员直接或间接地索要、收受、提供、给予协议约定外的任何利益，</w:t>
      </w:r>
      <w:r>
        <w:rPr>
          <w:rFonts w:hint="eastAsia" w:ascii="方正仿宋_GBK" w:hAnsi="方正仿宋_GBK" w:eastAsia="方正仿宋_GBK" w:cs="方正仿宋_GBK"/>
          <w:sz w:val="28"/>
          <w:szCs w:val="28"/>
          <w:lang w:eastAsia="zh-CN"/>
        </w:rPr>
        <w:t>包括</w:t>
      </w:r>
      <w:r>
        <w:rPr>
          <w:rFonts w:hint="eastAsia" w:ascii="方正仿宋_GBK" w:hAnsi="方正仿宋_GBK" w:eastAsia="方正仿宋_GBK" w:cs="方正仿宋_GBK"/>
          <w:sz w:val="28"/>
          <w:szCs w:val="28"/>
        </w:rPr>
        <w:t>但不限于明扣、暗扣、现金、购物卡、实物、有价证券、旅游或其他非物质性利益等，及其他任何形式的、可能对本合同的签署或履行产生实质性影响的利益。若合同双方任意一方违反前述约定的，另一方有权解除本合同，不支付任何报酬或要求退还所支付的报酬:或要求违约方继续履行本合同，并向另一方支付相当于本合同总金额5%的违约金，在因本项目从任何第三人处收受未经披露的任何形式的报酬或利益时，还应将该报酬或利益转移给另一方。由此给另一方造成的损失以及可能引起的对第三人的责任，均由违约方承担。另一方同时可向国家有关部门就违约方的行为进行举报，违约方应当履行协助并配合调查等义务。</w:t>
      </w:r>
    </w:p>
    <w:p>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pPr>
        <w:pStyle w:val="4"/>
        <w:numPr>
          <w:ilvl w:val="0"/>
          <w:numId w:val="0"/>
        </w:numPr>
        <w:jc w:val="center"/>
        <w:rPr>
          <w:rFonts w:hint="eastAsia" w:ascii="仿宋" w:hAnsi="仿宋" w:eastAsia="仿宋" w:cs="仿宋"/>
          <w:snapToGrid w:val="0"/>
          <w:sz w:val="44"/>
          <w:szCs w:val="44"/>
        </w:rPr>
      </w:pPr>
      <w:bookmarkStart w:id="14"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2"/>
      <w:bookmarkEnd w:id="14"/>
    </w:p>
    <w:p>
      <w:pPr>
        <w:jc w:val="left"/>
        <w:outlineLvl w:val="0"/>
        <w:rPr>
          <w:rStyle w:val="20"/>
          <w:rFonts w:hint="eastAsia" w:ascii="仿宋" w:hAnsi="仿宋" w:eastAsia="仿宋" w:cs="仿宋"/>
          <w:sz w:val="30"/>
        </w:rPr>
      </w:pPr>
      <w:bookmarkStart w:id="15" w:name="_Toc22901"/>
      <w:r>
        <w:rPr>
          <w:rStyle w:val="20"/>
          <w:rFonts w:hint="eastAsia" w:ascii="仿宋" w:hAnsi="仿宋" w:eastAsia="仿宋" w:cs="仿宋"/>
          <w:sz w:val="30"/>
        </w:rPr>
        <w:t>附件一：</w:t>
      </w:r>
      <w:bookmarkEnd w:id="15"/>
    </w:p>
    <w:p>
      <w:pPr>
        <w:spacing w:line="480" w:lineRule="auto"/>
        <w:jc w:val="right"/>
        <w:rPr>
          <w:rFonts w:hint="eastAsia" w:ascii="仿宋" w:hAnsi="仿宋" w:eastAsia="仿宋" w:cs="仿宋"/>
          <w:sz w:val="32"/>
        </w:rPr>
      </w:pPr>
    </w:p>
    <w:p>
      <w:pPr>
        <w:rPr>
          <w:rFonts w:hint="eastAsia" w:ascii="仿宋" w:hAnsi="仿宋" w:eastAsia="仿宋" w:cs="仿宋"/>
          <w:sz w:val="44"/>
        </w:rPr>
      </w:pPr>
    </w:p>
    <w:p>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pPr>
        <w:spacing w:line="360" w:lineRule="auto"/>
        <w:jc w:val="center"/>
        <w:rPr>
          <w:rFonts w:hint="eastAsia" w:ascii="仿宋" w:hAnsi="仿宋" w:eastAsia="仿宋" w:cs="仿宋"/>
          <w:sz w:val="52"/>
        </w:rPr>
      </w:pPr>
      <w:r>
        <w:rPr>
          <w:rFonts w:hint="eastAsia" w:ascii="仿宋" w:hAnsi="仿宋" w:eastAsia="仿宋" w:cs="仿宋"/>
          <w:sz w:val="52"/>
          <w:lang w:eastAsia="zh-CN"/>
        </w:rPr>
        <w:t>空压机备件</w:t>
      </w:r>
      <w:r>
        <w:rPr>
          <w:rFonts w:hint="eastAsia" w:ascii="仿宋" w:hAnsi="仿宋" w:eastAsia="仿宋" w:cs="仿宋"/>
          <w:sz w:val="52"/>
        </w:rPr>
        <w:t>采购项目</w:t>
      </w:r>
    </w:p>
    <w:p>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ZSNY/SBBJ2311023</w:t>
      </w:r>
    </w:p>
    <w:p>
      <w:pPr>
        <w:rPr>
          <w:rFonts w:hint="eastAsia" w:ascii="仿宋" w:hAnsi="仿宋" w:eastAsia="仿宋" w:cs="仿宋"/>
          <w:sz w:val="44"/>
        </w:rPr>
      </w:pPr>
    </w:p>
    <w:p>
      <w:pPr>
        <w:rPr>
          <w:rFonts w:hint="eastAsia" w:ascii="仿宋" w:hAnsi="仿宋" w:eastAsia="仿宋" w:cs="仿宋"/>
          <w:sz w:val="44"/>
        </w:rPr>
      </w:pPr>
    </w:p>
    <w:p>
      <w:pPr>
        <w:rPr>
          <w:rFonts w:hint="eastAsia" w:ascii="仿宋" w:hAnsi="仿宋" w:eastAsia="仿宋" w:cs="仿宋"/>
          <w:sz w:val="84"/>
        </w:rPr>
      </w:pPr>
    </w:p>
    <w:p>
      <w:pPr>
        <w:jc w:val="center"/>
        <w:rPr>
          <w:rFonts w:hint="eastAsia" w:ascii="仿宋" w:hAnsi="仿宋" w:eastAsia="仿宋" w:cs="仿宋"/>
          <w:sz w:val="84"/>
        </w:rPr>
      </w:pPr>
      <w:r>
        <w:rPr>
          <w:rFonts w:hint="eastAsia" w:ascii="仿宋" w:hAnsi="仿宋" w:eastAsia="仿宋" w:cs="仿宋"/>
          <w:sz w:val="84"/>
        </w:rPr>
        <w:t>报价文件</w:t>
      </w:r>
    </w:p>
    <w:p>
      <w:pPr>
        <w:jc w:val="center"/>
        <w:rPr>
          <w:rFonts w:hint="eastAsia" w:ascii="仿宋" w:hAnsi="仿宋" w:eastAsia="仿宋" w:cs="仿宋"/>
          <w:sz w:val="24"/>
        </w:rPr>
      </w:pPr>
    </w:p>
    <w:p>
      <w:pPr>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eastAsia" w:ascii="仿宋" w:hAnsi="仿宋" w:eastAsia="仿宋" w:cs="仿宋"/>
          <w:sz w:val="24"/>
        </w:rPr>
      </w:pPr>
    </w:p>
    <w:p>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2023年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pPr>
        <w:jc w:val="left"/>
        <w:outlineLvl w:val="0"/>
        <w:rPr>
          <w:rStyle w:val="20"/>
          <w:rFonts w:hint="eastAsia" w:ascii="仿宋" w:hAnsi="仿宋" w:eastAsia="仿宋" w:cs="仿宋"/>
          <w:sz w:val="30"/>
        </w:rPr>
      </w:pPr>
      <w:bookmarkStart w:id="16" w:name="_Toc20355"/>
      <w:r>
        <w:rPr>
          <w:rStyle w:val="20"/>
          <w:rFonts w:hint="eastAsia" w:ascii="仿宋" w:hAnsi="仿宋" w:eastAsia="仿宋" w:cs="仿宋"/>
          <w:sz w:val="30"/>
        </w:rPr>
        <w:t>附件二</w:t>
      </w:r>
      <w:bookmarkEnd w:id="16"/>
      <w:r>
        <w:rPr>
          <w:rStyle w:val="20"/>
          <w:rFonts w:hint="eastAsia" w:ascii="仿宋" w:hAnsi="仿宋" w:eastAsia="仿宋" w:cs="仿宋"/>
          <w:sz w:val="30"/>
        </w:rPr>
        <w:t xml:space="preserve">  </w:t>
      </w:r>
    </w:p>
    <w:p>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绍兴市再生能源发展有限公司空压机备件 </w:t>
      </w:r>
      <w:r>
        <w:rPr>
          <w:rFonts w:hint="eastAsia" w:ascii="仿宋" w:hAnsi="仿宋" w:eastAsia="仿宋" w:cs="仿宋"/>
          <w:sz w:val="30"/>
          <w:szCs w:val="30"/>
          <w:u w:val="none"/>
          <w:lang w:val="en-US" w:eastAsia="zh-CN"/>
        </w:rPr>
        <w:t>项目。</w:t>
      </w:r>
    </w:p>
    <w:tbl>
      <w:tblPr>
        <w:tblStyle w:val="13"/>
        <w:tblW w:w="6029" w:type="pct"/>
        <w:jc w:val="center"/>
        <w:tblLayout w:type="fixed"/>
        <w:tblCellMar>
          <w:top w:w="0" w:type="dxa"/>
          <w:left w:w="108" w:type="dxa"/>
          <w:bottom w:w="0" w:type="dxa"/>
          <w:right w:w="108" w:type="dxa"/>
        </w:tblCellMar>
      </w:tblPr>
      <w:tblGrid>
        <w:gridCol w:w="696"/>
        <w:gridCol w:w="2099"/>
        <w:gridCol w:w="2167"/>
        <w:gridCol w:w="1072"/>
        <w:gridCol w:w="758"/>
        <w:gridCol w:w="1198"/>
        <w:gridCol w:w="931"/>
        <w:gridCol w:w="1140"/>
        <w:gridCol w:w="1140"/>
      </w:tblGrid>
      <w:tr>
        <w:tblPrEx>
          <w:tblCellMar>
            <w:top w:w="0" w:type="dxa"/>
            <w:left w:w="108" w:type="dxa"/>
            <w:bottom w:w="0" w:type="dxa"/>
            <w:right w:w="108" w:type="dxa"/>
          </w:tblCellMar>
        </w:tblPrEx>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序号</w:t>
            </w:r>
          </w:p>
        </w:tc>
        <w:tc>
          <w:tcPr>
            <w:tcW w:w="2099"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sz w:val="24"/>
                <w:szCs w:val="24"/>
                <w:highlight w:val="none"/>
                <w:u w:val="none"/>
                <w:lang w:val="en-US"/>
              </w:rPr>
            </w:pPr>
            <w:r>
              <w:rPr>
                <w:rFonts w:hint="eastAsia" w:ascii="仿宋" w:hAnsi="仿宋" w:eastAsia="仿宋" w:cs="仿宋"/>
                <w:i w:val="0"/>
                <w:iCs w:val="0"/>
                <w:color w:val="000000"/>
                <w:kern w:val="0"/>
                <w:sz w:val="24"/>
                <w:szCs w:val="24"/>
                <w:highlight w:val="none"/>
                <w:u w:val="none"/>
                <w:lang w:val="en-US" w:eastAsia="zh-CN" w:bidi="ar"/>
              </w:rPr>
              <w:t>产品名称</w:t>
            </w:r>
          </w:p>
        </w:tc>
        <w:tc>
          <w:tcPr>
            <w:tcW w:w="216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型号规格</w:t>
            </w:r>
          </w:p>
        </w:tc>
        <w:tc>
          <w:tcPr>
            <w:tcW w:w="107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数量</w:t>
            </w:r>
          </w:p>
        </w:tc>
        <w:tc>
          <w:tcPr>
            <w:tcW w:w="7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单位</w:t>
            </w:r>
          </w:p>
        </w:tc>
        <w:tc>
          <w:tcPr>
            <w:tcW w:w="119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单价</w:t>
            </w:r>
          </w:p>
        </w:tc>
        <w:tc>
          <w:tcPr>
            <w:tcW w:w="9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金额</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限价</w:t>
            </w:r>
          </w:p>
        </w:tc>
        <w:tc>
          <w:tcPr>
            <w:tcW w:w="11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品牌</w:t>
            </w:r>
          </w:p>
        </w:tc>
      </w:tr>
      <w:tr>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1</w:t>
            </w:r>
          </w:p>
        </w:tc>
        <w:tc>
          <w:tcPr>
            <w:tcW w:w="2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三相电磁阀</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9313715-164101-B</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只</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cs="宋体"/>
                <w:i w:val="0"/>
                <w:iCs w:val="0"/>
                <w:color w:val="000000"/>
                <w:kern w:val="0"/>
                <w:sz w:val="21"/>
                <w:szCs w:val="21"/>
                <w:u w:val="none"/>
                <w:lang w:val="en-US" w:eastAsia="zh-CN" w:bidi="ar"/>
              </w:rPr>
              <w:t>1000元/个</w:t>
            </w:r>
          </w:p>
        </w:tc>
        <w:tc>
          <w:tcPr>
            <w:tcW w:w="1140"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复盛</w:t>
            </w:r>
          </w:p>
        </w:tc>
      </w:tr>
      <w:tr>
        <w:tblPrEx>
          <w:tblCellMar>
            <w:top w:w="0" w:type="dxa"/>
            <w:left w:w="108" w:type="dxa"/>
            <w:bottom w:w="0" w:type="dxa"/>
            <w:right w:w="108" w:type="dxa"/>
          </w:tblCellMar>
        </w:tblPrEx>
        <w:trPr>
          <w:trHeight w:val="53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2</w:t>
            </w:r>
          </w:p>
        </w:tc>
        <w:tc>
          <w:tcPr>
            <w:tcW w:w="20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蝶式进气阀</w:t>
            </w:r>
          </w:p>
        </w:tc>
        <w:tc>
          <w:tcPr>
            <w:tcW w:w="21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SF200W/8 （2104050056）</w:t>
            </w:r>
          </w:p>
        </w:tc>
        <w:tc>
          <w:tcPr>
            <w:tcW w:w="10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7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2"/>
                <w:szCs w:val="22"/>
                <w:u w:val="none"/>
                <w:lang w:val="en-US" w:eastAsia="zh-CN" w:bidi="ar"/>
              </w:rPr>
              <w:t>个</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i w:val="0"/>
                <w:iCs w:val="0"/>
                <w:color w:val="000000"/>
                <w:kern w:val="0"/>
                <w:sz w:val="24"/>
                <w:szCs w:val="24"/>
                <w:highlight w:val="none"/>
                <w:u w:val="none"/>
                <w:lang w:val="en-US" w:eastAsia="zh-CN" w:bidi="ar"/>
              </w:rPr>
            </w:pPr>
            <w:r>
              <w:rPr>
                <w:rFonts w:hint="eastAsia" w:ascii="宋体" w:hAnsi="宋体" w:cs="宋体"/>
                <w:i w:val="0"/>
                <w:iCs w:val="0"/>
                <w:color w:val="000000"/>
                <w:kern w:val="0"/>
                <w:sz w:val="21"/>
                <w:szCs w:val="21"/>
                <w:u w:val="none"/>
                <w:lang w:val="en-US" w:eastAsia="zh-CN" w:bidi="ar"/>
              </w:rPr>
              <w:t>13000元/个</w:t>
            </w:r>
          </w:p>
        </w:tc>
        <w:tc>
          <w:tcPr>
            <w:tcW w:w="1140"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000000"/>
                <w:kern w:val="0"/>
                <w:sz w:val="24"/>
                <w:szCs w:val="24"/>
                <w:highlight w:val="none"/>
                <w:u w:val="none"/>
                <w:lang w:val="en-US" w:eastAsia="zh-CN" w:bidi="ar"/>
              </w:rPr>
            </w:pPr>
          </w:p>
        </w:tc>
      </w:tr>
    </w:tbl>
    <w:p>
      <w:pPr>
        <w:pStyle w:val="12"/>
        <w:rPr>
          <w:rFonts w:hint="eastAsia"/>
        </w:rPr>
      </w:pPr>
    </w:p>
    <w:p>
      <w:pPr>
        <w:pStyle w:val="10"/>
        <w:jc w:val="center"/>
        <w:rPr>
          <w:rFonts w:hint="eastAsia" w:ascii="仿宋" w:hAnsi="仿宋" w:eastAsia="仿宋" w:cs="仿宋"/>
          <w:b w:val="0"/>
          <w:bCs w:val="0"/>
          <w:color w:val="auto"/>
        </w:rPr>
      </w:pPr>
    </w:p>
    <w:p>
      <w:pPr>
        <w:pStyle w:val="1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付款方式：</w:t>
      </w:r>
      <w:r>
        <w:rPr>
          <w:rFonts w:hint="eastAsia" w:ascii="仿宋" w:hAnsi="仿宋" w:eastAsia="仿宋" w:cs="仿宋"/>
          <w:color w:val="auto"/>
          <w:kern w:val="2"/>
          <w:sz w:val="30"/>
          <w:szCs w:val="30"/>
          <w:lang w:val="en-US" w:eastAsia="zh-CN"/>
        </w:rPr>
        <w:t>中标</w:t>
      </w:r>
      <w:r>
        <w:rPr>
          <w:rFonts w:hint="eastAsia" w:ascii="仿宋" w:hAnsi="仿宋" w:eastAsia="仿宋" w:cs="仿宋"/>
          <w:color w:val="auto"/>
          <w:kern w:val="2"/>
          <w:sz w:val="30"/>
          <w:szCs w:val="30"/>
        </w:rPr>
        <w:t>人提供经双方确认的送货清单及增值税专用发票，采购人自收到准确清单和发票后，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中标人需提供一年质保，其履约保证金（合同价的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）到时自动转为质保金，于质保期到期后支付，质保期从验收之日起计算</w:t>
      </w:r>
      <w:r>
        <w:rPr>
          <w:rFonts w:hint="eastAsia" w:ascii="仿宋" w:hAnsi="仿宋" w:eastAsia="仿宋" w:cs="仿宋"/>
          <w:color w:val="auto"/>
          <w:kern w:val="2"/>
          <w:sz w:val="30"/>
          <w:szCs w:val="30"/>
          <w:highlight w:val="none"/>
        </w:rPr>
        <w:t>。</w:t>
      </w:r>
      <w:r>
        <w:rPr>
          <w:rFonts w:hint="eastAsia" w:ascii="仿宋_GB2312" w:eastAsia="仿宋_GB2312"/>
          <w:color w:val="auto"/>
          <w:kern w:val="2"/>
          <w:sz w:val="30"/>
          <w:szCs w:val="30"/>
          <w:highlight w:val="none"/>
          <w:lang w:eastAsia="zh-CN"/>
        </w:rPr>
        <w:t>【禁止擅自修改付款条件，未满足该条件则视为无效投标】</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相关要求：1、</w:t>
      </w:r>
      <w:r>
        <w:rPr>
          <w:rFonts w:hint="eastAsia" w:ascii="仿宋" w:hAnsi="仿宋" w:eastAsia="仿宋" w:cs="仿宋"/>
          <w:sz w:val="30"/>
          <w:szCs w:val="30"/>
        </w:rPr>
        <w:t>本项目采购总金额限价为</w:t>
      </w:r>
      <w:r>
        <w:rPr>
          <w:rFonts w:hint="eastAsia" w:ascii="仿宋" w:hAnsi="仿宋" w:eastAsia="仿宋" w:cs="仿宋"/>
          <w:sz w:val="30"/>
          <w:szCs w:val="30"/>
          <w:lang w:eastAsia="zh-CN"/>
        </w:rPr>
        <w:t>人民币</w:t>
      </w:r>
      <w:r>
        <w:rPr>
          <w:rFonts w:hint="eastAsia" w:ascii="仿宋" w:hAnsi="仿宋" w:eastAsia="仿宋" w:cs="仿宋"/>
          <w:sz w:val="30"/>
          <w:szCs w:val="30"/>
          <w:lang w:val="en-US" w:eastAsia="zh-CN"/>
        </w:rPr>
        <w:t>壹万伍仟</w:t>
      </w:r>
      <w:r>
        <w:rPr>
          <w:rFonts w:hint="eastAsia" w:ascii="仿宋" w:hAnsi="仿宋" w:eastAsia="仿宋" w:cs="仿宋"/>
          <w:sz w:val="30"/>
          <w:szCs w:val="30"/>
        </w:rPr>
        <w:t>元</w:t>
      </w:r>
      <w:r>
        <w:rPr>
          <w:rFonts w:hint="eastAsia" w:ascii="仿宋" w:hAnsi="仿宋" w:eastAsia="仿宋" w:cs="仿宋"/>
          <w:sz w:val="30"/>
          <w:szCs w:val="30"/>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FF0000"/>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FF0000"/>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FF0000"/>
          <w:sz w:val="30"/>
          <w:szCs w:val="30"/>
          <w:lang w:val="en-US" w:eastAsia="zh-CN"/>
        </w:rPr>
      </w:pPr>
      <w:r>
        <w:rPr>
          <w:rFonts w:hint="eastAsia" w:ascii="仿宋" w:hAnsi="仿宋" w:eastAsia="仿宋" w:cs="仿宋"/>
          <w:color w:val="FF0000"/>
          <w:sz w:val="30"/>
          <w:szCs w:val="30"/>
          <w:lang w:val="en-US" w:eastAsia="zh-CN"/>
        </w:rPr>
        <w:t>3、中标人在合同履行期间出现违约行为，招标人可扣除相应履约保证金/质保金，并向中标人追究相应经济损失。</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FF0000"/>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pPr>
        <w:snapToGrid w:val="0"/>
        <w:ind w:firstLine="480" w:firstLineChars="200"/>
        <w:jc w:val="right"/>
        <w:rPr>
          <w:rFonts w:hint="eastAsia" w:ascii="仿宋" w:hAnsi="仿宋" w:eastAsia="仿宋" w:cs="仿宋"/>
          <w:sz w:val="24"/>
          <w:szCs w:val="24"/>
        </w:rPr>
      </w:pPr>
    </w:p>
    <w:p>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2023年</w:t>
      </w:r>
      <w:r>
        <w:rPr>
          <w:rFonts w:hint="eastAsia" w:ascii="仿宋" w:hAnsi="仿宋" w:eastAsia="仿宋" w:cs="仿宋"/>
          <w:sz w:val="24"/>
          <w:szCs w:val="24"/>
        </w:rPr>
        <w:t xml:space="preserve"> 月 日</w:t>
      </w:r>
    </w:p>
    <w:p>
      <w:pPr>
        <w:spacing w:line="480" w:lineRule="auto"/>
        <w:jc w:val="left"/>
        <w:outlineLvl w:val="0"/>
        <w:rPr>
          <w:rFonts w:hint="eastAsia" w:ascii="仿宋" w:hAnsi="仿宋" w:eastAsia="仿宋" w:cs="仿宋"/>
          <w:b/>
          <w:spacing w:val="-2"/>
          <w:sz w:val="30"/>
        </w:rPr>
      </w:pPr>
      <w:bookmarkStart w:id="17" w:name="_Toc103165678"/>
      <w:bookmarkStart w:id="18" w:name="_Toc108839328"/>
      <w:bookmarkStart w:id="19" w:name="_Toc29413"/>
      <w:r>
        <w:rPr>
          <w:rStyle w:val="20"/>
          <w:rFonts w:hint="eastAsia" w:ascii="仿宋" w:hAnsi="仿宋" w:eastAsia="仿宋" w:cs="仿宋"/>
          <w:sz w:val="30"/>
        </w:rPr>
        <w:t>附件</w:t>
      </w:r>
      <w:bookmarkEnd w:id="17"/>
      <w:bookmarkEnd w:id="18"/>
      <w:r>
        <w:rPr>
          <w:rStyle w:val="20"/>
          <w:rFonts w:hint="eastAsia" w:ascii="仿宋" w:hAnsi="仿宋" w:eastAsia="仿宋" w:cs="仿宋"/>
          <w:sz w:val="30"/>
        </w:rPr>
        <w:t>三</w:t>
      </w:r>
      <w:bookmarkEnd w:id="19"/>
    </w:p>
    <w:p>
      <w:pPr>
        <w:snapToGrid w:val="0"/>
        <w:ind w:firstLine="1926" w:firstLineChars="600"/>
        <w:jc w:val="left"/>
        <w:rPr>
          <w:rFonts w:hint="eastAsia" w:ascii="仿宋" w:hAnsi="仿宋" w:eastAsia="仿宋" w:cs="仿宋"/>
          <w:b/>
          <w:spacing w:val="40"/>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val="en-US" w:eastAsia="zh-CN"/>
        </w:rPr>
        <w:t>空压机备件</w:t>
      </w:r>
      <w:r>
        <w:rPr>
          <w:rFonts w:hint="eastAsia" w:ascii="仿宋" w:hAnsi="仿宋" w:eastAsia="仿宋" w:cs="仿宋"/>
          <w:sz w:val="28"/>
          <w:szCs w:val="28"/>
          <w:u w:val="single"/>
        </w:rPr>
        <w:t>采购</w:t>
      </w:r>
      <w:r>
        <w:rPr>
          <w:rFonts w:hint="eastAsia" w:ascii="仿宋" w:hAnsi="仿宋" w:eastAsia="仿宋" w:cs="仿宋"/>
          <w:sz w:val="28"/>
          <w:szCs w:val="28"/>
          <w:u w:val="single"/>
          <w:lang w:val="en-US" w:eastAsia="zh-CN"/>
        </w:rPr>
        <w:t>项目</w:t>
      </w:r>
      <w:r>
        <w:rPr>
          <w:rFonts w:hint="eastAsia" w:ascii="仿宋" w:hAnsi="仿宋" w:eastAsia="仿宋" w:cs="仿宋"/>
          <w:sz w:val="28"/>
          <w:szCs w:val="28"/>
        </w:rPr>
        <w:t>询价采购，并作如下承诺：</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val="0"/>
        <w:spacing w:line="360" w:lineRule="auto"/>
        <w:ind w:firstLine="3360" w:firstLineChars="12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eastAsia="zh-CN"/>
        </w:rPr>
        <w:t>三</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C79575F"/>
    <w:multiLevelType w:val="singleLevel"/>
    <w:tmpl w:val="8C79575F"/>
    <w:lvl w:ilvl="0" w:tentative="0">
      <w:start w:val="12"/>
      <w:numFmt w:val="chineseCounting"/>
      <w:suff w:val="space"/>
      <w:lvlText w:val="第%1条"/>
      <w:lvlJc w:val="left"/>
      <w:rPr>
        <w:rFonts w:hint="eastAsia"/>
      </w:rPr>
    </w:lvl>
  </w:abstractNum>
  <w:abstractNum w:abstractNumId="2">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3">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5AF6242"/>
    <w:multiLevelType w:val="singleLevel"/>
    <w:tmpl w:val="05AF6242"/>
    <w:lvl w:ilvl="0" w:tentative="0">
      <w:start w:val="5"/>
      <w:numFmt w:val="chineseCounting"/>
      <w:suff w:val="space"/>
      <w:lvlText w:val="第%1条"/>
      <w:lvlJc w:val="left"/>
      <w:rPr>
        <w:rFonts w:hint="eastAsia"/>
      </w:rPr>
    </w:lvl>
  </w:abstractNum>
  <w:abstractNum w:abstractNumId="5">
    <w:nsid w:val="4CC8527C"/>
    <w:multiLevelType w:val="singleLevel"/>
    <w:tmpl w:val="4CC8527C"/>
    <w:lvl w:ilvl="0" w:tentative="0">
      <w:start w:val="6"/>
      <w:numFmt w:val="chineseCounting"/>
      <w:suff w:val="nothing"/>
      <w:lvlText w:val="%1、"/>
      <w:lvlJc w:val="left"/>
      <w:rPr>
        <w:rFonts w:hint="eastAsia"/>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JhMzY5NTZlMjQ5NzNjMzkwZmE1ZjFmZjcxYmM5YmYifQ=="/>
  </w:docVars>
  <w:rsids>
    <w:rsidRoot w:val="1297576D"/>
    <w:rsid w:val="0029396E"/>
    <w:rsid w:val="003A657B"/>
    <w:rsid w:val="00517D5D"/>
    <w:rsid w:val="005926A3"/>
    <w:rsid w:val="008746A5"/>
    <w:rsid w:val="00B574EC"/>
    <w:rsid w:val="01D22213"/>
    <w:rsid w:val="02834D04"/>
    <w:rsid w:val="038D5656"/>
    <w:rsid w:val="04605697"/>
    <w:rsid w:val="05A72104"/>
    <w:rsid w:val="05D22118"/>
    <w:rsid w:val="06057AB3"/>
    <w:rsid w:val="067A3460"/>
    <w:rsid w:val="076328DA"/>
    <w:rsid w:val="08186607"/>
    <w:rsid w:val="083A3947"/>
    <w:rsid w:val="08F93082"/>
    <w:rsid w:val="097479E0"/>
    <w:rsid w:val="0A0C6ADD"/>
    <w:rsid w:val="0A32752C"/>
    <w:rsid w:val="0A9D29B8"/>
    <w:rsid w:val="0B2C6C02"/>
    <w:rsid w:val="0BC12699"/>
    <w:rsid w:val="0BCC31F9"/>
    <w:rsid w:val="0C5A16A4"/>
    <w:rsid w:val="0DC35837"/>
    <w:rsid w:val="0DE61498"/>
    <w:rsid w:val="110C39D4"/>
    <w:rsid w:val="11387FA9"/>
    <w:rsid w:val="1297576D"/>
    <w:rsid w:val="12BF4C87"/>
    <w:rsid w:val="12E70A09"/>
    <w:rsid w:val="15341747"/>
    <w:rsid w:val="164F6705"/>
    <w:rsid w:val="16646293"/>
    <w:rsid w:val="16FE5921"/>
    <w:rsid w:val="17B042A1"/>
    <w:rsid w:val="1A2B7D96"/>
    <w:rsid w:val="1BD33B78"/>
    <w:rsid w:val="1BEC2FB3"/>
    <w:rsid w:val="1CE262BC"/>
    <w:rsid w:val="1D6D770B"/>
    <w:rsid w:val="1E1A21EF"/>
    <w:rsid w:val="203B090D"/>
    <w:rsid w:val="21135480"/>
    <w:rsid w:val="212C3971"/>
    <w:rsid w:val="214D7086"/>
    <w:rsid w:val="21BA7E4E"/>
    <w:rsid w:val="22DF5956"/>
    <w:rsid w:val="22E7242E"/>
    <w:rsid w:val="22ED7F5E"/>
    <w:rsid w:val="24130D0C"/>
    <w:rsid w:val="259E2C64"/>
    <w:rsid w:val="26F76768"/>
    <w:rsid w:val="27AC61A6"/>
    <w:rsid w:val="27FE02E6"/>
    <w:rsid w:val="28C57566"/>
    <w:rsid w:val="29084622"/>
    <w:rsid w:val="29F704EF"/>
    <w:rsid w:val="2AC220DE"/>
    <w:rsid w:val="2ADB5E21"/>
    <w:rsid w:val="2ADF08BA"/>
    <w:rsid w:val="2B603075"/>
    <w:rsid w:val="2C305EB2"/>
    <w:rsid w:val="2CD9238D"/>
    <w:rsid w:val="2E003054"/>
    <w:rsid w:val="2EB2531B"/>
    <w:rsid w:val="2F3D045F"/>
    <w:rsid w:val="2F6F3EAC"/>
    <w:rsid w:val="2F7D3F84"/>
    <w:rsid w:val="2F844FB7"/>
    <w:rsid w:val="30256074"/>
    <w:rsid w:val="302C4175"/>
    <w:rsid w:val="31713FF6"/>
    <w:rsid w:val="32B04D2F"/>
    <w:rsid w:val="33A35EAC"/>
    <w:rsid w:val="3464504B"/>
    <w:rsid w:val="34E00D83"/>
    <w:rsid w:val="34E40873"/>
    <w:rsid w:val="36216F0D"/>
    <w:rsid w:val="36316A75"/>
    <w:rsid w:val="36ED02B2"/>
    <w:rsid w:val="37DB73A7"/>
    <w:rsid w:val="389D7311"/>
    <w:rsid w:val="398E418A"/>
    <w:rsid w:val="3996009B"/>
    <w:rsid w:val="3997709B"/>
    <w:rsid w:val="39A55AE7"/>
    <w:rsid w:val="3A351BE0"/>
    <w:rsid w:val="3AFB2B32"/>
    <w:rsid w:val="3B0953A4"/>
    <w:rsid w:val="3C302F1C"/>
    <w:rsid w:val="3C8719BD"/>
    <w:rsid w:val="3CE46170"/>
    <w:rsid w:val="3D7933CA"/>
    <w:rsid w:val="3DAC3CC7"/>
    <w:rsid w:val="3E0B6CDC"/>
    <w:rsid w:val="3E16524F"/>
    <w:rsid w:val="3EA30F9B"/>
    <w:rsid w:val="3F2D02B4"/>
    <w:rsid w:val="3F7C50B1"/>
    <w:rsid w:val="406B2371"/>
    <w:rsid w:val="407E15A7"/>
    <w:rsid w:val="40AA3B81"/>
    <w:rsid w:val="411C5733"/>
    <w:rsid w:val="417112FA"/>
    <w:rsid w:val="42D57A4D"/>
    <w:rsid w:val="436A096E"/>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F173EE"/>
    <w:rsid w:val="4C2F1B9C"/>
    <w:rsid w:val="4C870D35"/>
    <w:rsid w:val="4D2832EB"/>
    <w:rsid w:val="4DB81983"/>
    <w:rsid w:val="4DF66F25"/>
    <w:rsid w:val="4E376DB9"/>
    <w:rsid w:val="4E716394"/>
    <w:rsid w:val="4ECC39F8"/>
    <w:rsid w:val="4F0A3ECF"/>
    <w:rsid w:val="4F595384"/>
    <w:rsid w:val="4F7F3CCA"/>
    <w:rsid w:val="502844C8"/>
    <w:rsid w:val="51D845E4"/>
    <w:rsid w:val="52341DDD"/>
    <w:rsid w:val="531111FC"/>
    <w:rsid w:val="533444FB"/>
    <w:rsid w:val="55C54FE9"/>
    <w:rsid w:val="55E07717"/>
    <w:rsid w:val="56397366"/>
    <w:rsid w:val="58080247"/>
    <w:rsid w:val="5950112B"/>
    <w:rsid w:val="59C3293C"/>
    <w:rsid w:val="5A1C766A"/>
    <w:rsid w:val="5C507D90"/>
    <w:rsid w:val="5CF528AB"/>
    <w:rsid w:val="5D132301"/>
    <w:rsid w:val="5F1E1E73"/>
    <w:rsid w:val="612A3DEE"/>
    <w:rsid w:val="62B67083"/>
    <w:rsid w:val="649C599A"/>
    <w:rsid w:val="66B027B6"/>
    <w:rsid w:val="671A2875"/>
    <w:rsid w:val="67966EFB"/>
    <w:rsid w:val="67B628F5"/>
    <w:rsid w:val="682119CD"/>
    <w:rsid w:val="69A94E0C"/>
    <w:rsid w:val="6B656B47"/>
    <w:rsid w:val="6B7E1643"/>
    <w:rsid w:val="6C714475"/>
    <w:rsid w:val="6CDB032D"/>
    <w:rsid w:val="6DBD736C"/>
    <w:rsid w:val="6DF45A5A"/>
    <w:rsid w:val="6E160DB8"/>
    <w:rsid w:val="6E5526FF"/>
    <w:rsid w:val="6F2B1820"/>
    <w:rsid w:val="6F412F7A"/>
    <w:rsid w:val="707E74C2"/>
    <w:rsid w:val="710D0440"/>
    <w:rsid w:val="71C5585F"/>
    <w:rsid w:val="720E79AF"/>
    <w:rsid w:val="73A1381E"/>
    <w:rsid w:val="7459468D"/>
    <w:rsid w:val="749131D7"/>
    <w:rsid w:val="756F240E"/>
    <w:rsid w:val="779817DA"/>
    <w:rsid w:val="77D476E8"/>
    <w:rsid w:val="782A7918"/>
    <w:rsid w:val="79715756"/>
    <w:rsid w:val="7A500C84"/>
    <w:rsid w:val="7A7B08FF"/>
    <w:rsid w:val="7AE21E9E"/>
    <w:rsid w:val="7B09318D"/>
    <w:rsid w:val="7B6004E6"/>
    <w:rsid w:val="7BE14791"/>
    <w:rsid w:val="7C4C470C"/>
    <w:rsid w:val="7CD03426"/>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14</Pages>
  <Words>4075</Words>
  <Characters>4189</Characters>
  <Lines>53</Lines>
  <Paragraphs>15</Paragraphs>
  <TotalTime>1</TotalTime>
  <ScaleCrop>false</ScaleCrop>
  <LinksUpToDate>false</LinksUpToDate>
  <CharactersWithSpaces>4378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cp:lastModifiedBy>
  <cp:lastPrinted>2021-06-17T01:09:00Z</cp:lastPrinted>
  <dcterms:modified xsi:type="dcterms:W3CDTF">2023-12-06T05:28:04Z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07DEC81FD3E8410C8FC7D2A5303090D3</vt:lpwstr>
  </property>
</Properties>
</file>