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367"/>
      <w:r>
        <w:rPr>
          <w:rFonts w:hint="eastAsia" w:ascii="仿宋_GB2312" w:hAnsi="宋体" w:eastAsia="仿宋_GB2312"/>
          <w:b/>
          <w:sz w:val="52"/>
          <w:szCs w:val="52"/>
          <w:lang w:eastAsia="zh-CN"/>
        </w:rPr>
        <w:t>绍兴市再生能源发展有限公司</w:t>
      </w:r>
      <w:bookmarkEnd w:id="0"/>
    </w:p>
    <w:p>
      <w:pPr>
        <w:pStyle w:val="11"/>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喷雾塔备用喷雾装置采购项目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竞争性谈判</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ZSNYSBBJ2308020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喷雾塔备用喷雾装置</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9"/>
        <w:tabs>
          <w:tab w:val="right" w:leader="dot" w:pos="9070"/>
        </w:tabs>
        <w:rPr>
          <w:sz w:val="28"/>
          <w:szCs w:val="24"/>
        </w:rPr>
      </w:pPr>
      <w:r>
        <w:rPr>
          <w:rFonts w:hint="eastAsia" w:ascii="仿宋" w:hAnsi="仿宋" w:eastAsia="仿宋" w:cs="仿宋"/>
          <w:b w:val="0"/>
          <w:bCs/>
          <w:sz w:val="96"/>
          <w:szCs w:val="40"/>
        </w:rPr>
        <w:fldChar w:fldCharType="begin"/>
      </w:r>
      <w:r>
        <w:rPr>
          <w:rFonts w:hint="eastAsia" w:ascii="仿宋" w:hAnsi="仿宋" w:eastAsia="仿宋" w:cs="仿宋"/>
          <w:b w:val="0"/>
          <w:bCs/>
          <w:sz w:val="96"/>
          <w:szCs w:val="40"/>
        </w:rPr>
        <w:instrText xml:space="preserve">TOC \o "1-1" \h \u </w:instrText>
      </w:r>
      <w:r>
        <w:rPr>
          <w:rFonts w:hint="eastAsia" w:ascii="仿宋" w:hAnsi="仿宋" w:eastAsia="仿宋" w:cs="仿宋"/>
          <w:b w:val="0"/>
          <w:bCs/>
          <w:sz w:val="96"/>
          <w:szCs w:val="40"/>
        </w:rPr>
        <w:fldChar w:fldCharType="separate"/>
      </w: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_Toc367 </w:instrText>
      </w:r>
      <w:r>
        <w:rPr>
          <w:rFonts w:hint="eastAsia" w:ascii="仿宋" w:hAnsi="仿宋" w:eastAsia="仿宋" w:cs="仿宋"/>
          <w:bCs/>
          <w:sz w:val="28"/>
          <w:szCs w:val="40"/>
        </w:rPr>
        <w:fldChar w:fldCharType="separate"/>
      </w:r>
      <w:r>
        <w:rPr>
          <w:rFonts w:hint="eastAsia" w:ascii="仿宋_GB2312" w:hAnsi="宋体" w:eastAsia="仿宋_GB2312"/>
          <w:sz w:val="28"/>
          <w:szCs w:val="96"/>
          <w:lang w:eastAsia="zh-CN"/>
        </w:rPr>
        <w:t>绍兴市再生能源发展有限公司</w:t>
      </w:r>
      <w:r>
        <w:rPr>
          <w:sz w:val="28"/>
          <w:szCs w:val="24"/>
        </w:rPr>
        <w:tab/>
      </w:r>
      <w:r>
        <w:rPr>
          <w:sz w:val="28"/>
          <w:szCs w:val="24"/>
        </w:rPr>
        <w:fldChar w:fldCharType="begin"/>
      </w:r>
      <w:r>
        <w:rPr>
          <w:sz w:val="28"/>
          <w:szCs w:val="24"/>
        </w:rPr>
        <w:instrText xml:space="preserve"> PAGEREF _Toc367 \h </w:instrText>
      </w:r>
      <w:r>
        <w:rPr>
          <w:sz w:val="28"/>
          <w:szCs w:val="24"/>
        </w:rPr>
        <w:fldChar w:fldCharType="separate"/>
      </w:r>
      <w:r>
        <w:rPr>
          <w:sz w:val="28"/>
          <w:szCs w:val="24"/>
        </w:rPr>
        <w:t>1</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_Toc23862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第一部分   询价公告</w:t>
      </w:r>
      <w:r>
        <w:rPr>
          <w:sz w:val="28"/>
          <w:szCs w:val="24"/>
        </w:rPr>
        <w:tab/>
      </w:r>
      <w:r>
        <w:rPr>
          <w:sz w:val="28"/>
          <w:szCs w:val="24"/>
        </w:rPr>
        <w:fldChar w:fldCharType="begin"/>
      </w:r>
      <w:r>
        <w:rPr>
          <w:sz w:val="28"/>
          <w:szCs w:val="24"/>
        </w:rPr>
        <w:instrText xml:space="preserve"> PAGEREF _Toc23862 \h </w:instrText>
      </w:r>
      <w:r>
        <w:rPr>
          <w:sz w:val="28"/>
          <w:szCs w:val="24"/>
        </w:rPr>
        <w:fldChar w:fldCharType="separate"/>
      </w:r>
      <w:r>
        <w:rPr>
          <w:sz w:val="28"/>
          <w:szCs w:val="24"/>
        </w:rPr>
        <w:t>3</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_Toc28619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第二部分   采购须知</w:t>
      </w:r>
      <w:r>
        <w:rPr>
          <w:sz w:val="28"/>
          <w:szCs w:val="24"/>
        </w:rPr>
        <w:tab/>
      </w:r>
      <w:r>
        <w:rPr>
          <w:sz w:val="28"/>
          <w:szCs w:val="24"/>
        </w:rPr>
        <w:fldChar w:fldCharType="begin"/>
      </w:r>
      <w:r>
        <w:rPr>
          <w:sz w:val="28"/>
          <w:szCs w:val="24"/>
        </w:rPr>
        <w:instrText xml:space="preserve"> PAGEREF _Toc28619 \h </w:instrText>
      </w:r>
      <w:r>
        <w:rPr>
          <w:sz w:val="28"/>
          <w:szCs w:val="24"/>
        </w:rPr>
        <w:fldChar w:fldCharType="separate"/>
      </w:r>
      <w:r>
        <w:rPr>
          <w:sz w:val="28"/>
          <w:szCs w:val="24"/>
        </w:rPr>
        <w:t>6</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_Toc15548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第三部分   询价内容</w:t>
      </w:r>
      <w:r>
        <w:rPr>
          <w:sz w:val="28"/>
          <w:szCs w:val="24"/>
        </w:rPr>
        <w:tab/>
      </w:r>
      <w:r>
        <w:rPr>
          <w:sz w:val="28"/>
          <w:szCs w:val="24"/>
        </w:rPr>
        <w:fldChar w:fldCharType="begin"/>
      </w:r>
      <w:r>
        <w:rPr>
          <w:sz w:val="28"/>
          <w:szCs w:val="24"/>
        </w:rPr>
        <w:instrText xml:space="preserve"> PAGEREF _Toc15548 \h </w:instrText>
      </w:r>
      <w:r>
        <w:rPr>
          <w:sz w:val="28"/>
          <w:szCs w:val="24"/>
        </w:rPr>
        <w:fldChar w:fldCharType="separate"/>
      </w:r>
      <w:r>
        <w:rPr>
          <w:sz w:val="28"/>
          <w:szCs w:val="24"/>
        </w:rPr>
        <w:t>10</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_Toc9354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lang w:val="en-US" w:eastAsia="zh-CN"/>
        </w:rPr>
        <w:t>第四部分   合同主要条款</w:t>
      </w:r>
      <w:r>
        <w:rPr>
          <w:sz w:val="28"/>
          <w:szCs w:val="24"/>
        </w:rPr>
        <w:tab/>
      </w:r>
      <w:r>
        <w:rPr>
          <w:sz w:val="28"/>
          <w:szCs w:val="24"/>
        </w:rPr>
        <w:fldChar w:fldCharType="begin"/>
      </w:r>
      <w:r>
        <w:rPr>
          <w:sz w:val="28"/>
          <w:szCs w:val="24"/>
        </w:rPr>
        <w:instrText xml:space="preserve"> PAGEREF _Toc9354 \h </w:instrText>
      </w:r>
      <w:r>
        <w:rPr>
          <w:sz w:val="28"/>
          <w:szCs w:val="24"/>
        </w:rPr>
        <w:fldChar w:fldCharType="separate"/>
      </w:r>
      <w:r>
        <w:rPr>
          <w:sz w:val="28"/>
          <w:szCs w:val="24"/>
        </w:rPr>
        <w:t>11</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_Toc11052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w:t>
      </w:r>
      <w:r>
        <w:rPr>
          <w:rFonts w:hint="eastAsia" w:ascii="仿宋" w:hAnsi="仿宋" w:eastAsia="仿宋" w:cs="仿宋"/>
          <w:snapToGrid w:val="0"/>
          <w:sz w:val="28"/>
          <w:szCs w:val="56"/>
          <w:lang w:eastAsia="zh-CN"/>
        </w:rPr>
        <w:t>五</w:t>
      </w:r>
      <w:r>
        <w:rPr>
          <w:rFonts w:hint="eastAsia" w:ascii="仿宋" w:hAnsi="仿宋" w:eastAsia="仿宋" w:cs="仿宋"/>
          <w:snapToGrid w:val="0"/>
          <w:sz w:val="28"/>
          <w:szCs w:val="56"/>
        </w:rPr>
        <w:t>部分   报价文件格式</w:t>
      </w:r>
      <w:r>
        <w:rPr>
          <w:sz w:val="28"/>
          <w:szCs w:val="24"/>
        </w:rPr>
        <w:tab/>
      </w:r>
      <w:r>
        <w:rPr>
          <w:sz w:val="28"/>
          <w:szCs w:val="24"/>
        </w:rPr>
        <w:fldChar w:fldCharType="begin"/>
      </w:r>
      <w:r>
        <w:rPr>
          <w:sz w:val="28"/>
          <w:szCs w:val="24"/>
        </w:rPr>
        <w:instrText xml:space="preserve"> PAGEREF _Toc11052 \h </w:instrText>
      </w:r>
      <w:r>
        <w:rPr>
          <w:sz w:val="28"/>
          <w:szCs w:val="24"/>
        </w:rPr>
        <w:fldChar w:fldCharType="separate"/>
      </w:r>
      <w:r>
        <w:rPr>
          <w:sz w:val="28"/>
          <w:szCs w:val="24"/>
        </w:rPr>
        <w:t>15</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_Toc8021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附件一：</w:t>
      </w:r>
      <w:r>
        <w:rPr>
          <w:sz w:val="28"/>
          <w:szCs w:val="24"/>
        </w:rPr>
        <w:tab/>
      </w:r>
      <w:r>
        <w:rPr>
          <w:sz w:val="28"/>
          <w:szCs w:val="24"/>
        </w:rPr>
        <w:fldChar w:fldCharType="begin"/>
      </w:r>
      <w:r>
        <w:rPr>
          <w:sz w:val="28"/>
          <w:szCs w:val="24"/>
        </w:rPr>
        <w:instrText xml:space="preserve"> PAGEREF _Toc8021 \h </w:instrText>
      </w:r>
      <w:r>
        <w:rPr>
          <w:sz w:val="28"/>
          <w:szCs w:val="24"/>
        </w:rPr>
        <w:fldChar w:fldCharType="separate"/>
      </w:r>
      <w:r>
        <w:rPr>
          <w:sz w:val="28"/>
          <w:szCs w:val="24"/>
        </w:rPr>
        <w:t>15</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_Toc9243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附件二</w:t>
      </w:r>
      <w:r>
        <w:rPr>
          <w:sz w:val="28"/>
          <w:szCs w:val="24"/>
        </w:rPr>
        <w:tab/>
      </w:r>
      <w:r>
        <w:rPr>
          <w:sz w:val="28"/>
          <w:szCs w:val="24"/>
        </w:rPr>
        <w:fldChar w:fldCharType="begin"/>
      </w:r>
      <w:r>
        <w:rPr>
          <w:sz w:val="28"/>
          <w:szCs w:val="24"/>
        </w:rPr>
        <w:instrText xml:space="preserve"> PAGEREF _Toc9243 \h </w:instrText>
      </w:r>
      <w:r>
        <w:rPr>
          <w:sz w:val="28"/>
          <w:szCs w:val="24"/>
        </w:rPr>
        <w:fldChar w:fldCharType="separate"/>
      </w:r>
      <w:r>
        <w:rPr>
          <w:sz w:val="28"/>
          <w:szCs w:val="24"/>
        </w:rPr>
        <w:t>16</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_Toc17846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附件三</w:t>
      </w:r>
      <w:r>
        <w:rPr>
          <w:sz w:val="28"/>
          <w:szCs w:val="24"/>
        </w:rPr>
        <w:tab/>
      </w:r>
      <w:r>
        <w:rPr>
          <w:sz w:val="28"/>
          <w:szCs w:val="24"/>
        </w:rPr>
        <w:fldChar w:fldCharType="begin"/>
      </w:r>
      <w:r>
        <w:rPr>
          <w:sz w:val="28"/>
          <w:szCs w:val="24"/>
        </w:rPr>
        <w:instrText xml:space="preserve"> PAGEREF _Toc17846 \h </w:instrText>
      </w:r>
      <w:r>
        <w:rPr>
          <w:sz w:val="28"/>
          <w:szCs w:val="24"/>
        </w:rPr>
        <w:fldChar w:fldCharType="separate"/>
      </w:r>
      <w:r>
        <w:rPr>
          <w:sz w:val="28"/>
          <w:szCs w:val="24"/>
        </w:rPr>
        <w:t>18</w:t>
      </w:r>
      <w:r>
        <w:rPr>
          <w:sz w:val="28"/>
          <w:szCs w:val="24"/>
        </w:rPr>
        <w:fldChar w:fldCharType="end"/>
      </w:r>
      <w:r>
        <w:rPr>
          <w:rFonts w:hint="eastAsia" w:ascii="仿宋" w:hAnsi="仿宋" w:eastAsia="仿宋" w:cs="仿宋"/>
          <w:bCs/>
          <w:sz w:val="28"/>
          <w:szCs w:val="40"/>
        </w:rPr>
        <w:fldChar w:fldCharType="end"/>
      </w:r>
    </w:p>
    <w:p>
      <w:pPr>
        <w:pStyle w:val="9"/>
        <w:tabs>
          <w:tab w:val="right" w:leader="dot" w:pos="9070"/>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_Toc5647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附件四</w:t>
      </w:r>
      <w:r>
        <w:rPr>
          <w:sz w:val="28"/>
          <w:szCs w:val="24"/>
        </w:rPr>
        <w:tab/>
      </w:r>
      <w:r>
        <w:rPr>
          <w:sz w:val="28"/>
          <w:szCs w:val="24"/>
        </w:rPr>
        <w:fldChar w:fldCharType="begin"/>
      </w:r>
      <w:r>
        <w:rPr>
          <w:sz w:val="28"/>
          <w:szCs w:val="24"/>
        </w:rPr>
        <w:instrText xml:space="preserve"> PAGEREF _Toc5647 \h </w:instrText>
      </w:r>
      <w:r>
        <w:rPr>
          <w:sz w:val="28"/>
          <w:szCs w:val="24"/>
        </w:rPr>
        <w:fldChar w:fldCharType="separate"/>
      </w:r>
      <w:r>
        <w:rPr>
          <w:sz w:val="28"/>
          <w:szCs w:val="24"/>
        </w:rPr>
        <w:t>19</w:t>
      </w:r>
      <w:r>
        <w:rPr>
          <w:sz w:val="28"/>
          <w:szCs w:val="24"/>
        </w:rPr>
        <w:fldChar w:fldCharType="end"/>
      </w:r>
      <w:r>
        <w:rPr>
          <w:rFonts w:hint="eastAsia" w:ascii="仿宋" w:hAnsi="仿宋" w:eastAsia="仿宋" w:cs="仿宋"/>
          <w:bCs/>
          <w:sz w:val="28"/>
          <w:szCs w:val="40"/>
        </w:rPr>
        <w:fldChar w:fldCharType="end"/>
      </w:r>
    </w:p>
    <w:p>
      <w:pPr>
        <w:rPr>
          <w:rFonts w:hint="eastAsia" w:ascii="仿宋" w:hAnsi="仿宋" w:eastAsia="仿宋" w:cs="仿宋"/>
          <w:sz w:val="56"/>
          <w:szCs w:val="32"/>
        </w:rPr>
      </w:pPr>
      <w:r>
        <w:rPr>
          <w:rFonts w:hint="eastAsia" w:ascii="仿宋" w:hAnsi="仿宋" w:eastAsia="仿宋" w:cs="仿宋"/>
          <w:bCs/>
          <w:sz w:val="28"/>
          <w:szCs w:val="40"/>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23862"/>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喷雾塔备用喷雾装置</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ZSNY/SBBJ2308020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2.采购</w:t>
      </w:r>
      <w:r>
        <w:rPr>
          <w:rFonts w:hint="eastAsia" w:ascii="仿宋" w:hAnsi="仿宋" w:eastAsia="仿宋" w:cs="仿宋"/>
          <w:sz w:val="30"/>
          <w:szCs w:val="30"/>
          <w:lang w:eastAsia="zh-CN"/>
        </w:rPr>
        <w:t>项目详细内容</w:t>
      </w:r>
      <w:r>
        <w:rPr>
          <w:rFonts w:hint="eastAsia" w:ascii="仿宋" w:hAnsi="仿宋" w:eastAsia="仿宋" w:cs="仿宋"/>
          <w:sz w:val="30"/>
          <w:szCs w:val="30"/>
        </w:rPr>
        <w:t>：</w:t>
      </w:r>
      <w:r>
        <w:rPr>
          <w:rFonts w:hint="eastAsia" w:ascii="仿宋" w:hAnsi="仿宋" w:eastAsia="仿宋" w:cs="仿宋"/>
          <w:sz w:val="30"/>
          <w:szCs w:val="30"/>
          <w:lang w:val="en-US" w:eastAsia="zh-CN"/>
        </w:rPr>
        <w:t>随着环保形势日益加剧，加上本司雾化器运行及故障原因，为保障烟气排放能够有效达标以及减少因雾化器原因的环保报备次数，结合其余项目对加装喷雾塔备用喷雾装置后的使用反馈，故在停炉检修期间对三台喷雾塔加装喷雾装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3.相关技术参数：垃圾焚烧量750t/h，喷雾塔塔径10.6米，有效直段11.5米，现有喷浆量4.0-4.8t/h，烟气标干流量约125000m3/h-135000m3/h（引风机出口），原烟气SO2在 420mg/m3左右，HCL在150mg/m3左右。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4.工作量：每台喷雾塔安装周期及调试时间为7天（前提是不影响其他专业检修）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相关技术要求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该装置可以在焚烧炉正常运行工况下用于代替旋转雾化器喷浆，且投用时烟气排放指标在可控范围内。（2）雾化效果必须雾化颗粒均匀，能够达到微米级雾化。（3）在锅炉蒸发量不低于65t/h，原烟气SO2在420mg/m3左右， HCL在150mg/m3左右，喷雾塔进口温度在190℃-220℃（最高240℃），石灰纯度大于或等于90%，浆液配比浓度10%的情况下，通过停止旋转雾化器运行，投用备用喷雾装置后能够有效控制SO2小时均值在60mg/m3以内， HCL小时均值在10mg/m3以内，喷雾塔出口温度能够控制在145℃-155℃左右。</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24.2154万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1.报价人必须是在中华人民共和国境内注册，具有独立法人资格和独立承担民事责任的能力；投标人经营范围须包含相关的销售资质；投标人需在同类型垃圾发电厂中存在不少于两个及以上业绩。</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10月8</w:t>
      </w:r>
      <w:bookmarkStart w:id="21" w:name="_GoBack"/>
      <w:bookmarkEnd w:id="21"/>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9月26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28619"/>
      <w:bookmarkStart w:id="9" w:name="_Toc530583879"/>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firstLine="602" w:firstLineChars="200"/>
        <w:rPr>
          <w:rFonts w:hint="eastAsia" w:ascii="仿宋_GB2312" w:hAnsi="宋体" w:eastAsia="仿宋_GB2312"/>
          <w:b/>
          <w:bCs/>
          <w:color w:val="FF0000"/>
          <w:sz w:val="30"/>
          <w:szCs w:val="30"/>
          <w:lang w:val="en-US" w:eastAsia="zh-CN"/>
        </w:rPr>
      </w:pPr>
      <w:r>
        <w:rPr>
          <w:rFonts w:hint="eastAsia" w:ascii="仿宋_GB2312" w:hAnsi="宋体" w:eastAsia="仿宋_GB2312"/>
          <w:b/>
          <w:bCs/>
          <w:color w:val="FF0000"/>
          <w:sz w:val="30"/>
          <w:szCs w:val="30"/>
          <w:lang w:val="en-US" w:eastAsia="zh-CN"/>
        </w:rPr>
        <w:t>5.技术方案；</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lang w:eastAsia="zh-CN"/>
        </w:rPr>
      </w:pPr>
      <w:r>
        <w:rPr>
          <w:rFonts w:hint="eastAsia" w:ascii="仿宋_GB2312" w:hAnsi="宋体" w:eastAsia="仿宋_GB2312"/>
          <w:b/>
          <w:bCs/>
          <w:color w:val="FF0000"/>
          <w:sz w:val="30"/>
          <w:szCs w:val="30"/>
          <w:lang w:val="en-US" w:eastAsia="zh-CN"/>
        </w:rPr>
        <w:t>6.相关业绩证明。</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w:t>
      </w:r>
      <w:r>
        <w:rPr>
          <w:rFonts w:hint="eastAsia" w:ascii="仿宋_GB2312" w:eastAsia="仿宋_GB2312"/>
          <w:sz w:val="30"/>
          <w:szCs w:val="30"/>
          <w:lang w:eastAsia="zh-CN"/>
        </w:rPr>
        <w:t>进行二次报价，以二次报价</w:t>
      </w:r>
      <w:r>
        <w:rPr>
          <w:rFonts w:hint="eastAsia" w:ascii="仿宋_GB2312" w:eastAsia="仿宋_GB2312"/>
          <w:sz w:val="30"/>
          <w:szCs w:val="30"/>
        </w:rPr>
        <w:t>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2"/>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pStyle w:val="11"/>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bookmarkStart w:id="11" w:name="_Toc15548"/>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eastAsia="zh-CN"/>
        </w:rPr>
        <w:t>一次性供货完成</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7个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r>
        <w:rPr>
          <w:rFonts w:hint="eastAsia" w:ascii="仿宋" w:hAnsi="仿宋" w:eastAsia="仿宋" w:cs="仿宋"/>
          <w:color w:val="auto"/>
          <w:kern w:val="2"/>
          <w:sz w:val="30"/>
          <w:szCs w:val="30"/>
          <w:lang w:eastAsia="zh-CN"/>
        </w:rPr>
        <w:t>，并完成后续安装调试工作。</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预付30%，货到安装调试合格后，中标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lang w:eastAsia="zh-CN"/>
        </w:rPr>
        <w:t>支付至</w:t>
      </w:r>
      <w:r>
        <w:rPr>
          <w:rFonts w:hint="eastAsia" w:ascii="仿宋" w:hAnsi="仿宋" w:eastAsia="仿宋" w:cs="仿宋"/>
          <w:color w:val="auto"/>
          <w:kern w:val="2"/>
          <w:sz w:val="30"/>
          <w:szCs w:val="30"/>
        </w:rPr>
        <w:t>货款</w:t>
      </w:r>
      <w:r>
        <w:rPr>
          <w:rFonts w:hint="eastAsia" w:ascii="仿宋" w:hAnsi="仿宋" w:eastAsia="仿宋" w:cs="仿宋"/>
          <w:color w:val="auto"/>
          <w:kern w:val="2"/>
          <w:sz w:val="30"/>
          <w:szCs w:val="30"/>
          <w:lang w:eastAsia="zh-CN"/>
        </w:rPr>
        <w:t>的</w:t>
      </w:r>
      <w:r>
        <w:rPr>
          <w:rFonts w:hint="eastAsia" w:ascii="仿宋" w:hAnsi="仿宋" w:eastAsia="仿宋" w:cs="仿宋"/>
          <w:color w:val="auto"/>
          <w:kern w:val="2"/>
          <w:sz w:val="30"/>
          <w:szCs w:val="30"/>
          <w:lang w:val="en-US" w:eastAsia="zh-CN"/>
        </w:rPr>
        <w:t>95%</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中标人需提供一年质保，质保金为合同价的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，于质保期到期后支付</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9354"/>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预付30%，货到安装调试合格后，中标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lang w:eastAsia="zh-CN"/>
        </w:rPr>
        <w:t>支付至</w:t>
      </w:r>
      <w:r>
        <w:rPr>
          <w:rFonts w:hint="eastAsia" w:ascii="仿宋" w:hAnsi="仿宋" w:eastAsia="仿宋" w:cs="仿宋"/>
          <w:color w:val="auto"/>
          <w:kern w:val="2"/>
          <w:sz w:val="30"/>
          <w:szCs w:val="30"/>
        </w:rPr>
        <w:t>货款</w:t>
      </w:r>
      <w:r>
        <w:rPr>
          <w:rFonts w:hint="eastAsia" w:ascii="仿宋" w:hAnsi="仿宋" w:eastAsia="仿宋" w:cs="仿宋"/>
          <w:color w:val="auto"/>
          <w:kern w:val="2"/>
          <w:sz w:val="30"/>
          <w:szCs w:val="30"/>
          <w:lang w:eastAsia="zh-CN"/>
        </w:rPr>
        <w:t>的</w:t>
      </w:r>
      <w:r>
        <w:rPr>
          <w:rFonts w:hint="eastAsia" w:ascii="仿宋" w:hAnsi="仿宋" w:eastAsia="仿宋" w:cs="仿宋"/>
          <w:color w:val="auto"/>
          <w:kern w:val="2"/>
          <w:sz w:val="30"/>
          <w:szCs w:val="30"/>
          <w:lang w:val="en-US" w:eastAsia="zh-CN"/>
        </w:rPr>
        <w:t>95%</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中标人需提供一年质保，质保金为合同价的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，于质保期到期后支付</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2"/>
        <w:numPr>
          <w:ilvl w:val="0"/>
          <w:numId w:val="0"/>
        </w:numPr>
        <w:jc w:val="center"/>
        <w:rPr>
          <w:rFonts w:hint="eastAsia" w:ascii="仿宋" w:hAnsi="仿宋" w:eastAsia="仿宋" w:cs="仿宋"/>
          <w:snapToGrid w:val="0"/>
          <w:sz w:val="44"/>
          <w:szCs w:val="44"/>
        </w:rPr>
      </w:pPr>
      <w:bookmarkStart w:id="14" w:name="_Toc11052"/>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802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喷雾塔备用喷雾装置</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ZSNY/SBBJ2308020</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9243"/>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绍兴市再生能源发展有限公司喷雾塔备用喷雾装置 </w:t>
      </w:r>
      <w:r>
        <w:rPr>
          <w:rFonts w:hint="eastAsia" w:ascii="仿宋" w:hAnsi="仿宋" w:eastAsia="仿宋" w:cs="仿宋"/>
          <w:sz w:val="30"/>
          <w:szCs w:val="30"/>
          <w:u w:val="none"/>
          <w:lang w:val="en-US" w:eastAsia="zh-CN"/>
        </w:rPr>
        <w:t>项目。</w:t>
      </w:r>
    </w:p>
    <w:tbl>
      <w:tblPr>
        <w:tblStyle w:val="13"/>
        <w:tblW w:w="4334" w:type="pct"/>
        <w:jc w:val="center"/>
        <w:tblLayout w:type="autofit"/>
        <w:tblCellMar>
          <w:top w:w="0" w:type="dxa"/>
          <w:left w:w="108" w:type="dxa"/>
          <w:bottom w:w="0" w:type="dxa"/>
          <w:right w:w="108" w:type="dxa"/>
        </w:tblCellMar>
      </w:tblPr>
      <w:tblGrid>
        <w:gridCol w:w="696"/>
        <w:gridCol w:w="2099"/>
        <w:gridCol w:w="1359"/>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3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11"/>
        <w:rPr>
          <w:rFonts w:hint="eastAsia"/>
        </w:rPr>
      </w:pPr>
    </w:p>
    <w:p>
      <w:pPr>
        <w:pStyle w:val="9"/>
        <w:jc w:val="center"/>
        <w:rPr>
          <w:rFonts w:hint="eastAsia" w:ascii="仿宋" w:hAnsi="仿宋" w:eastAsia="仿宋" w:cs="仿宋"/>
          <w:b w:val="0"/>
          <w:bCs w:val="0"/>
          <w:color w:val="auto"/>
        </w:rPr>
      </w:pPr>
    </w:p>
    <w:p>
      <w:pPr>
        <w:pStyle w:val="9"/>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13</w:t>
      </w:r>
      <w:r>
        <w:rPr>
          <w:rFonts w:hint="eastAsia" w:ascii="仿宋" w:hAnsi="仿宋" w:eastAsia="仿宋" w:cs="仿宋"/>
          <w:sz w:val="30"/>
          <w:szCs w:val="30"/>
        </w:rPr>
        <w:t xml:space="preserve"> %）</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预付30%，货到安装调试合格后，中标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lang w:eastAsia="zh-CN"/>
        </w:rPr>
        <w:t>支付至</w:t>
      </w:r>
      <w:r>
        <w:rPr>
          <w:rFonts w:hint="eastAsia" w:ascii="仿宋" w:hAnsi="仿宋" w:eastAsia="仿宋" w:cs="仿宋"/>
          <w:color w:val="auto"/>
          <w:kern w:val="2"/>
          <w:sz w:val="30"/>
          <w:szCs w:val="30"/>
        </w:rPr>
        <w:t>货款</w:t>
      </w:r>
      <w:r>
        <w:rPr>
          <w:rFonts w:hint="eastAsia" w:ascii="仿宋" w:hAnsi="仿宋" w:eastAsia="仿宋" w:cs="仿宋"/>
          <w:color w:val="auto"/>
          <w:kern w:val="2"/>
          <w:sz w:val="30"/>
          <w:szCs w:val="30"/>
          <w:lang w:eastAsia="zh-CN"/>
        </w:rPr>
        <w:t>的</w:t>
      </w:r>
      <w:r>
        <w:rPr>
          <w:rFonts w:hint="eastAsia" w:ascii="仿宋" w:hAnsi="仿宋" w:eastAsia="仿宋" w:cs="仿宋"/>
          <w:color w:val="auto"/>
          <w:kern w:val="2"/>
          <w:sz w:val="30"/>
          <w:szCs w:val="30"/>
          <w:lang w:val="en-US" w:eastAsia="zh-CN"/>
        </w:rPr>
        <w:t>95%</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中标人需提供一年质保，质保金为合同价的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，于质保期到期后支付</w:t>
      </w:r>
      <w:r>
        <w:rPr>
          <w:rFonts w:hint="eastAsia" w:ascii="仿宋" w:hAnsi="仿宋" w:eastAsia="仿宋" w:cs="仿宋"/>
          <w:color w:val="auto"/>
          <w:kern w:val="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相关要求：1、报价一览表由供货商填写喷雾装置组成部分及相应部分报价，喷雾装置需满足我公司使用要求，数量为三套，税率为13%。该项目总限价为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24.2154万</w:t>
      </w:r>
      <w:r>
        <w:rPr>
          <w:rFonts w:hint="eastAsia" w:ascii="仿宋" w:hAnsi="仿宋" w:eastAsia="仿宋" w:cs="仿宋"/>
          <w:sz w:val="30"/>
          <w:szCs w:val="30"/>
        </w:rPr>
        <w:t>元</w:t>
      </w:r>
      <w:r>
        <w:rPr>
          <w:rFonts w:hint="eastAsia" w:ascii="仿宋" w:hAnsi="仿宋" w:eastAsia="仿宋" w:cs="仿宋"/>
          <w:sz w:val="30"/>
          <w:szCs w:val="30"/>
          <w:lang w:eastAsia="zh-CN"/>
        </w:rPr>
        <w:t>，超过该金额则为无效投标</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17846"/>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喷雾塔备用喷雾装置</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1"/>
        <w:ind w:left="0" w:leftChars="0" w:firstLine="0" w:firstLineChars="0"/>
        <w:rPr>
          <w:rFonts w:hint="eastAsia"/>
        </w:rPr>
      </w:pPr>
    </w:p>
    <w:p>
      <w:pPr>
        <w:rPr>
          <w:rFonts w:hint="eastAsia"/>
        </w:rPr>
      </w:pPr>
    </w:p>
    <w:p>
      <w:pPr>
        <w:rPr>
          <w:rFonts w:hint="eastAsia"/>
        </w:rPr>
      </w:pPr>
    </w:p>
    <w:p>
      <w:pPr>
        <w:rPr>
          <w:rFonts w:hint="eastAsia"/>
        </w:rPr>
      </w:pPr>
    </w:p>
    <w:p>
      <w:pPr>
        <w:rPr>
          <w:rFonts w:hint="eastAsia"/>
        </w:rPr>
      </w:pPr>
    </w:p>
    <w:p>
      <w:pPr>
        <w:spacing w:line="480" w:lineRule="auto"/>
        <w:jc w:val="left"/>
        <w:outlineLvl w:val="0"/>
        <w:rPr>
          <w:rFonts w:hint="eastAsia" w:ascii="仿宋" w:hAnsi="仿宋" w:eastAsia="仿宋" w:cs="仿宋"/>
          <w:b/>
          <w:spacing w:val="-2"/>
          <w:sz w:val="30"/>
        </w:rPr>
      </w:pPr>
      <w:bookmarkStart w:id="20" w:name="_Toc5647"/>
      <w:r>
        <w:rPr>
          <w:rStyle w:val="20"/>
          <w:rFonts w:hint="eastAsia" w:ascii="仿宋" w:hAnsi="仿宋" w:eastAsia="仿宋" w:cs="仿宋"/>
          <w:sz w:val="30"/>
        </w:rPr>
        <w:t>附件四</w:t>
      </w:r>
      <w:bookmarkEnd w:id="20"/>
    </w:p>
    <w:p>
      <w:pPr>
        <w:rPr>
          <w:rFonts w:hint="eastAsia" w:eastAsia="宋体"/>
          <w:lang w:eastAsia="zh-CN"/>
        </w:rPr>
      </w:pPr>
      <w:r>
        <w:rPr>
          <w:rFonts w:hint="eastAsia"/>
          <w:lang w:eastAsia="zh-CN"/>
        </w:rPr>
        <w:t>技术方案及相关业绩证明（不少于两个）</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A9E3AC1"/>
    <w:rsid w:val="0B2C6C02"/>
    <w:rsid w:val="0BC12699"/>
    <w:rsid w:val="0BCC31F9"/>
    <w:rsid w:val="0C5A16A4"/>
    <w:rsid w:val="0DC35837"/>
    <w:rsid w:val="0DE61498"/>
    <w:rsid w:val="10E57976"/>
    <w:rsid w:val="110C39D4"/>
    <w:rsid w:val="1297576D"/>
    <w:rsid w:val="12BF4C87"/>
    <w:rsid w:val="12E70A09"/>
    <w:rsid w:val="15341747"/>
    <w:rsid w:val="164F6705"/>
    <w:rsid w:val="16646293"/>
    <w:rsid w:val="16FE5921"/>
    <w:rsid w:val="17B042A1"/>
    <w:rsid w:val="18852D58"/>
    <w:rsid w:val="1A2B7D96"/>
    <w:rsid w:val="1BD33B78"/>
    <w:rsid w:val="1BEC2FB3"/>
    <w:rsid w:val="1CE262BC"/>
    <w:rsid w:val="1D6D770B"/>
    <w:rsid w:val="1E1A21EF"/>
    <w:rsid w:val="1FFF59EB"/>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632AA7"/>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19F2566"/>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0D1C7C"/>
    <w:rsid w:val="531111FC"/>
    <w:rsid w:val="533444FB"/>
    <w:rsid w:val="55414BBA"/>
    <w:rsid w:val="55C54FE9"/>
    <w:rsid w:val="55E07717"/>
    <w:rsid w:val="56397366"/>
    <w:rsid w:val="56DE13B8"/>
    <w:rsid w:val="58080247"/>
    <w:rsid w:val="5950112B"/>
    <w:rsid w:val="59C0622B"/>
    <w:rsid w:val="59C3293C"/>
    <w:rsid w:val="5A1C766A"/>
    <w:rsid w:val="5CF528AB"/>
    <w:rsid w:val="5D132301"/>
    <w:rsid w:val="5F1E1E73"/>
    <w:rsid w:val="612A3DEE"/>
    <w:rsid w:val="62B67083"/>
    <w:rsid w:val="64465C1F"/>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79817DA"/>
    <w:rsid w:val="77D476E8"/>
    <w:rsid w:val="782A7918"/>
    <w:rsid w:val="78A05BF6"/>
    <w:rsid w:val="7A500C84"/>
    <w:rsid w:val="7A7B08FF"/>
    <w:rsid w:val="7AE21E9E"/>
    <w:rsid w:val="7B09318D"/>
    <w:rsid w:val="7B6004E6"/>
    <w:rsid w:val="7BE14791"/>
    <w:rsid w:val="7C4C470C"/>
    <w:rsid w:val="7CD03426"/>
    <w:rsid w:val="7CD250C4"/>
    <w:rsid w:val="7DFA5FDE"/>
    <w:rsid w:val="7E0B3994"/>
    <w:rsid w:val="7E6511B8"/>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1</TotalTime>
  <ScaleCrop>false</ScaleCrop>
  <LinksUpToDate>false</LinksUpToDate>
  <CharactersWithSpaces>4378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2023-09-25T06:25:33Z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07DEC81FD3E8410C8FC7D2A5303090D3</vt:lpwstr>
  </property>
</Properties>
</file>