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耐高温密封条采购项目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ZSNY/SBBJ2309016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耐高温密封条</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6995"/>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ZSNY/SBBJ2309016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1" w:type="pct"/>
        <w:jc w:val="center"/>
        <w:tblLayout w:type="autofit"/>
        <w:tblCellMar>
          <w:top w:w="0" w:type="dxa"/>
          <w:left w:w="108" w:type="dxa"/>
          <w:bottom w:w="0" w:type="dxa"/>
          <w:right w:w="108" w:type="dxa"/>
        </w:tblCellMar>
      </w:tblPr>
      <w:tblGrid>
        <w:gridCol w:w="886"/>
        <w:gridCol w:w="1974"/>
        <w:gridCol w:w="2894"/>
        <w:gridCol w:w="907"/>
        <w:gridCol w:w="1304"/>
        <w:gridCol w:w="1304"/>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高温密封条</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厚2cm，宽3cm，中间卡槽为0.8cm。凹字形，材质：硅胶，要求使用后六个月内不会出现老化现象，耐热温度：250℃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¥40.00/米</w:t>
            </w:r>
          </w:p>
        </w:tc>
      </w:tr>
    </w:tbl>
    <w:p>
      <w:pPr>
        <w:pStyle w:val="1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9月22</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9月18</w:t>
      </w:r>
      <w:bookmarkStart w:id="20" w:name="_GoBack"/>
      <w:bookmarkEnd w:id="20"/>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bookmarkStart w:id="10" w:name="_Toc23057"/>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pStyle w:val="1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12"/>
        <w:rPr>
          <w:rFonts w:hint="eastAsia"/>
        </w:rPr>
      </w:pPr>
    </w:p>
    <w:p>
      <w:pPr>
        <w:pStyle w:val="6"/>
        <w:rPr>
          <w:rFonts w:hint="eastAsia"/>
        </w:rPr>
      </w:pPr>
    </w:p>
    <w:p>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本项目为一次性供货项目</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中标人需提供六个月质保，其履约保证金（合同价的</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）到时自动转为质保金，于质保期到期后支付</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中标人需提供六个月质保，其履约保证金（合同价的</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）到时自动转为质保金，于质保期到期后支付</w:t>
      </w:r>
      <w:r>
        <w:rPr>
          <w:rFonts w:hint="eastAsia" w:ascii="仿宋" w:hAnsi="仿宋" w:eastAsia="仿宋" w:cs="仿宋"/>
          <w:color w:val="auto"/>
          <w:kern w:val="2"/>
          <w:sz w:val="30"/>
          <w:szCs w:val="30"/>
        </w:rPr>
        <w:t>。</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耐高温密封条</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ZSNY/SBBJ2309016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绍兴市再生能源发展有限公司耐高温密封条 </w:t>
      </w:r>
      <w:r>
        <w:rPr>
          <w:rFonts w:hint="eastAsia" w:ascii="仿宋" w:hAnsi="仿宋" w:eastAsia="仿宋" w:cs="仿宋"/>
          <w:sz w:val="30"/>
          <w:szCs w:val="30"/>
          <w:u w:val="none"/>
          <w:lang w:val="en-US" w:eastAsia="zh-CN"/>
        </w:rPr>
        <w:t>项目。</w:t>
      </w:r>
    </w:p>
    <w:tbl>
      <w:tblPr>
        <w:tblStyle w:val="13"/>
        <w:tblW w:w="4979" w:type="pct"/>
        <w:jc w:val="center"/>
        <w:tblLayout w:type="fixed"/>
        <w:tblCellMar>
          <w:top w:w="0" w:type="dxa"/>
          <w:left w:w="108" w:type="dxa"/>
          <w:bottom w:w="0" w:type="dxa"/>
          <w:right w:w="108" w:type="dxa"/>
        </w:tblCellMar>
      </w:tblPr>
      <w:tblGrid>
        <w:gridCol w:w="696"/>
        <w:gridCol w:w="1335"/>
        <w:gridCol w:w="2123"/>
        <w:gridCol w:w="743"/>
        <w:gridCol w:w="758"/>
        <w:gridCol w:w="119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2"/>
                <w:szCs w:val="22"/>
                <w:u w:val="none"/>
                <w:lang w:val="en-US" w:eastAsia="zh-CN" w:bidi="ar"/>
              </w:rPr>
              <w:t>高温密封条</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厚2cm，宽3cm，中间卡槽为0.8cm。凹字形，材质：硅胶，要求使用后六个月内不会出现老化现象，耐热温度：250℃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¥40.00/米</w:t>
            </w:r>
          </w:p>
        </w:tc>
      </w:tr>
    </w:tbl>
    <w:p>
      <w:pPr>
        <w:pStyle w:val="1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元，税率为</w:t>
      </w:r>
      <w:r>
        <w:rPr>
          <w:rFonts w:hint="eastAsia" w:ascii="仿宋" w:hAnsi="仿宋" w:eastAsia="仿宋" w:cs="仿宋"/>
          <w:sz w:val="30"/>
          <w:szCs w:val="30"/>
          <w:lang w:val="en-US" w:eastAsia="zh-CN"/>
        </w:rPr>
        <w:t>13</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中标人需提供六个月质保，其履约保证金（合同价的</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）到时自动转为质保金，于质保期到期后支付。</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2.00万</w:t>
      </w:r>
      <w:r>
        <w:rPr>
          <w:rFonts w:hint="eastAsia" w:ascii="仿宋" w:hAnsi="仿宋" w:eastAsia="仿宋" w:cs="仿宋"/>
          <w:sz w:val="30"/>
          <w:szCs w:val="30"/>
        </w:rPr>
        <w:t>元</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该采购项目履约保证金为合同价的10%。中标人于合同签订前将履约保证金打入招标人指定账户。合同履行完成后，履约保证金转为质保金。质保期满后，招标人退还质保金（无息）。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耐高温密封条</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42C666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F1E1E73"/>
    <w:rsid w:val="612A3DEE"/>
    <w:rsid w:val="62B67083"/>
    <w:rsid w:val="649C599A"/>
    <w:rsid w:val="6625449F"/>
    <w:rsid w:val="66B027B6"/>
    <w:rsid w:val="671A2875"/>
    <w:rsid w:val="67966EFB"/>
    <w:rsid w:val="67B628F5"/>
    <w:rsid w:val="682119CD"/>
    <w:rsid w:val="69A94E0C"/>
    <w:rsid w:val="6B656B47"/>
    <w:rsid w:val="6B7E1643"/>
    <w:rsid w:val="6C714475"/>
    <w:rsid w:val="6CDB032D"/>
    <w:rsid w:val="6DBD736C"/>
    <w:rsid w:val="6DF45A5A"/>
    <w:rsid w:val="6E5526FF"/>
    <w:rsid w:val="6F2B1820"/>
    <w:rsid w:val="6F412F7A"/>
    <w:rsid w:val="707E74C2"/>
    <w:rsid w:val="710D0440"/>
    <w:rsid w:val="71C5585F"/>
    <w:rsid w:val="720E79AF"/>
    <w:rsid w:val="73A1381E"/>
    <w:rsid w:val="7459468D"/>
    <w:rsid w:val="749131D7"/>
    <w:rsid w:val="756F240E"/>
    <w:rsid w:val="76BB1C83"/>
    <w:rsid w:val="779817DA"/>
    <w:rsid w:val="77D476E8"/>
    <w:rsid w:val="782A7918"/>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4</TotalTime>
  <ScaleCrop>false</ScaleCrop>
  <LinksUpToDate>false</LinksUpToDate>
  <CharactersWithSpaces>4378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2023-09-18T02:09:49Z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07DEC81FD3E8410C8FC7D2A5303090D3</vt:lpwstr>
  </property>
</Properties>
</file>