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_GB2312" w:hAnsi="宋体" w:eastAsia="仿宋_GB2312"/>
          <w:b/>
          <w:sz w:val="52"/>
          <w:szCs w:val="52"/>
        </w:rPr>
      </w:pPr>
      <w:r>
        <w:rPr>
          <w:rFonts w:hint="eastAsia" w:ascii="仿宋_GB2312" w:hAnsi="宋体" w:eastAsia="仿宋_GB2312"/>
          <w:b/>
          <w:sz w:val="52"/>
          <w:szCs w:val="52"/>
          <w:lang w:eastAsia="zh-CN"/>
        </w:rPr>
        <w:t>绍兴市再生能源发展有限公司</w:t>
      </w:r>
    </w:p>
    <w:p>
      <w:pPr>
        <w:pStyle w:val="2"/>
      </w:pP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突发环境事件应急预案编制及评审项目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询价</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项目</w:t>
      </w:r>
      <w:r>
        <w:rPr>
          <w:rFonts w:hint="eastAsia" w:ascii="仿宋" w:hAnsi="仿宋" w:eastAsia="仿宋" w:cs="仿宋"/>
          <w:sz w:val="32"/>
          <w:szCs w:val="32"/>
        </w:rPr>
        <w:t>编号：</w:t>
      </w:r>
      <w:r>
        <w:rPr>
          <w:rFonts w:hint="eastAsia" w:ascii="仿宋" w:hAnsi="仿宋" w:eastAsia="仿宋" w:cs="仿宋"/>
          <w:sz w:val="32"/>
          <w:szCs w:val="32"/>
          <w:u w:val="single"/>
          <w:lang w:val="en-US" w:eastAsia="zh-CN"/>
        </w:rPr>
        <w:t xml:space="preserve"> ZSNY2306019 </w:t>
      </w:r>
    </w:p>
    <w:p>
      <w:pPr>
        <w:spacing w:line="360" w:lineRule="auto"/>
        <w:ind w:firstLine="80" w:firstLineChars="25"/>
        <w:jc w:val="center"/>
        <w:rPr>
          <w:rFonts w:hint="eastAsia" w:ascii="仿宋" w:hAnsi="仿宋" w:eastAsia="仿宋" w:cs="仿宋"/>
          <w:sz w:val="32"/>
          <w:szCs w:val="32"/>
          <w:u w:val="single"/>
          <w:lang w:val="en-US" w:eastAsia="zh-CN"/>
        </w:rPr>
      </w:pPr>
      <w:bookmarkStart w:id="0" w:name="OLE_LINK52"/>
      <w:bookmarkStart w:id="1" w:name="OLE_LINK53"/>
      <w:r>
        <w:rPr>
          <w:rFonts w:hint="eastAsia" w:ascii="仿宋" w:hAnsi="仿宋" w:eastAsia="仿宋" w:cs="仿宋"/>
          <w:sz w:val="32"/>
          <w:szCs w:val="32"/>
        </w:rPr>
        <w:t>项目名称：</w:t>
      </w:r>
      <w:bookmarkEnd w:id="0"/>
      <w:bookmarkEnd w:id="1"/>
      <w:r>
        <w:rPr>
          <w:rFonts w:hint="eastAsia" w:ascii="仿宋" w:hAnsi="仿宋" w:eastAsia="仿宋" w:cs="仿宋"/>
          <w:sz w:val="32"/>
          <w:szCs w:val="32"/>
          <w:u w:val="single"/>
          <w:lang w:val="en-US" w:eastAsia="zh-CN"/>
        </w:rPr>
        <w:t xml:space="preserve">  突发环境事件</w:t>
      </w:r>
      <w:r>
        <w:rPr>
          <w:rFonts w:hint="eastAsia" w:ascii="仿宋" w:hAnsi="仿宋" w:eastAsia="仿宋" w:cs="仿宋"/>
          <w:sz w:val="32"/>
          <w:szCs w:val="32"/>
          <w:u w:val="single"/>
          <w:lang w:eastAsia="zh-CN"/>
        </w:rPr>
        <w:t>应急预案编制及评审</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六</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"1-3" \h \z \u </w:instrText>
      </w:r>
      <w:r>
        <w:rPr>
          <w:rFonts w:hint="eastAsia" w:ascii="仿宋" w:hAnsi="仿宋" w:eastAsia="仿宋" w:cs="仿宋"/>
          <w:sz w:val="36"/>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"_Toc530583921"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第一部分   询价公告</w:t>
      </w:r>
      <w:bookmarkStart w:id="2" w:name="_Hlt4078678"/>
      <w:bookmarkStart w:id="3" w:name="_Hlt4078679"/>
      <w:r>
        <w:rPr>
          <w:rFonts w:hint="eastAsia" w:ascii="仿宋" w:hAnsi="仿宋" w:eastAsia="仿宋" w:cs="仿宋"/>
          <w:b w:val="0"/>
          <w:sz w:val="36"/>
        </w:rPr>
        <w:tab/>
      </w:r>
      <w:bookmarkEnd w:id="2"/>
      <w:bookmarkEnd w:id="3"/>
      <w:r>
        <w:rPr>
          <w:rFonts w:hint="eastAsia" w:ascii="仿宋" w:hAnsi="仿宋" w:eastAsia="仿宋" w:cs="仿宋"/>
          <w:b w:val="0"/>
          <w:sz w:val="36"/>
        </w:rPr>
        <w:t>3</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"_Toc530583922"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第二部分   采购须知</w:t>
      </w:r>
      <w:r>
        <w:rPr>
          <w:rFonts w:hint="eastAsia" w:ascii="仿宋" w:hAnsi="仿宋" w:eastAsia="仿宋" w:cs="仿宋"/>
          <w:b w:val="0"/>
          <w:sz w:val="36"/>
        </w:rPr>
        <w:tab/>
      </w:r>
      <w:r>
        <w:rPr>
          <w:rFonts w:hint="eastAsia" w:ascii="仿宋" w:hAnsi="仿宋" w:eastAsia="仿宋" w:cs="仿宋"/>
          <w:b w:val="0"/>
          <w:sz w:val="36"/>
          <w:lang w:val="en-US" w:eastAsia="zh-CN"/>
        </w:rPr>
        <w:t>6</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"_Toc530583923"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第三部分   询价内容</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0</w:t>
      </w:r>
    </w:p>
    <w:p>
      <w:pPr>
        <w:pStyle w:val="10"/>
        <w:tabs>
          <w:tab w:val="right" w:leader="dot" w:pos="9060"/>
        </w:tabs>
        <w:rPr>
          <w:rFonts w:hint="eastAsia" w:ascii="仿宋" w:hAnsi="仿宋" w:eastAsia="仿宋" w:cs="仿宋"/>
          <w:b w:val="0"/>
          <w:caps w:val="0"/>
          <w:sz w:val="36"/>
          <w:szCs w:val="2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"_Toc530583924"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第四部分   报价文件格式</w:t>
      </w:r>
      <w:r>
        <w:rPr>
          <w:rFonts w:hint="eastAsia" w:ascii="仿宋" w:hAnsi="仿宋" w:eastAsia="仿宋" w:cs="仿宋"/>
          <w:b w:val="0"/>
          <w:sz w:val="36"/>
        </w:rPr>
        <w:tab/>
      </w:r>
      <w:r>
        <w:rPr>
          <w:rFonts w:hint="eastAsia" w:ascii="仿宋" w:hAnsi="仿宋" w:eastAsia="仿宋" w:cs="仿宋"/>
          <w:b w:val="0"/>
          <w:sz w:val="36"/>
          <w:lang w:val="en-US" w:eastAsia="zh-CN"/>
        </w:rPr>
        <w:t>1</w:t>
      </w:r>
      <w:r>
        <w:rPr>
          <w:rFonts w:hint="eastAsia" w:ascii="仿宋" w:hAnsi="仿宋" w:eastAsia="仿宋" w:cs="仿宋"/>
          <w:b w:val="0"/>
          <w:sz w:val="36"/>
        </w:rPr>
        <w:fldChar w:fldCharType="end"/>
      </w:r>
      <w:r>
        <w:rPr>
          <w:rFonts w:hint="eastAsia" w:ascii="仿宋" w:hAnsi="仿宋" w:eastAsia="仿宋" w:cs="仿宋"/>
          <w:b w:val="0"/>
          <w:sz w:val="36"/>
          <w:lang w:val="en-US" w:eastAsia="zh-CN"/>
        </w:rPr>
        <w:t>1</w:t>
      </w:r>
    </w:p>
    <w:p>
      <w:pPr>
        <w:rPr>
          <w:rFonts w:hint="eastAsia" w:ascii="仿宋" w:hAnsi="仿宋" w:eastAsia="仿宋" w:cs="仿宋"/>
          <w:sz w:val="36"/>
        </w:rPr>
      </w:pPr>
      <w:r>
        <w:rPr>
          <w:rFonts w:hint="eastAsia" w:ascii="仿宋" w:hAnsi="仿宋" w:eastAsia="仿宋" w:cs="仿宋"/>
          <w:sz w:val="36"/>
        </w:rPr>
        <w:fldChar w:fldCharType="end"/>
      </w:r>
    </w:p>
    <w:p>
      <w:pPr>
        <w:rPr>
          <w:rFonts w:hint="eastAsia" w:ascii="仿宋" w:hAnsi="仿宋" w:eastAsia="仿宋" w:cs="仿宋"/>
          <w:sz w:val="36"/>
        </w:rPr>
      </w:pPr>
    </w:p>
    <w:p>
      <w:pPr>
        <w:snapToGrid w:val="0"/>
        <w:jc w:val="center"/>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r>
        <w:rPr>
          <w:rFonts w:hint="eastAsia" w:ascii="仿宋" w:hAnsi="仿宋" w:eastAsia="仿宋" w:cs="仿宋"/>
          <w:b/>
          <w:snapToGrid w:val="0"/>
          <w:color w:val="000000"/>
          <w:kern w:val="44"/>
          <w:sz w:val="44"/>
          <w:szCs w:val="44"/>
          <w:lang w:val="en-US" w:eastAsia="zh-CN" w:bidi="ar-SA"/>
        </w:rPr>
        <w:t>第一部分   询价公告</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对我公司应急预案编制及评审项目进行询价</w:t>
      </w:r>
      <w:r>
        <w:rPr>
          <w:rFonts w:hint="eastAsia" w:ascii="仿宋" w:hAnsi="仿宋" w:eastAsia="仿宋" w:cs="仿宋"/>
          <w:sz w:val="30"/>
          <w:szCs w:val="30"/>
        </w:rPr>
        <w:t>，欢迎符合要求的供应商积极参与。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ZSNY2306019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hint="eastAsia" w:ascii="仿宋" w:hAnsi="仿宋" w:eastAsia="仿宋" w:cs="仿宋"/>
          <w:sz w:val="30"/>
          <w:szCs w:val="30"/>
          <w:lang w:eastAsia="zh-CN"/>
        </w:rPr>
        <w:t>项目</w:t>
      </w:r>
      <w:r>
        <w:rPr>
          <w:rFonts w:hint="eastAsia" w:ascii="仿宋" w:hAnsi="仿宋" w:eastAsia="仿宋" w:cs="仿宋"/>
          <w:sz w:val="30"/>
          <w:szCs w:val="30"/>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结合《环境保护法》、《突发环境事件应急管理办法》、《企业事业单位突发环境事件应急预案评审工作指南（试行）》和《浙江省企业事业单位突发环境时间应急预案备案管理实施办法（试行）》等法规标准的规定要求，重新编制绍兴市再生能源发展有限公司突发环境事件应急预案，并进行专家评审并完成备案。</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4.00万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6月28</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13957589811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6月21</w:t>
      </w:r>
      <w:bookmarkStart w:id="11" w:name="_GoBack"/>
      <w:bookmarkEnd w:id="11"/>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rPr>
          <w:rFonts w:ascii="仿宋_GB2312" w:eastAsia="仿宋_GB2312"/>
          <w:snapToGrid w:val="0"/>
          <w:sz w:val="30"/>
          <w:szCs w:val="30"/>
        </w:rPr>
      </w:pPr>
      <w:r>
        <w:rPr>
          <w:rFonts w:hint="eastAsia" w:ascii="仿宋_GB2312" w:eastAsia="仿宋_GB2312"/>
          <w:sz w:val="30"/>
          <w:szCs w:val="30"/>
        </w:rPr>
        <w:br w:type="page"/>
      </w:r>
      <w:bookmarkStart w:id="8" w:name="_Toc530583879"/>
      <w:bookmarkStart w:id="9" w:name="_Toc530583922"/>
      <w:r>
        <w:rPr>
          <w:rFonts w:hint="eastAsia" w:ascii="仿宋_GB2312" w:hAnsi="Arial" w:eastAsia="仿宋_GB2312" w:cs="Times New Roman"/>
          <w:b/>
          <w:snapToGrid w:val="0"/>
          <w:color w:val="000000"/>
          <w:kern w:val="44"/>
          <w:sz w:val="44"/>
          <w:szCs w:val="44"/>
          <w:lang w:val="en-US" w:eastAsia="zh-CN" w:bidi="ar-SA"/>
        </w:rPr>
        <w:t>第二部分   采购须知</w:t>
      </w:r>
      <w:bookmarkEnd w:id="8"/>
      <w:bookmarkEnd w:id="9"/>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三、采购报价。</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四、报价有效期。</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.有效资质证明并加盖公章：通过年检的营业执照复印件</w:t>
      </w:r>
      <w:r>
        <w:rPr>
          <w:rFonts w:hint="eastAsia" w:ascii="仿宋_GB2312" w:hAnsi="宋体" w:eastAsia="仿宋_GB2312"/>
          <w:sz w:val="30"/>
          <w:szCs w:val="30"/>
          <w:lang w:eastAsia="zh-CN"/>
        </w:rPr>
        <w:t>，相关营业范围的资质文件</w:t>
      </w:r>
      <w:r>
        <w:rPr>
          <w:rFonts w:hint="eastAsia" w:ascii="仿宋_GB2312" w:hAnsi="宋体" w:eastAsia="仿宋_GB2312"/>
          <w:sz w:val="30"/>
          <w:szCs w:val="30"/>
        </w:rPr>
        <w:t>。报价文件装订密封，并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left="-178" w:leftChars="-85" w:firstLine="771" w:firstLineChars="257"/>
        <w:jc w:val="left"/>
        <w:rPr>
          <w:rFonts w:ascii="仿宋_GB2312" w:eastAsia="仿宋_GB2312"/>
          <w:sz w:val="30"/>
          <w:szCs w:val="30"/>
        </w:rPr>
      </w:pPr>
      <w:r>
        <w:rPr>
          <w:rFonts w:hint="eastAsia" w:ascii="仿宋_GB2312" w:eastAsia="仿宋_GB2312"/>
          <w:bCs/>
          <w:sz w:val="30"/>
          <w:szCs w:val="30"/>
        </w:rPr>
        <w:t>六、报价文件的签署和份</w:t>
      </w:r>
      <w:r>
        <w:rPr>
          <w:rFonts w:hint="eastAsia" w:ascii="仿宋_GB2312" w:eastAsia="仿宋_GB2312"/>
          <w:sz w:val="30"/>
          <w:szCs w:val="30"/>
        </w:rPr>
        <w:t>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w:t>
      </w:r>
      <w:r>
        <w:rPr>
          <w:rFonts w:hint="eastAsia" w:ascii="仿宋_GB2312" w:eastAsia="仿宋_GB2312"/>
          <w:sz w:val="30"/>
          <w:szCs w:val="30"/>
          <w:lang w:eastAsia="zh-CN"/>
        </w:rPr>
        <w:t>一</w:t>
      </w:r>
      <w:r>
        <w:rPr>
          <w:rFonts w:hint="eastAsia" w:ascii="仿宋_GB2312" w:eastAsia="仿宋_GB2312"/>
          <w:sz w:val="30"/>
          <w:szCs w:val="30"/>
        </w:rPr>
        <w:t>份</w:t>
      </w:r>
      <w:r>
        <w:rPr>
          <w:rFonts w:hint="eastAsia" w:ascii="仿宋_GB2312" w:eastAsia="仿宋_GB2312"/>
          <w:sz w:val="30"/>
          <w:szCs w:val="30"/>
          <w:lang w:eastAsia="zh-CN"/>
        </w:rPr>
        <w:t>，副本四份。</w:t>
      </w:r>
    </w:p>
    <w:p>
      <w:pPr>
        <w:pageBreakBefore w:val="0"/>
        <w:kinsoku/>
        <w:wordWrap/>
        <w:topLinePunct w:val="0"/>
        <w:bidi w:val="0"/>
        <w:snapToGrid w:val="0"/>
        <w:spacing w:line="360" w:lineRule="auto"/>
        <w:ind w:firstLine="681" w:firstLineChars="227"/>
        <w:jc w:val="left"/>
        <w:rPr>
          <w:rFonts w:ascii="仿宋_GB2312" w:eastAsia="仿宋_GB2312"/>
          <w:sz w:val="30"/>
          <w:szCs w:val="30"/>
        </w:rPr>
      </w:pPr>
      <w:r>
        <w:rPr>
          <w:rFonts w:hint="eastAsia" w:ascii="仿宋_GB2312" w:eastAsia="仿宋_GB2312"/>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w:t>
      </w:r>
      <w:r>
        <w:rPr>
          <w:rFonts w:hint="eastAsia" w:ascii="仿宋_GB2312" w:eastAsia="仿宋_GB2312"/>
          <w:b/>
          <w:bCs/>
          <w:sz w:val="30"/>
          <w:szCs w:val="30"/>
          <w:lang w:val="en-US" w:eastAsia="zh-CN"/>
        </w:rPr>
        <w:t xml:space="preserve">  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8"/>
        <w:pageBreakBefore w:val="0"/>
        <w:widowControl w:val="0"/>
        <w:kinsoku/>
        <w:wordWrap/>
        <w:topLinePunct w:val="0"/>
        <w:bidi w:val="0"/>
        <w:snapToGrid w:val="0"/>
        <w:spacing w:line="360" w:lineRule="auto"/>
        <w:ind w:firstLine="60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rPr>
      </w:pPr>
    </w:p>
    <w:p>
      <w:pPr>
        <w:pStyle w:val="3"/>
        <w:rPr>
          <w:rFonts w:hint="eastAsia"/>
        </w:rPr>
      </w:pPr>
    </w:p>
    <w:p>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sz w:val="24"/>
          <w:szCs w:val="24"/>
        </w:rPr>
      </w:pPr>
      <w:r>
        <w:rPr>
          <w:rFonts w:hint="eastAsia" w:ascii="仿宋" w:hAnsi="仿宋" w:eastAsia="仿宋" w:cs="仿宋"/>
          <w:sz w:val="30"/>
          <w:szCs w:val="30"/>
          <w:lang w:eastAsia="zh-CN"/>
        </w:rPr>
        <w:t>一、</w:t>
      </w:r>
      <w:r>
        <w:rPr>
          <w:rFonts w:hint="eastAsia" w:ascii="仿宋" w:hAnsi="仿宋" w:eastAsia="仿宋" w:cs="仿宋"/>
          <w:sz w:val="30"/>
          <w:szCs w:val="30"/>
        </w:rPr>
        <w:t>内容及相关说明</w:t>
      </w:r>
      <w:r>
        <w:rPr>
          <w:rFonts w:hint="eastAsia" w:ascii="仿宋" w:hAnsi="仿宋" w:eastAsia="仿宋" w:cs="仿宋"/>
          <w:sz w:val="24"/>
          <w:szCs w:val="24"/>
        </w:rPr>
        <w:t>：</w:t>
      </w:r>
      <w:r>
        <w:rPr>
          <w:rFonts w:hint="eastAsia" w:ascii="仿宋" w:hAnsi="仿宋" w:eastAsia="仿宋" w:cs="仿宋"/>
          <w:color w:val="auto"/>
          <w:kern w:val="2"/>
          <w:sz w:val="30"/>
          <w:szCs w:val="30"/>
          <w:lang w:val="en-US" w:eastAsia="zh-CN"/>
        </w:rPr>
        <w:t>详见报价清单</w:t>
      </w:r>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本项目分为突发环境事件应急预案编制及评审和安全生产事故应急预案编制及评审两个分项，</w:t>
      </w:r>
      <w:r>
        <w:rPr>
          <w:rFonts w:hint="eastAsia" w:ascii="仿宋" w:hAnsi="仿宋" w:eastAsia="仿宋" w:cs="仿宋"/>
          <w:color w:val="auto"/>
          <w:kern w:val="2"/>
          <w:sz w:val="30"/>
          <w:szCs w:val="30"/>
        </w:rPr>
        <w:t>根据采购人实际需要，</w:t>
      </w:r>
      <w:r>
        <w:rPr>
          <w:rFonts w:hint="eastAsia" w:ascii="仿宋" w:hAnsi="仿宋" w:eastAsia="仿宋" w:cs="仿宋"/>
          <w:color w:val="auto"/>
          <w:kern w:val="2"/>
          <w:sz w:val="30"/>
          <w:szCs w:val="30"/>
          <w:lang w:eastAsia="zh-CN"/>
        </w:rPr>
        <w:t>按采购人要求完成项目</w:t>
      </w:r>
      <w:r>
        <w:rPr>
          <w:rFonts w:hint="eastAsia" w:ascii="仿宋" w:hAnsi="仿宋" w:eastAsia="仿宋" w:cs="仿宋"/>
          <w:color w:val="auto"/>
          <w:kern w:val="2"/>
          <w:sz w:val="30"/>
          <w:szCs w:val="30"/>
        </w:rPr>
        <w:t>。</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完成应急预案编制及评审并完成备案后，中标</w:t>
      </w:r>
      <w:r>
        <w:rPr>
          <w:rFonts w:hint="eastAsia" w:ascii="仿宋" w:hAnsi="仿宋" w:eastAsia="仿宋" w:cs="仿宋"/>
          <w:color w:val="auto"/>
          <w:kern w:val="2"/>
          <w:sz w:val="30"/>
          <w:szCs w:val="30"/>
        </w:rPr>
        <w:t>人提供经双方确认的</w:t>
      </w:r>
      <w:r>
        <w:rPr>
          <w:rFonts w:hint="eastAsia" w:ascii="仿宋" w:hAnsi="仿宋" w:eastAsia="仿宋" w:cs="仿宋"/>
          <w:color w:val="auto"/>
          <w:kern w:val="2"/>
          <w:sz w:val="30"/>
          <w:szCs w:val="30"/>
          <w:lang w:eastAsia="zh-CN"/>
        </w:rPr>
        <w:t>报告</w:t>
      </w:r>
      <w:r>
        <w:rPr>
          <w:rFonts w:hint="eastAsia" w:ascii="仿宋" w:hAnsi="仿宋" w:eastAsia="仿宋" w:cs="仿宋"/>
          <w:color w:val="auto"/>
          <w:kern w:val="2"/>
          <w:sz w:val="30"/>
          <w:szCs w:val="30"/>
        </w:rPr>
        <w:t>及增值税专用发票，采购人自收到清单和发票后，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rPr>
          <w:rFonts w:hint="eastAsia" w:ascii="仿宋" w:hAnsi="仿宋" w:eastAsia="仿宋" w:cs="仿宋"/>
          <w:snapToGrid w:val="0"/>
          <w:sz w:val="44"/>
          <w:szCs w:val="44"/>
        </w:rPr>
      </w:pPr>
      <w:bookmarkStart w:id="10" w:name="_Toc530583924"/>
      <w:r>
        <w:rPr>
          <w:rFonts w:hint="eastAsia" w:ascii="仿宋" w:hAnsi="仿宋" w:eastAsia="仿宋" w:cs="仿宋"/>
          <w:snapToGrid w:val="0"/>
          <w:sz w:val="30"/>
          <w:szCs w:val="30"/>
        </w:rPr>
        <w:br w:type="page"/>
      </w:r>
      <w:r>
        <w:rPr>
          <w:rFonts w:hint="eastAsia" w:ascii="仿宋" w:hAnsi="仿宋" w:eastAsia="仿宋" w:cs="仿宋"/>
          <w:snapToGrid w:val="0"/>
          <w:sz w:val="44"/>
          <w:szCs w:val="44"/>
        </w:rPr>
        <w:t>第四部分    报价文件格式</w:t>
      </w:r>
      <w:bookmarkEnd w:id="10"/>
    </w:p>
    <w:p>
      <w:pPr>
        <w:spacing w:line="480" w:lineRule="auto"/>
        <w:jc w:val="left"/>
        <w:rPr>
          <w:rFonts w:hint="eastAsia" w:ascii="仿宋" w:hAnsi="仿宋" w:eastAsia="仿宋" w:cs="仿宋"/>
          <w:b/>
          <w:sz w:val="28"/>
        </w:rPr>
      </w:pPr>
      <w:r>
        <w:rPr>
          <w:rStyle w:val="19"/>
          <w:rFonts w:hint="eastAsia" w:ascii="仿宋" w:hAnsi="仿宋" w:eastAsia="仿宋" w:cs="仿宋"/>
          <w:sz w:val="30"/>
        </w:rPr>
        <w:t>附件一：</w:t>
      </w:r>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eastAsia="zh-CN"/>
        </w:rPr>
        <w:t>突发环境事件应急预案编制及评审</w:t>
      </w:r>
      <w:r>
        <w:rPr>
          <w:rFonts w:hint="eastAsia" w:ascii="仿宋" w:hAnsi="仿宋" w:eastAsia="仿宋" w:cs="仿宋"/>
          <w:sz w:val="52"/>
        </w:rPr>
        <w:t>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ZSNY/SBBJ2306019</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19"/>
          <w:rFonts w:hint="eastAsia" w:ascii="仿宋" w:hAnsi="仿宋" w:eastAsia="仿宋" w:cs="仿宋"/>
          <w:sz w:val="30"/>
        </w:rPr>
        <w:br w:type="page"/>
      </w:r>
    </w:p>
    <w:p>
      <w:pPr>
        <w:adjustRightInd w:val="0"/>
        <w:snapToGrid w:val="0"/>
        <w:spacing w:line="360" w:lineRule="auto"/>
        <w:ind w:right="480"/>
        <w:jc w:val="left"/>
        <w:rPr>
          <w:rStyle w:val="19"/>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rPr>
          <w:rStyle w:val="19"/>
          <w:rFonts w:hint="eastAsia" w:ascii="仿宋" w:hAnsi="仿宋" w:eastAsia="仿宋" w:cs="仿宋"/>
          <w:sz w:val="30"/>
        </w:rPr>
      </w:pPr>
      <w:r>
        <w:rPr>
          <w:rStyle w:val="19"/>
          <w:rFonts w:hint="eastAsia" w:ascii="仿宋" w:hAnsi="仿宋" w:eastAsia="仿宋" w:cs="仿宋"/>
          <w:sz w:val="30"/>
        </w:rPr>
        <w:t xml:space="preserve">附件二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绍兴市再生能源发展有限公司应急预案编制及评审 </w:t>
      </w:r>
      <w:r>
        <w:rPr>
          <w:rFonts w:hint="eastAsia" w:ascii="仿宋" w:hAnsi="仿宋" w:eastAsia="仿宋" w:cs="仿宋"/>
          <w:sz w:val="30"/>
          <w:szCs w:val="30"/>
          <w:u w:val="none"/>
          <w:lang w:val="en-US" w:eastAsia="zh-CN"/>
        </w:rPr>
        <w:t>项目。</w:t>
      </w:r>
    </w:p>
    <w:tbl>
      <w:tblPr>
        <w:tblStyle w:val="12"/>
        <w:tblW w:w="3643" w:type="pct"/>
        <w:jc w:val="center"/>
        <w:tblLayout w:type="fixed"/>
        <w:tblCellMar>
          <w:top w:w="0" w:type="dxa"/>
          <w:left w:w="108" w:type="dxa"/>
          <w:bottom w:w="0" w:type="dxa"/>
          <w:right w:w="108" w:type="dxa"/>
        </w:tblCellMar>
      </w:tblPr>
      <w:tblGrid>
        <w:gridCol w:w="1195"/>
        <w:gridCol w:w="3915"/>
        <w:gridCol w:w="1659"/>
      </w:tblGrid>
      <w:tr>
        <w:tblPrEx>
          <w:tblCellMar>
            <w:top w:w="0" w:type="dxa"/>
            <w:left w:w="108" w:type="dxa"/>
            <w:bottom w:w="0" w:type="dxa"/>
            <w:right w:w="108" w:type="dxa"/>
          </w:tblCellMar>
        </w:tblPrEx>
        <w:trPr>
          <w:trHeight w:val="467" w:hRule="atLeast"/>
          <w:jc w:val="center"/>
        </w:trPr>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3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tblPrEx>
          <w:tblCellMar>
            <w:top w:w="0" w:type="dxa"/>
            <w:left w:w="108" w:type="dxa"/>
            <w:bottom w:w="0" w:type="dxa"/>
            <w:right w:w="108" w:type="dxa"/>
          </w:tblCellMar>
        </w:tblPrEx>
        <w:trPr>
          <w:trHeight w:val="532" w:hRule="atLeast"/>
          <w:jc w:val="center"/>
        </w:trPr>
        <w:tc>
          <w:tcPr>
            <w:tcW w:w="11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3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sz w:val="24"/>
                <w:szCs w:val="24"/>
                <w:highlight w:val="none"/>
                <w:u w:val="none"/>
                <w:lang w:eastAsia="zh-CN"/>
              </w:rPr>
              <w:t>突发环境事件应急预案编制及评审</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pPr>
        <w:pStyle w:val="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完成应急预案编制及评审并完成备案后，中标</w:t>
      </w:r>
      <w:r>
        <w:rPr>
          <w:rFonts w:hint="eastAsia" w:ascii="仿宋" w:hAnsi="仿宋" w:eastAsia="仿宋" w:cs="仿宋"/>
          <w:color w:val="auto"/>
          <w:kern w:val="2"/>
          <w:sz w:val="30"/>
          <w:szCs w:val="30"/>
        </w:rPr>
        <w:t>人提供经双方确认的</w:t>
      </w:r>
      <w:r>
        <w:rPr>
          <w:rFonts w:hint="eastAsia" w:ascii="仿宋" w:hAnsi="仿宋" w:eastAsia="仿宋" w:cs="仿宋"/>
          <w:color w:val="auto"/>
          <w:kern w:val="2"/>
          <w:sz w:val="30"/>
          <w:szCs w:val="30"/>
          <w:lang w:eastAsia="zh-CN"/>
        </w:rPr>
        <w:t>报告</w:t>
      </w:r>
      <w:r>
        <w:rPr>
          <w:rFonts w:hint="eastAsia" w:ascii="仿宋" w:hAnsi="仿宋" w:eastAsia="仿宋" w:cs="仿宋"/>
          <w:color w:val="auto"/>
          <w:kern w:val="2"/>
          <w:sz w:val="30"/>
          <w:szCs w:val="30"/>
        </w:rPr>
        <w:t>及增值税专用发票，采购人自收到清单和发票后，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sz w:val="30"/>
          <w:szCs w:val="30"/>
          <w:lang w:val="en-US" w:eastAsia="zh-CN"/>
        </w:rPr>
        <w:t>相关要求：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1、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2、以上总价应为含税全包价，包括运费、税费等一切费用，发票必须为增值税专用发票。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CC8527C"/>
    <w:multiLevelType w:val="singleLevel"/>
    <w:tmpl w:val="4CC8527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834D04"/>
    <w:rsid w:val="038D5656"/>
    <w:rsid w:val="04605697"/>
    <w:rsid w:val="05D22118"/>
    <w:rsid w:val="06057AB3"/>
    <w:rsid w:val="076328DA"/>
    <w:rsid w:val="08186607"/>
    <w:rsid w:val="083A3947"/>
    <w:rsid w:val="08F93082"/>
    <w:rsid w:val="097479E0"/>
    <w:rsid w:val="0A0C6ADD"/>
    <w:rsid w:val="0A32752C"/>
    <w:rsid w:val="0A9D29B8"/>
    <w:rsid w:val="0B2C6C02"/>
    <w:rsid w:val="0BC12699"/>
    <w:rsid w:val="0BCC31F9"/>
    <w:rsid w:val="0C5A16A4"/>
    <w:rsid w:val="0DC35837"/>
    <w:rsid w:val="0DE61498"/>
    <w:rsid w:val="110C39D4"/>
    <w:rsid w:val="1297576D"/>
    <w:rsid w:val="12BF4C87"/>
    <w:rsid w:val="12E70A09"/>
    <w:rsid w:val="15341747"/>
    <w:rsid w:val="15B625D0"/>
    <w:rsid w:val="164F6705"/>
    <w:rsid w:val="16646293"/>
    <w:rsid w:val="16FE5921"/>
    <w:rsid w:val="17B042A1"/>
    <w:rsid w:val="1A2B7D96"/>
    <w:rsid w:val="1BD33B78"/>
    <w:rsid w:val="1BEC2FB3"/>
    <w:rsid w:val="1CE262BC"/>
    <w:rsid w:val="1D6D770B"/>
    <w:rsid w:val="1E1A21EF"/>
    <w:rsid w:val="203B090D"/>
    <w:rsid w:val="21135480"/>
    <w:rsid w:val="212C3971"/>
    <w:rsid w:val="214D7086"/>
    <w:rsid w:val="21BA7E4E"/>
    <w:rsid w:val="22DF5956"/>
    <w:rsid w:val="22ED7F5E"/>
    <w:rsid w:val="24130D0C"/>
    <w:rsid w:val="259E2C64"/>
    <w:rsid w:val="26F76768"/>
    <w:rsid w:val="27AC61A6"/>
    <w:rsid w:val="27FE02E6"/>
    <w:rsid w:val="28C57566"/>
    <w:rsid w:val="29084622"/>
    <w:rsid w:val="29F704EF"/>
    <w:rsid w:val="2AC220DE"/>
    <w:rsid w:val="2AC83213"/>
    <w:rsid w:val="2ADB5E21"/>
    <w:rsid w:val="2ADF08BA"/>
    <w:rsid w:val="2B603075"/>
    <w:rsid w:val="2C305EB2"/>
    <w:rsid w:val="2CD9238D"/>
    <w:rsid w:val="2DAD2B1F"/>
    <w:rsid w:val="2E003054"/>
    <w:rsid w:val="2EB2531B"/>
    <w:rsid w:val="2F3D045F"/>
    <w:rsid w:val="2F6F3EAC"/>
    <w:rsid w:val="2F7D3F84"/>
    <w:rsid w:val="2F844FB7"/>
    <w:rsid w:val="30256074"/>
    <w:rsid w:val="302C4175"/>
    <w:rsid w:val="31713FF6"/>
    <w:rsid w:val="32B04D2F"/>
    <w:rsid w:val="32D3652A"/>
    <w:rsid w:val="33A35EAC"/>
    <w:rsid w:val="3464504B"/>
    <w:rsid w:val="34E00D83"/>
    <w:rsid w:val="36216F0D"/>
    <w:rsid w:val="36316A75"/>
    <w:rsid w:val="36ED02B2"/>
    <w:rsid w:val="389D7311"/>
    <w:rsid w:val="398E418A"/>
    <w:rsid w:val="3997709B"/>
    <w:rsid w:val="39A55AE7"/>
    <w:rsid w:val="3A351BE0"/>
    <w:rsid w:val="3B0953A4"/>
    <w:rsid w:val="3C302F1C"/>
    <w:rsid w:val="3C8719BD"/>
    <w:rsid w:val="3CE46170"/>
    <w:rsid w:val="3D7933CA"/>
    <w:rsid w:val="3DAC3CC7"/>
    <w:rsid w:val="3E16524F"/>
    <w:rsid w:val="3EA30F9B"/>
    <w:rsid w:val="3F2D02B4"/>
    <w:rsid w:val="3F7C50B1"/>
    <w:rsid w:val="406B2371"/>
    <w:rsid w:val="407E15A7"/>
    <w:rsid w:val="40AA3B81"/>
    <w:rsid w:val="411C5733"/>
    <w:rsid w:val="417112FA"/>
    <w:rsid w:val="41C52055"/>
    <w:rsid w:val="42B50132"/>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F66F25"/>
    <w:rsid w:val="4E376DB9"/>
    <w:rsid w:val="4E716394"/>
    <w:rsid w:val="4ECC39F8"/>
    <w:rsid w:val="4F0A3ECF"/>
    <w:rsid w:val="4F595384"/>
    <w:rsid w:val="4F7F3CCA"/>
    <w:rsid w:val="502844C8"/>
    <w:rsid w:val="51D845E4"/>
    <w:rsid w:val="52341DDD"/>
    <w:rsid w:val="531111FC"/>
    <w:rsid w:val="533444FB"/>
    <w:rsid w:val="55C54FE9"/>
    <w:rsid w:val="55E07717"/>
    <w:rsid w:val="56397366"/>
    <w:rsid w:val="58080247"/>
    <w:rsid w:val="5950112B"/>
    <w:rsid w:val="5A1C766A"/>
    <w:rsid w:val="5CF528AB"/>
    <w:rsid w:val="5D132301"/>
    <w:rsid w:val="612A3DEE"/>
    <w:rsid w:val="62B67083"/>
    <w:rsid w:val="649C599A"/>
    <w:rsid w:val="66B027B6"/>
    <w:rsid w:val="671A2875"/>
    <w:rsid w:val="67966EFB"/>
    <w:rsid w:val="67B628F5"/>
    <w:rsid w:val="682119CD"/>
    <w:rsid w:val="69A94E0C"/>
    <w:rsid w:val="6B656B47"/>
    <w:rsid w:val="6B7E1643"/>
    <w:rsid w:val="6C714475"/>
    <w:rsid w:val="6CDB032D"/>
    <w:rsid w:val="6DBD736C"/>
    <w:rsid w:val="6DF45A5A"/>
    <w:rsid w:val="6E5526FF"/>
    <w:rsid w:val="6F2B1820"/>
    <w:rsid w:val="6F4769A9"/>
    <w:rsid w:val="707E74C2"/>
    <w:rsid w:val="710D0440"/>
    <w:rsid w:val="71197F7A"/>
    <w:rsid w:val="71C5585F"/>
    <w:rsid w:val="73A1381E"/>
    <w:rsid w:val="7459468D"/>
    <w:rsid w:val="75C4202C"/>
    <w:rsid w:val="779817DA"/>
    <w:rsid w:val="77D476E8"/>
    <w:rsid w:val="782A7918"/>
    <w:rsid w:val="7A410338"/>
    <w:rsid w:val="7A500C84"/>
    <w:rsid w:val="7A7B08FF"/>
    <w:rsid w:val="7AE21E9E"/>
    <w:rsid w:val="7B09318D"/>
    <w:rsid w:val="7B6004E6"/>
    <w:rsid w:val="7BE14791"/>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19">
    <w:name w:val="标题 1 Char Char"/>
    <w:qFormat/>
    <w:uiPriority w:val="0"/>
    <w:rPr>
      <w:rFonts w:eastAsia="宋体"/>
      <w:b/>
      <w:spacing w:val="-2"/>
      <w:sz w:val="24"/>
      <w:lang w:val="en-US" w:eastAsia="zh-CN"/>
    </w:rPr>
  </w:style>
  <w:style w:type="paragraph" w:customStyle="1" w:styleId="20">
    <w:name w:val="一、标题"/>
    <w:basedOn w:val="1"/>
    <w:qFormat/>
    <w:uiPriority w:val="0"/>
    <w:rPr>
      <w:b/>
      <w:sz w:val="28"/>
    </w:rPr>
  </w:style>
  <w:style w:type="paragraph" w:styleId="21">
    <w:name w:val="List Paragraph"/>
    <w:basedOn w:val="1"/>
    <w:qFormat/>
    <w:uiPriority w:val="34"/>
    <w:pPr>
      <w:ind w:firstLine="420" w:firstLineChars="200"/>
    </w:pPr>
  </w:style>
  <w:style w:type="character" w:customStyle="1" w:styleId="22">
    <w:name w:val="页眉 Char"/>
    <w:basedOn w:val="14"/>
    <w:link w:val="9"/>
    <w:qFormat/>
    <w:uiPriority w:val="0"/>
    <w:rPr>
      <w:kern w:val="2"/>
      <w:sz w:val="18"/>
      <w:szCs w:val="18"/>
    </w:rPr>
  </w:style>
  <w:style w:type="character" w:customStyle="1" w:styleId="23">
    <w:name w:val="批注框文本 Char"/>
    <w:basedOn w:val="14"/>
    <w:link w:val="7"/>
    <w:qFormat/>
    <w:uiPriority w:val="0"/>
    <w:rPr>
      <w:kern w:val="2"/>
      <w:sz w:val="18"/>
      <w:szCs w:val="18"/>
    </w:rPr>
  </w:style>
  <w:style w:type="character" w:customStyle="1" w:styleId="24">
    <w:name w:val="font3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default" w:ascii="Times New Roman" w:hAnsi="Times New Roman" w:cs="Times New Roman"/>
      <w:color w:val="000000"/>
      <w:sz w:val="22"/>
      <w:szCs w:val="22"/>
      <w:u w:val="none"/>
    </w:rPr>
  </w:style>
  <w:style w:type="character" w:customStyle="1" w:styleId="26">
    <w:name w:val="font41"/>
    <w:basedOn w:val="14"/>
    <w:qFormat/>
    <w:uiPriority w:val="0"/>
    <w:rPr>
      <w:rFonts w:ascii="仿宋_GB2312" w:eastAsia="仿宋_GB2312" w:cs="仿宋_GB2312"/>
      <w:color w:val="000000"/>
      <w:sz w:val="22"/>
      <w:szCs w:val="22"/>
      <w:u w:val="none"/>
    </w:rPr>
  </w:style>
  <w:style w:type="character" w:customStyle="1" w:styleId="27">
    <w:name w:val="font21"/>
    <w:basedOn w:val="14"/>
    <w:qFormat/>
    <w:uiPriority w:val="0"/>
    <w:rPr>
      <w:rFonts w:hint="eastAsia" w:ascii="宋体" w:hAnsi="宋体" w:eastAsia="宋体" w:cs="宋体"/>
      <w:color w:val="000000"/>
      <w:sz w:val="22"/>
      <w:szCs w:val="22"/>
      <w:u w:val="none"/>
      <w:vertAlign w:val="superscript"/>
    </w:rPr>
  </w:style>
  <w:style w:type="character" w:customStyle="1" w:styleId="28">
    <w:name w:val="font01"/>
    <w:basedOn w:val="14"/>
    <w:qFormat/>
    <w:uiPriority w:val="0"/>
    <w:rPr>
      <w:rFonts w:hint="eastAsia" w:ascii="宋体" w:hAnsi="宋体" w:eastAsia="宋体" w:cs="宋体"/>
      <w:color w:val="000000"/>
      <w:sz w:val="22"/>
      <w:szCs w:val="22"/>
      <w:u w:val="none"/>
    </w:rPr>
  </w:style>
  <w:style w:type="character" w:customStyle="1" w:styleId="29">
    <w:name w:val="font11"/>
    <w:basedOn w:val="14"/>
    <w:qFormat/>
    <w:uiPriority w:val="0"/>
    <w:rPr>
      <w:rFonts w:hint="eastAsia" w:ascii="宋体" w:hAnsi="宋体" w:eastAsia="宋体" w:cs="宋体"/>
      <w:color w:val="000000"/>
      <w:sz w:val="24"/>
      <w:szCs w:val="24"/>
      <w:u w:val="non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font81"/>
    <w:basedOn w:val="14"/>
    <w:qFormat/>
    <w:uiPriority w:val="0"/>
    <w:rPr>
      <w:rFonts w:ascii="宋体" w:hAnsi="宋体" w:eastAsia="宋体" w:cs="宋体"/>
      <w:color w:val="000000"/>
      <w:sz w:val="20"/>
      <w:szCs w:val="20"/>
      <w:u w:val="none"/>
    </w:rPr>
  </w:style>
  <w:style w:type="character" w:customStyle="1" w:styleId="32">
    <w:name w:val="font71"/>
    <w:basedOn w:val="1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3733</Words>
  <Characters>3877</Characters>
  <Lines>53</Lines>
  <Paragraphs>15</Paragraphs>
  <TotalTime>3</TotalTime>
  <ScaleCrop>false</ScaleCrop>
  <LinksUpToDate>false</LinksUpToDate>
  <CharactersWithSpaces>4044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2023-06-15T03:20:00Z</cp:lastPrinted>
  <dcterms:modified xsi:type="dcterms:W3CDTF">2023-06-21T07:53:30Z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07DEC81FD3E8410C8FC7D2A5303090D3</vt:lpwstr>
  </property>
</Properties>
</file>