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FFB9E">
      <w:pPr>
        <w:jc w:val="center"/>
        <w:rPr>
          <w:rFonts w:hint="eastAsia" w:ascii="仿宋" w:hAnsi="仿宋" w:eastAsia="仿宋" w:cs="仿宋"/>
          <w:sz w:val="72"/>
        </w:rPr>
      </w:pPr>
    </w:p>
    <w:p w14:paraId="0D82242B">
      <w:pPr>
        <w:jc w:val="center"/>
        <w:rPr>
          <w:rFonts w:hint="eastAsia" w:ascii="仿宋" w:hAnsi="仿宋" w:eastAsia="仿宋" w:cs="仿宋"/>
          <w:sz w:val="72"/>
        </w:rPr>
      </w:pPr>
    </w:p>
    <w:p w14:paraId="3D57AF6B">
      <w:pPr>
        <w:jc w:val="center"/>
        <w:outlineLvl w:val="0"/>
        <w:rPr>
          <w:rFonts w:hint="eastAsia" w:ascii="仿宋_GB2312" w:hAnsi="宋体" w:eastAsia="仿宋_GB2312"/>
          <w:b/>
          <w:sz w:val="52"/>
          <w:szCs w:val="52"/>
        </w:rPr>
      </w:pPr>
      <w:bookmarkStart w:id="0" w:name="_Toc28009"/>
      <w:r>
        <w:rPr>
          <w:rFonts w:hint="eastAsia" w:ascii="仿宋_GB2312" w:hAnsi="宋体" w:eastAsia="仿宋_GB2312"/>
          <w:b/>
          <w:sz w:val="52"/>
          <w:szCs w:val="52"/>
          <w:lang w:eastAsia="zh-CN"/>
        </w:rPr>
        <w:t>绍兴市再生能源发展有限公司</w:t>
      </w:r>
      <w:bookmarkEnd w:id="0"/>
    </w:p>
    <w:p w14:paraId="2A157F01">
      <w:pPr>
        <w:pStyle w:val="12"/>
      </w:pPr>
    </w:p>
    <w:p w14:paraId="76AAFC3D">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val="en-US" w:eastAsia="zh-CN"/>
        </w:rPr>
        <w:t>#2布袋除尘器净气室隔板、支撑板及加强件、连接件、支撑件和布袋花板与侧板折角处喷砂除锈防腐</w:t>
      </w:r>
      <w:r>
        <w:rPr>
          <w:rFonts w:hint="eastAsia" w:ascii="仿宋_GB2312" w:hAnsi="宋体" w:eastAsia="仿宋_GB2312"/>
          <w:b/>
          <w:sz w:val="52"/>
          <w:szCs w:val="52"/>
          <w:highlight w:val="none"/>
          <w:lang w:eastAsia="zh-CN"/>
        </w:rPr>
        <w:t>项目</w:t>
      </w:r>
    </w:p>
    <w:p w14:paraId="50280FFA">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挂网</w:t>
      </w:r>
      <w:r>
        <w:rPr>
          <w:rFonts w:hint="eastAsia" w:ascii="仿宋_GB2312" w:hAnsi="宋体" w:eastAsia="仿宋_GB2312"/>
          <w:b/>
          <w:sz w:val="52"/>
          <w:szCs w:val="52"/>
        </w:rPr>
        <w:t>文件</w:t>
      </w:r>
    </w:p>
    <w:p w14:paraId="32A479A4">
      <w:pPr>
        <w:jc w:val="center"/>
        <w:rPr>
          <w:rFonts w:hint="eastAsia" w:ascii="仿宋" w:hAnsi="仿宋" w:eastAsia="仿宋" w:cs="仿宋"/>
          <w:b/>
          <w:sz w:val="48"/>
          <w:szCs w:val="48"/>
        </w:rPr>
      </w:pPr>
    </w:p>
    <w:p w14:paraId="727D4EBE">
      <w:pPr>
        <w:spacing w:line="360" w:lineRule="auto"/>
        <w:rPr>
          <w:rFonts w:hint="eastAsia" w:ascii="仿宋" w:hAnsi="仿宋" w:eastAsia="仿宋" w:cs="仿宋"/>
          <w:sz w:val="40"/>
          <w:szCs w:val="48"/>
        </w:rPr>
      </w:pPr>
    </w:p>
    <w:p w14:paraId="7A50DD05">
      <w:pPr>
        <w:spacing w:line="360" w:lineRule="auto"/>
        <w:rPr>
          <w:rFonts w:hint="eastAsia" w:ascii="仿宋" w:hAnsi="仿宋" w:eastAsia="仿宋" w:cs="仿宋"/>
          <w:sz w:val="40"/>
          <w:szCs w:val="48"/>
          <w:highlight w:val="none"/>
        </w:rPr>
      </w:pPr>
    </w:p>
    <w:p w14:paraId="66DA15D6">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SX-GC-BD-</w:t>
      </w:r>
      <w:bookmarkEnd w:id="1"/>
      <w:r>
        <w:rPr>
          <w:rFonts w:hint="eastAsia" w:ascii="仿宋" w:hAnsi="仿宋" w:eastAsia="仿宋" w:cs="仿宋"/>
          <w:sz w:val="32"/>
          <w:szCs w:val="32"/>
          <w:highlight w:val="none"/>
          <w:u w:val="single"/>
          <w:lang w:val="en-US" w:eastAsia="zh-CN"/>
        </w:rPr>
        <w:t xml:space="preserve">2601008  </w:t>
      </w:r>
    </w:p>
    <w:p w14:paraId="6D44E726">
      <w:pPr>
        <w:spacing w:line="360" w:lineRule="auto"/>
        <w:ind w:firstLine="80" w:firstLineChars="25"/>
        <w:jc w:val="center"/>
        <w:rPr>
          <w:rFonts w:hint="default" w:ascii="仿宋" w:hAnsi="仿宋" w:eastAsia="仿宋" w:cs="仿宋"/>
          <w:sz w:val="32"/>
          <w:szCs w:val="32"/>
          <w:u w:val="single"/>
          <w:lang w:val="en-US" w:eastAsia="zh-CN"/>
        </w:rPr>
      </w:pPr>
      <w:bookmarkStart w:id="2" w:name="OLE_LINK53"/>
      <w:bookmarkStart w:id="3" w:name="OLE_LINK52"/>
      <w:r>
        <w:rPr>
          <w:rFonts w:hint="eastAsia" w:ascii="仿宋" w:hAnsi="仿宋" w:eastAsia="仿宋" w:cs="仿宋"/>
          <w:sz w:val="32"/>
          <w:szCs w:val="32"/>
        </w:rPr>
        <w:t>项目名称：</w:t>
      </w:r>
      <w:bookmarkEnd w:id="2"/>
      <w:bookmarkEnd w:id="3"/>
      <w:r>
        <w:rPr>
          <w:rFonts w:hint="eastAsia" w:ascii="仿宋" w:hAnsi="仿宋" w:eastAsia="仿宋" w:cs="仿宋"/>
          <w:sz w:val="32"/>
          <w:szCs w:val="32"/>
          <w:u w:val="single"/>
          <w:lang w:val="en-US" w:eastAsia="zh-CN"/>
        </w:rPr>
        <w:t>#2布袋除尘器净气室隔板、支撑板及加强件、连接件、支撑件和布袋花板与侧板折角处喷砂除锈防腐项目</w:t>
      </w:r>
    </w:p>
    <w:p w14:paraId="500D7DBA">
      <w:pPr>
        <w:rPr>
          <w:rFonts w:hint="eastAsia" w:ascii="仿宋" w:hAnsi="仿宋" w:eastAsia="仿宋" w:cs="仿宋"/>
          <w:sz w:val="84"/>
        </w:rPr>
      </w:pPr>
    </w:p>
    <w:p w14:paraId="685ED436">
      <w:pPr>
        <w:rPr>
          <w:rFonts w:hint="eastAsia" w:ascii="仿宋" w:hAnsi="仿宋" w:eastAsia="仿宋" w:cs="仿宋"/>
          <w:sz w:val="84"/>
        </w:rPr>
      </w:pPr>
    </w:p>
    <w:p w14:paraId="2A86C37A">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14:paraId="7DA2248E">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val="en-US" w:eastAsia="zh-CN"/>
        </w:rPr>
        <w:t>六</w:t>
      </w:r>
      <w:r>
        <w:rPr>
          <w:rFonts w:hint="eastAsia" w:ascii="仿宋" w:hAnsi="仿宋" w:eastAsia="仿宋" w:cs="仿宋"/>
          <w:sz w:val="32"/>
          <w:szCs w:val="32"/>
        </w:rPr>
        <w:t>年</w:t>
      </w:r>
      <w:r>
        <w:rPr>
          <w:rFonts w:hint="eastAsia" w:ascii="仿宋" w:hAnsi="仿宋" w:eastAsia="仿宋" w:cs="仿宋"/>
          <w:sz w:val="32"/>
          <w:szCs w:val="32"/>
          <w:lang w:val="en-US" w:eastAsia="zh-CN"/>
        </w:rPr>
        <w:t>一</w:t>
      </w:r>
      <w:r>
        <w:rPr>
          <w:rFonts w:hint="eastAsia" w:ascii="仿宋" w:hAnsi="仿宋" w:eastAsia="仿宋" w:cs="仿宋"/>
          <w:sz w:val="32"/>
          <w:szCs w:val="32"/>
        </w:rPr>
        <w:t>月</w:t>
      </w:r>
    </w:p>
    <w:p w14:paraId="3A402D53">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13FD4207">
      <w:pPr>
        <w:pStyle w:val="10"/>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14:paraId="6E183F11">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27D8FBB1">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8</w:t>
      </w:r>
      <w:r>
        <w:rPr>
          <w:b w:val="0"/>
          <w:bCs/>
          <w:sz w:val="32"/>
          <w:szCs w:val="28"/>
        </w:rPr>
        <w:fldChar w:fldCharType="end"/>
      </w:r>
      <w:r>
        <w:rPr>
          <w:rFonts w:hint="eastAsia" w:ascii="仿宋" w:hAnsi="仿宋" w:eastAsia="仿宋" w:cs="仿宋"/>
          <w:b w:val="0"/>
          <w:bCs/>
          <w:sz w:val="32"/>
          <w:szCs w:val="28"/>
        </w:rPr>
        <w:fldChar w:fldCharType="end"/>
      </w:r>
    </w:p>
    <w:p w14:paraId="15EAC52C">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12</w:t>
      </w:r>
      <w:r>
        <w:rPr>
          <w:b w:val="0"/>
          <w:bCs/>
          <w:sz w:val="32"/>
          <w:szCs w:val="28"/>
        </w:rPr>
        <w:fldChar w:fldCharType="end"/>
      </w:r>
      <w:r>
        <w:rPr>
          <w:rFonts w:hint="eastAsia" w:ascii="仿宋" w:hAnsi="仿宋" w:eastAsia="仿宋" w:cs="仿宋"/>
          <w:b w:val="0"/>
          <w:bCs/>
          <w:sz w:val="32"/>
          <w:szCs w:val="28"/>
        </w:rPr>
        <w:fldChar w:fldCharType="end"/>
      </w:r>
    </w:p>
    <w:p w14:paraId="57CBB646">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13</w:t>
      </w:r>
      <w:r>
        <w:rPr>
          <w:b w:val="0"/>
          <w:bCs/>
          <w:sz w:val="32"/>
          <w:szCs w:val="28"/>
        </w:rPr>
        <w:fldChar w:fldCharType="end"/>
      </w:r>
      <w:r>
        <w:rPr>
          <w:rFonts w:hint="eastAsia" w:ascii="仿宋" w:hAnsi="仿宋" w:eastAsia="仿宋" w:cs="仿宋"/>
          <w:b w:val="0"/>
          <w:bCs/>
          <w:sz w:val="32"/>
          <w:szCs w:val="28"/>
        </w:rPr>
        <w:fldChar w:fldCharType="end"/>
      </w:r>
    </w:p>
    <w:p w14:paraId="3635E371">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21</w:t>
      </w:r>
      <w:r>
        <w:rPr>
          <w:b w:val="0"/>
          <w:bCs/>
          <w:sz w:val="32"/>
          <w:szCs w:val="28"/>
        </w:rPr>
        <w:fldChar w:fldCharType="end"/>
      </w:r>
      <w:r>
        <w:rPr>
          <w:rFonts w:hint="eastAsia" w:ascii="仿宋" w:hAnsi="仿宋" w:eastAsia="仿宋" w:cs="仿宋"/>
          <w:b w:val="0"/>
          <w:bCs/>
          <w:sz w:val="32"/>
          <w:szCs w:val="28"/>
        </w:rPr>
        <w:fldChar w:fldCharType="end"/>
      </w:r>
    </w:p>
    <w:p w14:paraId="3E971D5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21</w:t>
      </w:r>
      <w:r>
        <w:rPr>
          <w:b w:val="0"/>
          <w:bCs/>
          <w:sz w:val="32"/>
          <w:szCs w:val="28"/>
        </w:rPr>
        <w:fldChar w:fldCharType="end"/>
      </w:r>
      <w:r>
        <w:rPr>
          <w:rFonts w:hint="eastAsia" w:ascii="仿宋" w:hAnsi="仿宋" w:eastAsia="仿宋" w:cs="仿宋"/>
          <w:b w:val="0"/>
          <w:bCs/>
          <w:sz w:val="32"/>
          <w:szCs w:val="28"/>
        </w:rPr>
        <w:fldChar w:fldCharType="end"/>
      </w:r>
    </w:p>
    <w:p w14:paraId="73E70A35">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22</w:t>
      </w:r>
      <w:r>
        <w:rPr>
          <w:b w:val="0"/>
          <w:bCs/>
          <w:sz w:val="32"/>
          <w:szCs w:val="28"/>
        </w:rPr>
        <w:fldChar w:fldCharType="end"/>
      </w:r>
      <w:r>
        <w:rPr>
          <w:rFonts w:hint="eastAsia" w:ascii="仿宋" w:hAnsi="仿宋" w:eastAsia="仿宋" w:cs="仿宋"/>
          <w:b w:val="0"/>
          <w:bCs/>
          <w:sz w:val="32"/>
          <w:szCs w:val="28"/>
        </w:rPr>
        <w:fldChar w:fldCharType="end"/>
      </w:r>
    </w:p>
    <w:p w14:paraId="2DB13DDF">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24</w:t>
      </w:r>
      <w:r>
        <w:rPr>
          <w:b w:val="0"/>
          <w:bCs/>
          <w:sz w:val="32"/>
          <w:szCs w:val="28"/>
        </w:rPr>
        <w:fldChar w:fldCharType="end"/>
      </w:r>
      <w:r>
        <w:rPr>
          <w:rFonts w:hint="eastAsia" w:ascii="仿宋" w:hAnsi="仿宋" w:eastAsia="仿宋" w:cs="仿宋"/>
          <w:b w:val="0"/>
          <w:bCs/>
          <w:sz w:val="32"/>
          <w:szCs w:val="28"/>
        </w:rPr>
        <w:fldChar w:fldCharType="end"/>
      </w:r>
    </w:p>
    <w:p w14:paraId="6CB8FEBC">
      <w:pPr>
        <w:rPr>
          <w:rFonts w:hint="eastAsia" w:ascii="仿宋" w:hAnsi="仿宋" w:eastAsia="仿宋" w:cs="仿宋"/>
          <w:sz w:val="56"/>
          <w:szCs w:val="32"/>
        </w:rPr>
      </w:pPr>
      <w:r>
        <w:rPr>
          <w:rFonts w:hint="eastAsia" w:ascii="仿宋" w:hAnsi="仿宋" w:eastAsia="仿宋" w:cs="仿宋"/>
          <w:b w:val="0"/>
          <w:bCs/>
          <w:sz w:val="32"/>
          <w:szCs w:val="28"/>
        </w:rPr>
        <w:fldChar w:fldCharType="end"/>
      </w:r>
    </w:p>
    <w:p w14:paraId="3A7D2623">
      <w:pPr>
        <w:rPr>
          <w:rFonts w:hint="eastAsia" w:ascii="仿宋" w:hAnsi="仿宋" w:eastAsia="仿宋" w:cs="仿宋"/>
          <w:sz w:val="36"/>
        </w:rPr>
      </w:pPr>
    </w:p>
    <w:p w14:paraId="4A80940D">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530583878"/>
      <w:bookmarkStart w:id="6" w:name="_Toc6995"/>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2F5D6C0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#2布袋除尘器净气室隔板、支撑板及加强件、连接件、支撑件和布袋花板与侧板折角处喷砂除锈防腐项目</w:t>
      </w:r>
      <w:r>
        <w:rPr>
          <w:rFonts w:hint="eastAsia" w:ascii="仿宋" w:hAnsi="仿宋" w:eastAsia="仿宋" w:cs="仿宋"/>
          <w:sz w:val="30"/>
          <w:szCs w:val="30"/>
          <w:lang w:eastAsia="zh-CN"/>
        </w:rPr>
        <w:t>进行招标</w:t>
      </w:r>
      <w:r>
        <w:rPr>
          <w:rFonts w:hint="eastAsia" w:ascii="仿宋" w:hAnsi="仿宋" w:eastAsia="仿宋" w:cs="仿宋"/>
          <w:sz w:val="30"/>
          <w:szCs w:val="30"/>
        </w:rPr>
        <w:t>，欢迎符合要求的供应商积极参与。</w:t>
      </w:r>
    </w:p>
    <w:p w14:paraId="58CF13A3">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4983EC2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SX-GC-BD-2601008  </w:t>
      </w:r>
    </w:p>
    <w:p w14:paraId="60090AA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2.内容：</w:t>
      </w:r>
    </w:p>
    <w:tbl>
      <w:tblPr>
        <w:tblStyle w:val="14"/>
        <w:tblW w:w="5299" w:type="pct"/>
        <w:jc w:val="center"/>
        <w:tblLayout w:type="fixed"/>
        <w:tblCellMar>
          <w:top w:w="0" w:type="dxa"/>
          <w:left w:w="108" w:type="dxa"/>
          <w:bottom w:w="0" w:type="dxa"/>
          <w:right w:w="108" w:type="dxa"/>
        </w:tblCellMar>
      </w:tblPr>
      <w:tblGrid>
        <w:gridCol w:w="723"/>
        <w:gridCol w:w="3045"/>
        <w:gridCol w:w="3585"/>
        <w:gridCol w:w="1437"/>
        <w:gridCol w:w="1053"/>
      </w:tblGrid>
      <w:tr w14:paraId="201C5A22">
        <w:tblPrEx>
          <w:tblCellMar>
            <w:top w:w="0" w:type="dxa"/>
            <w:left w:w="108" w:type="dxa"/>
            <w:bottom w:w="0" w:type="dxa"/>
            <w:right w:w="108" w:type="dxa"/>
          </w:tblCellMar>
        </w:tblPrEx>
        <w:trPr>
          <w:trHeight w:val="467"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5AC3B14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3045" w:type="dxa"/>
            <w:tcBorders>
              <w:top w:val="single" w:color="000000" w:sz="4" w:space="0"/>
              <w:left w:val="single" w:color="000000" w:sz="4" w:space="0"/>
              <w:bottom w:val="single" w:color="000000" w:sz="4" w:space="0"/>
              <w:right w:val="single" w:color="000000" w:sz="4" w:space="0"/>
            </w:tcBorders>
            <w:noWrap/>
            <w:vAlign w:val="center"/>
          </w:tcPr>
          <w:p w14:paraId="3C24D2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3585" w:type="dxa"/>
            <w:tcBorders>
              <w:top w:val="single" w:color="000000" w:sz="4" w:space="0"/>
              <w:left w:val="single" w:color="000000" w:sz="4" w:space="0"/>
              <w:bottom w:val="single" w:color="000000" w:sz="4" w:space="0"/>
              <w:right w:val="single" w:color="000000" w:sz="4" w:space="0"/>
            </w:tcBorders>
            <w:noWrap/>
            <w:vAlign w:val="center"/>
          </w:tcPr>
          <w:p w14:paraId="5DD0BE5C">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内容及</w:t>
            </w:r>
            <w:r>
              <w:rPr>
                <w:rFonts w:hint="eastAsia" w:ascii="仿宋" w:hAnsi="仿宋" w:eastAsia="仿宋" w:cs="仿宋"/>
                <w:i w:val="0"/>
                <w:iCs w:val="0"/>
                <w:color w:val="000000"/>
                <w:sz w:val="24"/>
                <w:szCs w:val="24"/>
                <w:highlight w:val="none"/>
                <w:u w:val="none"/>
                <w:lang w:val="en-US" w:eastAsia="zh-CN"/>
              </w:rPr>
              <w:t>技术要求</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C29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预估数量</w:t>
            </w: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05A2EA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单位</w:t>
            </w:r>
          </w:p>
        </w:tc>
      </w:tr>
      <w:tr w14:paraId="0522C7B8">
        <w:tblPrEx>
          <w:tblCellMar>
            <w:top w:w="0" w:type="dxa"/>
            <w:left w:w="108" w:type="dxa"/>
            <w:bottom w:w="0" w:type="dxa"/>
            <w:right w:w="108" w:type="dxa"/>
          </w:tblCellMar>
        </w:tblPrEx>
        <w:trPr>
          <w:trHeight w:val="532"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42F726E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3045" w:type="dxa"/>
            <w:tcBorders>
              <w:top w:val="single" w:color="000000" w:sz="4" w:space="0"/>
              <w:left w:val="single" w:color="000000" w:sz="4" w:space="0"/>
              <w:bottom w:val="single" w:color="000000" w:sz="4" w:space="0"/>
              <w:right w:val="single" w:color="000000" w:sz="4" w:space="0"/>
            </w:tcBorders>
            <w:noWrap w:val="0"/>
            <w:vAlign w:val="center"/>
          </w:tcPr>
          <w:p w14:paraId="364EA25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i w:val="0"/>
                <w:iCs w:val="0"/>
                <w:color w:val="000000"/>
                <w:sz w:val="24"/>
                <w:szCs w:val="24"/>
                <w:highlight w:val="none"/>
                <w:u w:val="none"/>
                <w:lang w:val="en-US" w:eastAsia="zh-CN"/>
              </w:rPr>
              <w:t>#2布袋除尘器净气室隔板、支撑板及加强件、连接件、支撑件和布袋花板与侧板折角处喷砂除锈防腐</w:t>
            </w:r>
          </w:p>
        </w:tc>
        <w:tc>
          <w:tcPr>
            <w:tcW w:w="3585" w:type="dxa"/>
            <w:tcBorders>
              <w:top w:val="single" w:color="000000" w:sz="4" w:space="0"/>
              <w:left w:val="single" w:color="000000" w:sz="4" w:space="0"/>
              <w:bottom w:val="single" w:color="000000" w:sz="4" w:space="0"/>
              <w:right w:val="single" w:color="000000" w:sz="4" w:space="0"/>
            </w:tcBorders>
            <w:noWrap w:val="0"/>
            <w:vAlign w:val="center"/>
          </w:tcPr>
          <w:p w14:paraId="47CB89B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default" w:ascii="仿宋" w:hAnsi="仿宋" w:eastAsia="仿宋" w:cs="仿宋"/>
                <w:i w:val="0"/>
                <w:iCs w:val="0"/>
                <w:color w:val="000000"/>
                <w:kern w:val="0"/>
                <w:sz w:val="24"/>
                <w:szCs w:val="24"/>
                <w:highlight w:val="none"/>
                <w:u w:val="none"/>
                <w:lang w:val="en-US" w:eastAsia="zh-CN" w:bidi="ar"/>
              </w:rPr>
              <w:t>详见招标文件</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5EEB50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约560</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5EE55D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平方米</w:t>
            </w:r>
          </w:p>
        </w:tc>
      </w:tr>
    </w:tbl>
    <w:p w14:paraId="64AA41B5">
      <w:pPr>
        <w:rPr>
          <w:rFonts w:hint="eastAsia"/>
        </w:rPr>
      </w:pPr>
    </w:p>
    <w:p w14:paraId="69179CB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3.技术要求及工作量：</w:t>
      </w:r>
    </w:p>
    <w:p w14:paraId="107B285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u w:val="single"/>
          <w:lang w:val="en-US" w:eastAsia="zh-CN"/>
        </w:rPr>
        <w:t>3.1技术要求</w:t>
      </w:r>
      <w:r>
        <w:rPr>
          <w:rFonts w:hint="eastAsia" w:ascii="仿宋" w:hAnsi="仿宋" w:eastAsia="仿宋" w:cs="仿宋"/>
          <w:b/>
          <w:bCs/>
          <w:sz w:val="30"/>
          <w:szCs w:val="30"/>
          <w:lang w:val="en-US" w:eastAsia="zh-CN"/>
        </w:rPr>
        <w:t>：</w:t>
      </w:r>
    </w:p>
    <w:p w14:paraId="773D3EC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1、喷砂除锈时必须做好防止扬尘的措施：</w:t>
      </w:r>
    </w:p>
    <w:p w14:paraId="60C7570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1）要求在对整个布袋除尘器四周及顶棚做好防止扬尘的措施的基础上，在对每个仓室进行喷砂时仍然须做好防止扬尘的措施，即双层隔离。必须确保喷砂时扬尘不会外溢。</w:t>
      </w:r>
    </w:p>
    <w:p w14:paraId="11164B3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2）喷砂时须备有防扬尘的负压装置，扬尘须有效收集不会外溢。</w:t>
      </w:r>
    </w:p>
    <w:p w14:paraId="514D678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3）喷砂前需对喷雾塔出口圆形水平烟道保温外彩钢板做彻底防护（用彩条布全覆盖在喷雾塔出口圆形水平烟道上，并且覆盖牢固，使所覆盖的彩条布不会因风吹等原因而被掀起）。</w:t>
      </w:r>
    </w:p>
    <w:p w14:paraId="0D5B520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4）事先拆除的四个仓的内外盖板及喷吹管和其他所有设备用彩条布遮盖。</w:t>
      </w:r>
    </w:p>
    <w:p w14:paraId="6DBCCCE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5）喷砂作业的时间需与其他施工单位错峰进行，规定喷砂时间需在晚上21点以后进行，晚间施工需保证有安全电压等级的足够照明。</w:t>
      </w:r>
    </w:p>
    <w:p w14:paraId="4CE21A2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6）如果喷砂工作达不到采购人要求的，采购人有权制止喷砂工作，待整改合格后方可进行，因此带来的工期延误由服务方负责。如果出现二次以上不按规定的，采购人有权终止合同，由此带来的所有损失由服务方承担。</w:t>
      </w:r>
    </w:p>
    <w:p w14:paraId="3E4019C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2、每个仓喷砂结束需进行一次全面的清理，角落处用吸尘器清理，整台布袋除尘器喷砂结束后服务方需根据采购人要求对所涉及的区域进行全面彻底的卫生清理。服务方不得以任何理由拒绝或清理不彻底，负责不予工程验收。</w:t>
      </w:r>
    </w:p>
    <w:p w14:paraId="6BFD991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3、喷过的砂落入预先准备抽出布袋的花板孔落入布袋灰斗内由服务方进行收集并且转运至采购人指定地点堆放或处理。</w:t>
      </w:r>
    </w:p>
    <w:p w14:paraId="10F8377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4、喷涂前对布袋除尘器布袋花板及仓盖压块螺栓进行防护，保证喷涂时喷涂材料不粘附在龙骨及压块螺栓表面上。</w:t>
      </w:r>
    </w:p>
    <w:p w14:paraId="776E789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5、表面处理要求：</w:t>
      </w:r>
    </w:p>
    <w:p w14:paraId="79DF653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对检查需腐蚀严重部分钢基体处理。如果钢基体出现穿孔或者较大面积腐蚀情况，防腐前必须进行更换或修补的方法处理。更换或修补的施工材料、工器具及人员由采购人负责。更换或修补结束后需经采购人检查确认合格后服务方再进行打磨喷砂除锈及防腐作业。</w:t>
      </w:r>
    </w:p>
    <w:p w14:paraId="7891D9C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 xml:space="preserve">2）采用20目金刚砂对基材表面进行喷砂处理，满足基材表面处理企业标准中SA2.5 &amp;50um的要求。 </w:t>
      </w:r>
    </w:p>
    <w:p w14:paraId="28F6BBE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6、喷涂技术要求：</w:t>
      </w:r>
    </w:p>
    <w:p w14:paraId="091C0CE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表面除锈完成后，立即进行清灰，待作业区清洁度达到2级，开始进行蓝色涂层的底涂喷涂工作。且在涂刷时尽量防止出现滴洒、流挂现象的发生。在涂刷完成第一道底涂后，需要采购人现场检查验收，合格后方可进行后续施工。</w:t>
      </w:r>
    </w:p>
    <w:p w14:paraId="6F8C075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2）蓝色涂层涂刷完成节点验收后，按上述方法依次进行第二层灰色涂层的涂刷工作。在对设备进行涂刷最后一层之前，应该对涂层进行厚度检查，确认最后一遍喷涂干膜厚度需满足350um-450um要求。</w:t>
      </w:r>
    </w:p>
    <w:p w14:paraId="4630492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7基体的技术要求：</w:t>
      </w:r>
    </w:p>
    <w:p w14:paraId="5D9EE62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1）钢制的设备基体表面不得有伤痕、气孔、夹渣等缺陷，加工表面必须平整，局部凹凸不得超过2mm。</w:t>
      </w:r>
    </w:p>
    <w:p w14:paraId="53DCF1B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2）设备底部钢板如有凹凸不平的部位，一定要打磨平整。</w:t>
      </w:r>
    </w:p>
    <w:p w14:paraId="573D540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3）对主要结构长期处于潮湿条件下工作的部件表面，其除锈质量必须达到Sa2.5级50um；</w:t>
      </w:r>
    </w:p>
    <w:p w14:paraId="108C62B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4）钢板不得有严重腐蚀斑点、砂眼、气孔、重叠片，制造卡具的残痕要清理磨光。</w:t>
      </w:r>
    </w:p>
    <w:p w14:paraId="00057CC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5）关于焊缝处理：需要先清除焊渣，表面打磨平整，喷砂处理达到企业标准方可涂装材料；</w:t>
      </w:r>
    </w:p>
    <w:p w14:paraId="4659F78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6 ）关于钢件的直角部位：需要进行倒角处理，打磨喷砂后才可进行材料涂装作业；</w:t>
      </w:r>
    </w:p>
    <w:p w14:paraId="30AF602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8、基体表面清洁度、粗糙度及环境的技术要求：</w:t>
      </w:r>
    </w:p>
    <w:p w14:paraId="4CDB8E2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1）表面清洁度等级的评定。表面喷砂：基体金属的表面与ISO8501-1标准中相应的照片进行目视比较评定，为Sa2.5级。</w:t>
      </w:r>
    </w:p>
    <w:p w14:paraId="4C67C42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2）表面粗糙度等级的评定。钢管表面还需具有一定的表面粗糙性，粗糙度应在50μm-125μm之间。</w:t>
      </w:r>
    </w:p>
    <w:p w14:paraId="49677E2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3）底材温度应高于露点温度3℃以上，相对湿度不低于85%度，以免底材的凝露影响涂料的附着力；环境的持续温度应高于5℃，保证材料固化。</w:t>
      </w:r>
    </w:p>
    <w:p w14:paraId="5D4F69B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9、为通过优选方案做到一次防腐，除尘器净气室在3年周期内基材厚度不减薄,防腐部位无漏点的目标，故所使用的防腐材料需具有优异的耐温性，抗腐蚀性，高韧性和耐磨损等特点，对该项目防腐材料技术要求如下：</w:t>
      </w:r>
    </w:p>
    <w:p w14:paraId="22A8D5B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1）所使用的防腐材料须在高温及高硫工况下其综合性能优势明显，耐温程度需达到250℃，材料需有出厂合格证，须有国家涂料质量检验检测中心认可并出具的相关检验检测报告。</w:t>
      </w:r>
    </w:p>
    <w:p w14:paraId="74BFE93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2）防腐材料可长期承受冷热交替运行，不出现材料损伤，具有抗腐蚀，抗低温结露，可耐5%~50%浓度区间的酸碱腐蚀和多种化学介质，抗氯离子，满足含水率高、成分复杂的烟气，并出具国家实验室检测报告。</w:t>
      </w:r>
    </w:p>
    <w:p w14:paraId="6E8FCD7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3）防腐材料在具有防腐性的同时兼具高韧性及高耐磨性，具有高强度粘附性能，拉拔强度达到25Mpa，混合粘度达到24000cps。</w:t>
      </w:r>
    </w:p>
    <w:p w14:paraId="0AF33E1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4）双组份喷涂型,100%固含量,0️溶剂添加,要求防腐寿命36个月以上，且必须为阻燃型材料，为保证防腐工程质量，防腐材料必须要通过国家涂料质量检测检验中心检验，出具检测报告，以下为检验分项及技术数据要求：</w:t>
      </w:r>
    </w:p>
    <w:p w14:paraId="3FE297F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4.1）耐中性盐雾试验 168h要求：不起泡、不开裂、不脱落、不生锈 168h未起泡、未开裂、未脱落、未生锈，检验标准为GB/T1771-2007 GB/T1766-2008。</w:t>
      </w:r>
    </w:p>
    <w:p w14:paraId="3B2BC4D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4.2）冷热交替试验(3次) 要求：不起泡、不开裂、不剥落、未起泡、未开裂、未剥落，检验标准为GB/T 27806 -2011中5.13。</w:t>
      </w:r>
    </w:p>
    <w:p w14:paraId="598F4B4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4.3）耐酸性(浸入10%的盐酸溶液中7d) 要求：不起泡、不生锈、不脱落、未起泡、未生锈、未脱落 ，检验标准为GB/T 9274-1988甲法GB/T1766-2008。</w:t>
      </w:r>
    </w:p>
    <w:p w14:paraId="58C7C38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4.4）耐酸性(浸入10%的硫酸溶液中7d) 要求：不起泡、不生锈、不脱落、未起泡、未生锈、未脱落，检验标准为GB/T9274-1988甲法GB/T1766-2008。</w:t>
      </w:r>
    </w:p>
    <w:p w14:paraId="1242963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4.5）耐酸性（浸入30%的硫酸溶液+10%盐酸混合溶液中7d）要求： 不起泡、不生锈、不脱落、未起泡、未生锈、未脱落，检验标准为GB/T9274-1988甲法GB/T1766-2008。</w:t>
      </w:r>
    </w:p>
    <w:p w14:paraId="4ED3234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4.6）耐碱性(浸入10%的氢氧化钠溶液中7d) 要求：不起泡、不生锈、不脱落、未起泡、未生锈、未脱落，检验标准为GB/T9274-1988甲法GB/T1766-2008。</w:t>
      </w:r>
    </w:p>
    <w:p w14:paraId="5F597A4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4.7）拉伸剪切强度，MPa要求：大于8，检验标准为GB/T 7124-2008。</w:t>
      </w:r>
    </w:p>
    <w:p w14:paraId="27F73FC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4.8）附着力(拉开法)，MPa要求： (22.5~27.5),100% ，检验标准为GB/T 5210-2006。</w:t>
      </w:r>
    </w:p>
    <w:p w14:paraId="2DBBFAF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10、EHS环保健康合规要求：</w:t>
      </w:r>
    </w:p>
    <w:p w14:paraId="0D9C6E1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所喷涂的材料须提供ROHS和REACH检测，且合规通过的最终报告，VOC检测含量不超过60g/L,检测机构为国家涂料质量检测检验中心。在施工时防腐涂料采购人可随机取样送有相应检验检测机构进行核验，若检测数据与之前提交的材料和报告不符，施工方须更换性能匹配的材料。采购人有权终止该合同，因使用防腐材料不符合要求而带来的所有损失均由服务方承担。</w:t>
      </w:r>
    </w:p>
    <w:p w14:paraId="7F19948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2）所喷涂的材料须提供选用品牌材料的厂家产品合格证，出具盖章版防腐材料性能承诺书。</w:t>
      </w:r>
    </w:p>
    <w:p w14:paraId="27AD535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11、施工工艺：材料涂装表面须盐分测定：</w:t>
      </w:r>
    </w:p>
    <w:p w14:paraId="112049C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钢基材表面的清洁度评价还包括可溶性盐分的检测:可溶性盐分浓度应&lt;5μg/cm2,可按照GB/T 18570.6《涂装涂料或相关产品前钢基材的基材处理表面清洁度的评定测试第6部分:可溶性杂质的取样 --- Bresle法》中的Bresle法或GB/T 18570.9《涂装涂料或相关产品前钢基材的基材处理 表面清洁度的评定测试第9部分:水溶性盐的现场电导率测定法》,也可参照ISO8502-6或ISO 8502-9电导率法进行测定。</w:t>
      </w:r>
    </w:p>
    <w:p w14:paraId="19234C4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12、喷砂除锈，要求达到Sa2.5且粗糙度大于75um。</w:t>
      </w:r>
    </w:p>
    <w:p w14:paraId="3C8F8FF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13、钢基材表面清洁度进行表面灰尘的检测:压敏胶带法检测应达到2级,即灰尘在正常视觉下可以观测到(颗粒直径通常在50μm-100μm之间),3级及以上不合格(参见ISO 8502-3《涂装涂料或相关产品前钢基材的基材处理 表面清洁度评定的测试 第3部分:涂装前钢基材表面灰尘的评估(压敏胶带法)》)。</w:t>
      </w:r>
    </w:p>
    <w:p w14:paraId="399AAB0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14、两层喷涂涂装，单层干膜厚度200～250um，总干膜厚度400-500um。</w:t>
      </w:r>
    </w:p>
    <w:p w14:paraId="4B604B0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15、电火花3KV查验消缺，有缺陷的地方须重新涂装直至检验合格。</w:t>
      </w:r>
    </w:p>
    <w:p w14:paraId="593ABD4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16、现场材料涂装检验需要持有AMPP CIP-2级及以上国际认证涂装检验员,驻场负责关键工序节点检验,质检验收签字确认方能合格。</w:t>
      </w:r>
    </w:p>
    <w:p w14:paraId="7DA8752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17、因该项目牵着到环保设备的维护，故对拟投标方有以下要求：</w:t>
      </w:r>
    </w:p>
    <w:p w14:paraId="5B51867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1）需要有类似相同较好业绩及技术经验的投标方参与投标，故拟投标方需有垃圾焚烧发电厂烟气系统喷砂除锈及防腐三家及以上业绩的单位方有投标资格（业绩以合同为准）。</w:t>
      </w:r>
    </w:p>
    <w:p w14:paraId="300BD34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2）为保证拟标方对所要施工区域部位的全面了解，故拟标方需到现场进行详细了解施工工作量及施工区域工作环境等，如果未到现场了解的则被视为盲目投标，出现类视现象的被视为无效投标。拟标方到现场察看及评估时采购人不得以任何理由拒绝拟标方所提出的问题。拟标方到现场了解需在签到表上签字，如无签到则取消投标资格。</w:t>
      </w:r>
    </w:p>
    <w:p w14:paraId="0795D0A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3）达不到采购人所规定的相关技术要求和施工工艺的被视为无效投标。</w:t>
      </w:r>
    </w:p>
    <w:p w14:paraId="4E5580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 xml:space="preserve">4）弄虚作假一经发现确认则被视为无效投标。 </w:t>
      </w:r>
    </w:p>
    <w:p w14:paraId="24D00B5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18、中标单位需在合同签订之日起三天内向采购人提供盖章电子版施工方案，并经采购人审核通过后，再办理采购人要求的相关施工工作流程后服务方才可以进行施工。</w:t>
      </w:r>
    </w:p>
    <w:p w14:paraId="6FAFD94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19、特殊工种需持证上岗，现场配备专职安全员，作业人员需有在有效期内的体检报告及劳动保险。服务方需在每天开工前严格执行班前会制度，项目负责人特别需向工作班成员交代清楚现场需注意的安全事项，服务方任何安全事故均与采购人无关由服务方自行承担。</w:t>
      </w:r>
    </w:p>
    <w:p w14:paraId="06C30C7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20、该工程单台布袋除尘器施工工期为十天（以采购人交给服务方可以施工的工作面开始计算），为使服务方在保证安全质量的前提下能够按进度及时完成约定的工作量，故如超工期一天考核人民币5000元，以此类推。</w:t>
      </w:r>
    </w:p>
    <w:p w14:paraId="753F0B3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21、该工程项目质保期为36个月（以项目验收合格之日起计算），质保期内要求，基材厚度不变，涂层无腐蚀脱落，起层和开裂，防腐材料喷涂区不出现腐蚀穿孔等现象，36个月内如果因喷涂工艺或材料质量等原因而造成的腐蚀有服务方负责处理并需经采购人验收认可，严重时则取消质保金的返还。</w:t>
      </w:r>
    </w:p>
    <w:p w14:paraId="75F863B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22、因该项目所使用的防腐材料需有中标方承诺的性能检测数据，为使甲乙双方公平合作，故中标方需根据商务约定缴纳一定金额的履约保证金。</w:t>
      </w:r>
    </w:p>
    <w:p w14:paraId="56D4709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23、该工程的实际施工面积需由有资质的第三方审计机构出具的数据为准（为最终的结算面积），考虑到布袋除尘器投运后无法进行审计测量，故在施工时委托第三方审计机构进行审计确定工作量及工作面积。</w:t>
      </w:r>
    </w:p>
    <w:p w14:paraId="77274A2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single"/>
          <w:lang w:val="en-US" w:eastAsia="zh-CN" w:bidi="ar-SA"/>
        </w:rPr>
      </w:pPr>
      <w:r>
        <w:rPr>
          <w:rFonts w:hint="eastAsia" w:ascii="仿宋" w:hAnsi="仿宋" w:eastAsia="仿宋" w:cs="仿宋"/>
          <w:kern w:val="2"/>
          <w:sz w:val="30"/>
          <w:szCs w:val="30"/>
          <w:u w:val="none"/>
          <w:lang w:val="en-US" w:eastAsia="zh-CN" w:bidi="ar-SA"/>
        </w:rPr>
        <w:t>24、附#2布袋除尘器抽检照片及预估单台布袋除尘器净气室的施工工作面积。</w:t>
      </w:r>
    </w:p>
    <w:p w14:paraId="6F18D8D5">
      <w:pPr>
        <w:pStyle w:val="13"/>
        <w:snapToGrid/>
        <w:spacing w:line="360" w:lineRule="auto"/>
        <w:rPr>
          <w:rFonts w:hint="eastAsia" w:ascii="仿宋" w:hAnsi="仿宋" w:eastAsia="仿宋" w:cs="仿宋"/>
          <w:b/>
          <w:bCs/>
          <w:sz w:val="30"/>
          <w:szCs w:val="30"/>
          <w:lang w:val="en-US" w:eastAsia="zh-CN"/>
        </w:rPr>
      </w:pPr>
      <w:r>
        <w:rPr>
          <w:rFonts w:hint="eastAsia" w:ascii="仿宋" w:hAnsi="仿宋" w:eastAsia="仿宋" w:cs="仿宋"/>
          <w:b/>
          <w:bCs/>
          <w:sz w:val="30"/>
          <w:szCs w:val="30"/>
          <w:u w:val="single"/>
          <w:lang w:val="en-US" w:eastAsia="zh-CN"/>
        </w:rPr>
        <w:t>3.2工作量</w:t>
      </w:r>
      <w:r>
        <w:rPr>
          <w:rFonts w:hint="eastAsia" w:ascii="仿宋" w:hAnsi="仿宋" w:eastAsia="仿宋" w:cs="仿宋"/>
          <w:b/>
          <w:bCs/>
          <w:sz w:val="30"/>
          <w:szCs w:val="30"/>
          <w:lang w:val="en-US" w:eastAsia="zh-CN"/>
        </w:rPr>
        <w:t>：</w:t>
      </w:r>
    </w:p>
    <w:p w14:paraId="616CB11B">
      <w:pPr>
        <w:widowControl w:val="0"/>
        <w:snapToGrid/>
        <w:spacing w:line="360" w:lineRule="auto"/>
        <w:ind w:firstLine="600" w:firstLineChars="200"/>
        <w:jc w:val="both"/>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1、采购人负责施工范围：</w:t>
      </w:r>
    </w:p>
    <w:p w14:paraId="3035AF9F">
      <w:pPr>
        <w:widowControl w:val="0"/>
        <w:snapToGrid/>
        <w:spacing w:line="360" w:lineRule="auto"/>
        <w:ind w:firstLine="600" w:firstLineChars="200"/>
        <w:jc w:val="both"/>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本次#2布袋除尘器8个仓净气室修补及更换的范围包括净气室内部四周的隔板、内部的加强件、连接件、支撑件及布袋花板与侧板折角处等部位，支撑板测量厚度低于3.5mm的则进行整块更换。修补或更换的材料为Q235B厚度5MM的碳钢钢板，用满焊焊接，此项工作由采购人负责。</w:t>
      </w:r>
    </w:p>
    <w:p w14:paraId="51919141">
      <w:pPr>
        <w:widowControl w:val="0"/>
        <w:snapToGrid/>
        <w:spacing w:line="360" w:lineRule="auto"/>
        <w:ind w:firstLine="600" w:firstLineChars="200"/>
        <w:jc w:val="both"/>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2）#2布袋除尘器8个仓净气室的内外仓盖及喷吹管的拆除和回装由采购人负责。</w:t>
      </w:r>
    </w:p>
    <w:p w14:paraId="4D2E367D">
      <w:pPr>
        <w:widowControl w:val="0"/>
        <w:snapToGrid/>
        <w:spacing w:line="360" w:lineRule="auto"/>
        <w:ind w:firstLine="600" w:firstLineChars="200"/>
        <w:jc w:val="both"/>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2、服务方负责施工范围：</w:t>
      </w:r>
    </w:p>
    <w:p w14:paraId="620E5305">
      <w:pPr>
        <w:widowControl w:val="0"/>
        <w:snapToGrid/>
        <w:spacing w:line="360" w:lineRule="auto"/>
        <w:ind w:firstLine="600" w:firstLineChars="200"/>
        <w:jc w:val="both"/>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1）本次#2布袋除尘器净气室的喷砂除锈防腐范围包括对净气室内部四周隔板、内部加强件、连接件、支撑件及布袋花板与侧板折角处等部位。</w:t>
      </w:r>
    </w:p>
    <w:p w14:paraId="0F56F893">
      <w:pPr>
        <w:widowControl w:val="0"/>
        <w:snapToGrid/>
        <w:spacing w:line="360" w:lineRule="auto"/>
        <w:ind w:firstLine="600" w:firstLineChars="200"/>
        <w:jc w:val="both"/>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2）此次#2布袋除尘器净气室的喷砂除锈防腐工作增加了对各净气室隔板立柱、支撑板立柱、喷吹管固定支架的喷砂除锈及防腐面积，与#1、#3布袋除尘器净气室的喷砂除锈防腐同比增加防腐面积约60㎡左右，即约550㎡左右（具体实际施工面积以第三方审计面积为准）。</w:t>
      </w:r>
    </w:p>
    <w:p w14:paraId="660AE62E">
      <w:pPr>
        <w:widowControl w:val="0"/>
        <w:snapToGrid/>
        <w:spacing w:line="360" w:lineRule="auto"/>
        <w:ind w:firstLine="600" w:firstLineChars="200"/>
        <w:jc w:val="both"/>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3）施工前需对布袋进行有效的防护，保证喷砂不掉入布袋内，保证防腐喷涂时不会粘附在布袋及布袋龙骨上。</w:t>
      </w:r>
    </w:p>
    <w:p w14:paraId="2C28660E">
      <w:pPr>
        <w:widowControl w:val="0"/>
        <w:snapToGrid/>
        <w:spacing w:line="360" w:lineRule="auto"/>
        <w:ind w:firstLine="600" w:firstLineChars="200"/>
        <w:jc w:val="both"/>
        <w:rPr>
          <w:rFonts w:hint="eastAsia"/>
          <w:lang w:eastAsia="zh-CN"/>
        </w:rPr>
      </w:pPr>
      <w:r>
        <w:rPr>
          <w:rFonts w:hint="eastAsia" w:ascii="仿宋" w:hAnsi="仿宋" w:eastAsia="仿宋" w:cs="仿宋"/>
          <w:kern w:val="2"/>
          <w:sz w:val="30"/>
          <w:szCs w:val="30"/>
          <w:u w:val="none"/>
          <w:lang w:val="en-US" w:eastAsia="zh-CN" w:bidi="ar-SA"/>
        </w:rPr>
        <w:t>4）#2布袋除尘器8个仓净气室内部四周隔板和支撑板，内部的加强件、连接件、支撑件及布袋花板与侧板折角处及喷吹管的固定支架的喷砂除锈及防腐喷涂所涉及的工器具，材料，人员均由服务方方负责。工完料净场地清理由服务方负责。</w:t>
      </w:r>
    </w:p>
    <w:p w14:paraId="2D5C46D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w:t>
      </w:r>
      <w:r>
        <w:rPr>
          <w:rFonts w:hint="eastAsia" w:ascii="仿宋" w:hAnsi="仿宋" w:eastAsia="仿宋" w:cs="仿宋"/>
          <w:sz w:val="30"/>
          <w:szCs w:val="30"/>
        </w:rPr>
        <w:t>本项目总金额限价为</w:t>
      </w:r>
      <w:r>
        <w:rPr>
          <w:rFonts w:hint="eastAsia" w:ascii="仿宋" w:hAnsi="仿宋" w:eastAsia="仿宋" w:cs="仿宋"/>
          <w:sz w:val="30"/>
          <w:szCs w:val="30"/>
          <w:lang w:eastAsia="zh-CN"/>
        </w:rPr>
        <w:t>人民币43.7</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r>
        <w:rPr>
          <w:rFonts w:hint="eastAsia" w:ascii="仿宋" w:hAnsi="仿宋" w:eastAsia="仿宋" w:cs="仿宋"/>
          <w:sz w:val="30"/>
          <w:szCs w:val="30"/>
          <w:lang w:eastAsia="zh-CN"/>
        </w:rPr>
        <w:t>。</w:t>
      </w:r>
    </w:p>
    <w:p w14:paraId="6CF00822">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二、供应商要求。</w:t>
      </w:r>
    </w:p>
    <w:p w14:paraId="0428D8C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lang w:val="en-US" w:eastAsia="zh-CN"/>
        </w:rPr>
        <w:t>1.报价人必须是在中华</w:t>
      </w:r>
      <w:r>
        <w:rPr>
          <w:rFonts w:hint="eastAsia" w:ascii="仿宋" w:hAnsi="仿宋" w:eastAsia="仿宋" w:cs="仿宋"/>
          <w:sz w:val="30"/>
          <w:szCs w:val="30"/>
          <w:highlight w:val="none"/>
          <w:lang w:val="en-US" w:eastAsia="zh-CN"/>
        </w:rPr>
        <w:t>人民共和国境内注册，具有独立法人资格和独立承担民事责任的能力；投标人经营范围须包含相关资质。</w:t>
      </w:r>
    </w:p>
    <w:p w14:paraId="5863D6E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196E22F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3.报价单位负责人为同一人或者存在控股、管理关系的不同单位，不得同时参加本项目。  </w:t>
      </w:r>
    </w:p>
    <w:p w14:paraId="1F80DDB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4.本项目不接受联合体报价，不接受分包。</w:t>
      </w:r>
    </w:p>
    <w:p w14:paraId="60B52E59">
      <w:pPr>
        <w:pStyle w:val="13"/>
        <w:snapToGrid/>
        <w:spacing w:line="360" w:lineRule="auto"/>
        <w:rPr>
          <w:rFonts w:hint="default"/>
          <w:highlight w:val="none"/>
          <w:lang w:val="en-US" w:eastAsia="zh-CN"/>
        </w:rPr>
      </w:pPr>
      <w:r>
        <w:rPr>
          <w:rFonts w:hint="eastAsia" w:ascii="仿宋" w:hAnsi="仿宋" w:eastAsia="仿宋" w:cs="仿宋"/>
          <w:sz w:val="30"/>
          <w:szCs w:val="30"/>
          <w:highlight w:val="none"/>
          <w:lang w:val="en-US" w:eastAsia="zh-CN"/>
        </w:rPr>
        <w:t>5.投标单位须提供垃圾焚烧发电厂烟气系统喷砂除锈及防腐三家及以上业绩（业绩以合同为准）。</w:t>
      </w:r>
    </w:p>
    <w:p w14:paraId="675768A2">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923"/>
      <w:bookmarkStart w:id="8" w:name="_Toc530583880"/>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60B3D14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2月4</w:t>
      </w:r>
      <w:r>
        <w:rPr>
          <w:rFonts w:hint="eastAsia" w:ascii="仿宋_GB2312" w:eastAsia="仿宋_GB2312"/>
          <w:sz w:val="30"/>
          <w:szCs w:val="30"/>
        </w:rPr>
        <w:t>日。</w:t>
      </w:r>
    </w:p>
    <w:p w14:paraId="6770450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3E778899">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4D8BB380">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32FE7FD2">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0EF7CB13">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r>
        <w:rPr>
          <w:rFonts w:hint="eastAsia" w:ascii="仿宋_GB2312" w:eastAsia="仿宋_GB2312"/>
          <w:color w:val="FF0000"/>
          <w:sz w:val="30"/>
          <w:szCs w:val="30"/>
          <w:lang w:val="en-US" w:eastAsia="zh-CN"/>
        </w:rPr>
        <w:t>本招标文件内有资质及业绩等要求，供应商需另行分装报价资格一览表，封装方式需与报价文件相同，且需在快递包装上醒目注明报价资格表、项目名称、询价编号，且注明报价人联系人、联系人电话。</w:t>
      </w:r>
    </w:p>
    <w:p w14:paraId="498518D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w:t>
      </w:r>
      <w:r>
        <w:rPr>
          <w:rFonts w:hint="eastAsia" w:ascii="仿宋_GB2312" w:eastAsia="仿宋_GB2312"/>
          <w:color w:val="auto"/>
          <w:sz w:val="30"/>
          <w:szCs w:val="30"/>
        </w:rPr>
        <w:t>截至202</w:t>
      </w:r>
      <w:r>
        <w:rPr>
          <w:rFonts w:hint="eastAsia" w:ascii="仿宋_GB2312" w:eastAsia="仿宋_GB2312"/>
          <w:color w:val="auto"/>
          <w:sz w:val="30"/>
          <w:szCs w:val="30"/>
          <w:lang w:val="en-US" w:eastAsia="zh-CN"/>
        </w:rPr>
        <w:t>6</w:t>
      </w:r>
      <w:r>
        <w:rPr>
          <w:rFonts w:hint="eastAsia" w:ascii="仿宋_GB2312" w:eastAsia="仿宋_GB2312"/>
          <w:color w:val="auto"/>
          <w:sz w:val="30"/>
          <w:szCs w:val="30"/>
        </w:rPr>
        <w:t>年</w:t>
      </w:r>
      <w:r>
        <w:rPr>
          <w:rFonts w:hint="eastAsia" w:ascii="仿宋_GB2312" w:eastAsia="仿宋_GB2312"/>
          <w:color w:val="auto"/>
          <w:sz w:val="30"/>
          <w:szCs w:val="30"/>
          <w:lang w:val="en-US" w:eastAsia="zh-CN"/>
        </w:rPr>
        <w:t>2</w:t>
      </w:r>
      <w:r>
        <w:rPr>
          <w:rFonts w:hint="eastAsia" w:ascii="仿宋_GB2312" w:eastAsia="仿宋_GB2312"/>
          <w:color w:val="auto"/>
          <w:sz w:val="30"/>
          <w:szCs w:val="30"/>
        </w:rPr>
        <w:t>月</w:t>
      </w:r>
      <w:r>
        <w:rPr>
          <w:rFonts w:hint="eastAsia" w:ascii="仿宋_GB2312" w:eastAsia="仿宋_GB2312"/>
          <w:color w:val="auto"/>
          <w:sz w:val="30"/>
          <w:szCs w:val="30"/>
          <w:lang w:val="en-US" w:eastAsia="zh-CN"/>
        </w:rPr>
        <w:t>3</w:t>
      </w:r>
      <w:r>
        <w:rPr>
          <w:rFonts w:hint="eastAsia" w:ascii="仿宋_GB2312" w:eastAsia="仿宋_GB2312"/>
          <w:color w:val="auto"/>
          <w:sz w:val="30"/>
          <w:szCs w:val="30"/>
        </w:rPr>
        <w:t>日，</w:t>
      </w:r>
      <w:r>
        <w:rPr>
          <w:rFonts w:hint="eastAsia" w:ascii="仿宋_GB2312" w:eastAsia="仿宋_GB2312"/>
          <w:sz w:val="30"/>
          <w:szCs w:val="30"/>
        </w:rPr>
        <w:t>以邮寄签收时间为准，因邮寄原因导致报价文件不能如期送达等风险由供应商自行承担。</w:t>
      </w:r>
    </w:p>
    <w:p w14:paraId="6BC28CE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9088E3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18742D2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0341035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5ED225C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2A94BDB8">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011A9B2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219CC76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color w:val="auto"/>
          <w:sz w:val="30"/>
          <w:szCs w:val="30"/>
          <w:lang w:val="en-US" w:eastAsia="zh-CN"/>
        </w:rPr>
        <w:t>联系电话：</w:t>
      </w:r>
      <w:r>
        <w:rPr>
          <w:rFonts w:hint="eastAsia" w:ascii="仿宋_GB2312" w:eastAsia="仿宋_GB2312" w:cs="Times New Roman"/>
          <w:color w:val="auto"/>
          <w:sz w:val="30"/>
          <w:szCs w:val="30"/>
          <w:lang w:val="en-US" w:eastAsia="zh-CN"/>
        </w:rPr>
        <w:t>0575-85791900</w:t>
      </w:r>
    </w:p>
    <w:p w14:paraId="0F9C17AA">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3EA4F2AB">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1月30</w:t>
      </w:r>
      <w:r>
        <w:rPr>
          <w:rFonts w:hint="eastAsia" w:ascii="仿宋_GB2312" w:eastAsia="仿宋_GB2312"/>
          <w:sz w:val="30"/>
          <w:szCs w:val="30"/>
        </w:rPr>
        <w:t>日</w:t>
      </w:r>
    </w:p>
    <w:p w14:paraId="086D0041">
      <w:pPr>
        <w:pageBreakBefore w:val="0"/>
        <w:kinsoku/>
        <w:wordWrap/>
        <w:topLinePunct w:val="0"/>
        <w:bidi w:val="0"/>
        <w:snapToGrid w:val="0"/>
        <w:spacing w:line="360" w:lineRule="auto"/>
        <w:ind w:firstLine="585"/>
        <w:jc w:val="center"/>
        <w:outlineLvl w:val="0"/>
        <w:rPr>
          <w:rFonts w:ascii="仿宋_GB2312" w:eastAsia="仿宋_GB2312"/>
          <w:snapToGrid w:val="0"/>
          <w:sz w:val="30"/>
          <w:szCs w:val="30"/>
        </w:rPr>
      </w:pPr>
      <w:r>
        <w:rPr>
          <w:rFonts w:hint="eastAsia" w:ascii="仿宋_GB2312" w:eastAsia="仿宋_GB2312"/>
          <w:sz w:val="30"/>
          <w:szCs w:val="30"/>
        </w:rPr>
        <w:br w:type="page"/>
      </w:r>
      <w:bookmarkStart w:id="9" w:name="_Toc530583879"/>
      <w:bookmarkStart w:id="10" w:name="_Toc530583922"/>
      <w:bookmarkStart w:id="11" w:name="_Toc23057"/>
      <w:r>
        <w:rPr>
          <w:rFonts w:hint="eastAsia" w:ascii="仿宋" w:hAnsi="仿宋" w:eastAsia="仿宋" w:cs="仿宋"/>
          <w:b/>
          <w:snapToGrid w:val="0"/>
          <w:color w:val="000000"/>
          <w:kern w:val="44"/>
          <w:sz w:val="44"/>
          <w:szCs w:val="44"/>
          <w:lang w:val="en-US" w:eastAsia="zh-CN" w:bidi="ar-SA"/>
        </w:rPr>
        <w:t>第二部分   采购须知</w:t>
      </w:r>
      <w:bookmarkEnd w:id="9"/>
      <w:bookmarkEnd w:id="10"/>
      <w:bookmarkEnd w:id="11"/>
    </w:p>
    <w:p w14:paraId="1EF84780">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F719299">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7F6957B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096DCA7A">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bookmarkStart w:id="20" w:name="_GoBack"/>
      <w:bookmarkEnd w:id="20"/>
      <w:r>
        <w:rPr>
          <w:rFonts w:hint="eastAsia" w:ascii="仿宋_GB2312" w:hAnsi="宋体" w:eastAsia="仿宋_GB2312"/>
          <w:sz w:val="30"/>
          <w:szCs w:val="30"/>
        </w:rPr>
        <w:t>“</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5100C6A3">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3302F77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065CCAA4">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30569613">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3B39FA1E">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6882BC2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03AE99B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4EF042DD">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3964537">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30E104BA">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751296EA">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0200878C">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14:paraId="35BBD1B1">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E25B5C0">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14:paraId="64359113">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0D76D76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353FF41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76FD404C">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CEB3C86">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153C4717">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23F682D0">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11D513F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0FEC2E5F">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305A89B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0CFF1461">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1B544A02">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6A63BC02">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762CA117">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1D00ADC">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0E7CC9AF">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29914F8">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59617F8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639BB433">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0EB0253A">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27719355">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4184F8C0">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769DBD97">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6ABCF4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4DDC6D1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1A0067D9">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DD012FF">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4A37821C">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7C71127D">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0B2D6BC6">
      <w:pPr>
        <w:pStyle w:val="13"/>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1F340704">
      <w:pPr>
        <w:pStyle w:val="13"/>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6A48C45C">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6533DA04">
      <w:pPr>
        <w:pStyle w:val="20"/>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614ED959">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11BD788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6271FED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4B1BD19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771E694F">
      <w:pPr>
        <w:pStyle w:val="3"/>
        <w:numPr>
          <w:ilvl w:val="0"/>
          <w:numId w:val="0"/>
        </w:numPr>
        <w:jc w:val="center"/>
        <w:outlineLvl w:val="9"/>
        <w:rPr>
          <w:rFonts w:hint="eastAsia" w:ascii="仿宋" w:hAnsi="仿宋" w:eastAsia="仿宋" w:cs="仿宋"/>
          <w:snapToGrid w:val="0"/>
          <w:sz w:val="44"/>
          <w:szCs w:val="44"/>
        </w:rPr>
      </w:pPr>
    </w:p>
    <w:p w14:paraId="37AAEC2D">
      <w:pPr>
        <w:rPr>
          <w:rFonts w:hint="eastAsia" w:ascii="仿宋" w:hAnsi="仿宋" w:eastAsia="仿宋" w:cs="仿宋"/>
          <w:snapToGrid w:val="0"/>
          <w:sz w:val="44"/>
          <w:szCs w:val="44"/>
        </w:rPr>
      </w:pPr>
    </w:p>
    <w:p w14:paraId="232EB71A">
      <w:pPr>
        <w:pStyle w:val="5"/>
        <w:rPr>
          <w:rFonts w:hint="eastAsia" w:ascii="仿宋" w:hAnsi="仿宋" w:eastAsia="仿宋" w:cs="仿宋"/>
          <w:snapToGrid w:val="0"/>
          <w:sz w:val="44"/>
          <w:szCs w:val="44"/>
        </w:rPr>
      </w:pPr>
    </w:p>
    <w:p w14:paraId="1CB310D2">
      <w:pPr>
        <w:pStyle w:val="3"/>
        <w:numPr>
          <w:ilvl w:val="0"/>
          <w:numId w:val="0"/>
        </w:numPr>
        <w:jc w:val="both"/>
        <w:rPr>
          <w:rFonts w:hint="eastAsia" w:ascii="仿宋" w:hAnsi="仿宋" w:eastAsia="仿宋" w:cs="仿宋"/>
          <w:snapToGrid w:val="0"/>
          <w:sz w:val="44"/>
          <w:szCs w:val="44"/>
        </w:rPr>
      </w:pPr>
      <w:bookmarkStart w:id="12" w:name="_Toc4053"/>
    </w:p>
    <w:p w14:paraId="255BB6B6">
      <w:pPr>
        <w:rPr>
          <w:rFonts w:hint="eastAsia" w:ascii="仿宋" w:hAnsi="仿宋" w:eastAsia="仿宋" w:cs="仿宋"/>
          <w:snapToGrid w:val="0"/>
          <w:sz w:val="44"/>
          <w:szCs w:val="44"/>
        </w:rPr>
      </w:pPr>
    </w:p>
    <w:p w14:paraId="4B4E91A6">
      <w:pPr>
        <w:pStyle w:val="13"/>
        <w:rPr>
          <w:rFonts w:hint="eastAsia"/>
        </w:rPr>
      </w:pPr>
    </w:p>
    <w:p w14:paraId="3EBB21A5">
      <w:pPr>
        <w:pStyle w:val="13"/>
        <w:rPr>
          <w:rFonts w:hint="eastAsia"/>
        </w:rPr>
      </w:pPr>
    </w:p>
    <w:p w14:paraId="409C3F53">
      <w:pPr>
        <w:pStyle w:val="13"/>
        <w:rPr>
          <w:rFonts w:hint="eastAsia"/>
        </w:rPr>
      </w:pPr>
    </w:p>
    <w:p w14:paraId="6B1F2CE2">
      <w:pPr>
        <w:pStyle w:val="13"/>
        <w:rPr>
          <w:rFonts w:hint="eastAsia"/>
        </w:rPr>
      </w:pPr>
    </w:p>
    <w:p w14:paraId="6DD629C6">
      <w:pPr>
        <w:pStyle w:val="3"/>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7"/>
      <w:bookmarkEnd w:id="8"/>
      <w:bookmarkEnd w:id="12"/>
    </w:p>
    <w:p w14:paraId="6BB5C9D1">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B2EFD68">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7F3BB305">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二、服务</w:t>
      </w:r>
      <w:r>
        <w:rPr>
          <w:rFonts w:hint="eastAsia" w:ascii="仿宋" w:hAnsi="仿宋" w:eastAsia="仿宋" w:cs="仿宋"/>
          <w:color w:val="auto"/>
          <w:kern w:val="2"/>
          <w:sz w:val="30"/>
          <w:szCs w:val="30"/>
        </w:rPr>
        <w:t>方式</w:t>
      </w:r>
    </w:p>
    <w:p w14:paraId="393A21A4">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lang w:val="en-US" w:eastAsia="zh-CN"/>
        </w:rPr>
        <w:t>自接到采购</w:t>
      </w:r>
      <w:r>
        <w:rPr>
          <w:rFonts w:hint="eastAsia" w:ascii="仿宋" w:hAnsi="仿宋" w:eastAsia="仿宋" w:cs="仿宋"/>
          <w:color w:val="auto"/>
          <w:kern w:val="2"/>
          <w:sz w:val="30"/>
          <w:szCs w:val="30"/>
          <w:highlight w:val="none"/>
          <w:lang w:val="en-US" w:eastAsia="zh-CN"/>
        </w:rPr>
        <w:t>人通知后10日内完成服务项目</w:t>
      </w:r>
      <w:r>
        <w:rPr>
          <w:rFonts w:hint="eastAsia" w:ascii="仿宋" w:hAnsi="仿宋" w:eastAsia="仿宋" w:cs="仿宋"/>
          <w:color w:val="auto"/>
          <w:kern w:val="2"/>
          <w:sz w:val="30"/>
          <w:szCs w:val="30"/>
          <w:highlight w:val="none"/>
        </w:rPr>
        <w:t>。</w:t>
      </w:r>
    </w:p>
    <w:p w14:paraId="2549B5B5">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三、付款方式</w:t>
      </w:r>
    </w:p>
    <w:p w14:paraId="093621B5">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项目完成且经由采购人验收合格后，根据第三方审计机构出具的数据为最终的结算面积进行结算，结算总金额不得超过合同预估总金额。结算完成后服务方提供经双方确认的增值税专用发票，采购人自收到准确发票后，于次二月支付至合同总价（实际平方数×固定单价）的90%，服务方未按采购人财务要求提供发票的，采购人有权顺延付款且不视为违约。服务方需提供三年质保，其剩余10%尾款自动转为质保金，于质保期到期后支付，质保期从采购人最终验收合格之日起计算。</w:t>
      </w:r>
    </w:p>
    <w:p w14:paraId="3B2867B7">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四、售后服务</w:t>
      </w:r>
    </w:p>
    <w:p w14:paraId="54FC671D">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1.供应商必须满足采购人售后服务要求。如产品使用过程发生问题，供应商须在接到</w:t>
      </w:r>
      <w:r>
        <w:rPr>
          <w:rFonts w:hint="eastAsia" w:ascii="仿宋" w:hAnsi="仿宋" w:eastAsia="仿宋" w:cs="仿宋"/>
          <w:color w:val="auto"/>
          <w:kern w:val="2"/>
          <w:sz w:val="30"/>
          <w:szCs w:val="30"/>
          <w:highlight w:val="none"/>
          <w:lang w:val="en-US" w:eastAsia="zh-CN"/>
        </w:rPr>
        <w:t>采购人</w:t>
      </w:r>
      <w:r>
        <w:rPr>
          <w:rFonts w:hint="eastAsia" w:ascii="仿宋" w:hAnsi="仿宋" w:eastAsia="仿宋" w:cs="仿宋"/>
          <w:color w:val="auto"/>
          <w:kern w:val="2"/>
          <w:sz w:val="30"/>
          <w:szCs w:val="30"/>
          <w:highlight w:val="none"/>
        </w:rPr>
        <w:t>通知后24小时内做出书面答复并提供解决方案。若需要派遣技术人员，则应在接到采购人通知后48小时内派人员到达现场进行免费指导解决问题。</w:t>
      </w:r>
    </w:p>
    <w:p w14:paraId="77605A68">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2</w:t>
      </w:r>
      <w:r>
        <w:rPr>
          <w:rFonts w:hint="eastAsia" w:ascii="仿宋" w:hAnsi="仿宋" w:eastAsia="仿宋" w:cs="仿宋"/>
          <w:color w:val="auto"/>
          <w:kern w:val="2"/>
          <w:sz w:val="30"/>
          <w:szCs w:val="30"/>
          <w:highlight w:val="none"/>
        </w:rPr>
        <w:t>.采购人不再对任何售后服务进行付费。供应商的派遣人员产生的一切费用由供应商承担。</w:t>
      </w:r>
    </w:p>
    <w:p w14:paraId="05EBF0DD">
      <w:pPr>
        <w:pStyle w:val="3"/>
        <w:numPr>
          <w:ilvl w:val="0"/>
          <w:numId w:val="0"/>
        </w:numPr>
        <w:jc w:val="center"/>
        <w:outlineLvl w:val="9"/>
        <w:rPr>
          <w:rFonts w:hint="eastAsia" w:ascii="仿宋" w:hAnsi="仿宋" w:eastAsia="仿宋" w:cs="仿宋"/>
          <w:snapToGrid w:val="0"/>
          <w:sz w:val="30"/>
          <w:szCs w:val="30"/>
          <w:highlight w:val="none"/>
        </w:rPr>
      </w:pPr>
      <w:bookmarkStart w:id="13" w:name="_Toc530583924"/>
      <w:r>
        <w:rPr>
          <w:rFonts w:hint="eastAsia" w:ascii="仿宋" w:hAnsi="仿宋" w:eastAsia="仿宋" w:cs="仿宋"/>
          <w:snapToGrid w:val="0"/>
          <w:sz w:val="30"/>
          <w:szCs w:val="30"/>
          <w:highlight w:val="none"/>
        </w:rPr>
        <w:br w:type="page"/>
      </w:r>
    </w:p>
    <w:p w14:paraId="56522A2F">
      <w:pPr>
        <w:pStyle w:val="3"/>
        <w:numPr>
          <w:ilvl w:val="0"/>
          <w:numId w:val="3"/>
        </w:numPr>
        <w:ind w:left="840" w:leftChars="0" w:firstLineChars="0"/>
        <w:jc w:val="center"/>
        <w:rPr>
          <w:rFonts w:hint="eastAsia" w:ascii="仿宋" w:hAnsi="仿宋" w:eastAsia="仿宋" w:cs="仿宋"/>
          <w:snapToGrid w:val="0"/>
          <w:sz w:val="44"/>
          <w:szCs w:val="44"/>
          <w:highlight w:val="none"/>
          <w:lang w:val="en-US" w:eastAsia="zh-CN"/>
        </w:rPr>
      </w:pPr>
      <w:r>
        <w:rPr>
          <w:rFonts w:hint="eastAsia" w:ascii="仿宋" w:hAnsi="仿宋" w:eastAsia="仿宋" w:cs="仿宋"/>
          <w:snapToGrid w:val="0"/>
          <w:sz w:val="44"/>
          <w:szCs w:val="44"/>
          <w:highlight w:val="none"/>
          <w:lang w:val="en-US" w:eastAsia="zh-CN"/>
        </w:rPr>
        <w:t xml:space="preserve">   </w:t>
      </w:r>
      <w:bookmarkStart w:id="14" w:name="_Toc30277"/>
      <w:r>
        <w:rPr>
          <w:rFonts w:hint="eastAsia" w:ascii="仿宋" w:hAnsi="仿宋" w:eastAsia="仿宋" w:cs="仿宋"/>
          <w:snapToGrid w:val="0"/>
          <w:sz w:val="44"/>
          <w:szCs w:val="44"/>
          <w:highlight w:val="none"/>
          <w:lang w:val="en-US" w:eastAsia="zh-CN"/>
        </w:rPr>
        <w:t>合同主要条款</w:t>
      </w:r>
      <w:bookmarkEnd w:id="14"/>
    </w:p>
    <w:p w14:paraId="02DD4D31">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采购方需采购以下供货范围设备/备件若干，经供需双方友好协商，一致同意签订本合同，以便遵照执行。</w:t>
      </w:r>
    </w:p>
    <w:p w14:paraId="7C959840">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第一条</w:t>
      </w:r>
      <w:r>
        <w:rPr>
          <w:rFonts w:hint="eastAsia" w:ascii="黑体" w:hAnsi="黑体" w:eastAsia="黑体" w:cs="黑体"/>
          <w:sz w:val="28"/>
          <w:szCs w:val="28"/>
          <w:highlight w:val="none"/>
          <w:lang w:val="en-US" w:eastAsia="zh-CN"/>
        </w:rPr>
        <w:t xml:space="preserve"> 服务</w:t>
      </w:r>
      <w:r>
        <w:rPr>
          <w:rFonts w:hint="eastAsia" w:ascii="黑体" w:hAnsi="黑体" w:eastAsia="黑体" w:cs="黑体"/>
          <w:sz w:val="28"/>
          <w:szCs w:val="28"/>
          <w:highlight w:val="none"/>
        </w:rPr>
        <w:t>范围及价格</w:t>
      </w:r>
    </w:p>
    <w:tbl>
      <w:tblPr>
        <w:tblStyle w:val="14"/>
        <w:tblW w:w="9571" w:type="dxa"/>
        <w:jc w:val="center"/>
        <w:tblLayout w:type="fixed"/>
        <w:tblCellMar>
          <w:top w:w="0" w:type="dxa"/>
          <w:left w:w="108" w:type="dxa"/>
          <w:bottom w:w="0" w:type="dxa"/>
          <w:right w:w="108" w:type="dxa"/>
        </w:tblCellMar>
      </w:tblPr>
      <w:tblGrid>
        <w:gridCol w:w="751"/>
        <w:gridCol w:w="1439"/>
        <w:gridCol w:w="2855"/>
        <w:gridCol w:w="1266"/>
        <w:gridCol w:w="984"/>
        <w:gridCol w:w="1125"/>
        <w:gridCol w:w="1151"/>
      </w:tblGrid>
      <w:tr w14:paraId="2778CB8C">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361BCD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sz w:val="24"/>
                <w:szCs w:val="24"/>
                <w:highlight w:val="none"/>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1439" w:type="dxa"/>
            <w:tcBorders>
              <w:top w:val="single" w:color="auto" w:sz="4" w:space="0"/>
              <w:left w:val="nil"/>
              <w:bottom w:val="single" w:color="auto" w:sz="4" w:space="0"/>
              <w:right w:val="single" w:color="auto" w:sz="4" w:space="0"/>
            </w:tcBorders>
            <w:noWrap w:val="0"/>
            <w:vAlign w:val="center"/>
          </w:tcPr>
          <w:p w14:paraId="0828F0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sz w:val="24"/>
                <w:szCs w:val="24"/>
                <w:highlight w:val="none"/>
              </w:rPr>
            </w:pPr>
            <w:r>
              <w:rPr>
                <w:rFonts w:hint="eastAsia" w:ascii="仿宋" w:hAnsi="仿宋" w:eastAsia="仿宋" w:cs="仿宋"/>
                <w:b/>
                <w:bCs/>
                <w:i w:val="0"/>
                <w:iCs w:val="0"/>
                <w:color w:val="000000"/>
                <w:kern w:val="0"/>
                <w:sz w:val="24"/>
                <w:szCs w:val="24"/>
                <w:highlight w:val="none"/>
                <w:u w:val="none"/>
                <w:lang w:val="en-US" w:eastAsia="zh-CN" w:bidi="ar"/>
              </w:rPr>
              <w:t>项目名称</w:t>
            </w:r>
          </w:p>
        </w:tc>
        <w:tc>
          <w:tcPr>
            <w:tcW w:w="2855" w:type="dxa"/>
            <w:tcBorders>
              <w:top w:val="single" w:color="auto" w:sz="4" w:space="0"/>
              <w:left w:val="nil"/>
              <w:bottom w:val="single" w:color="auto" w:sz="4" w:space="0"/>
              <w:right w:val="single" w:color="auto" w:sz="4" w:space="0"/>
            </w:tcBorders>
            <w:noWrap w:val="0"/>
            <w:vAlign w:val="center"/>
          </w:tcPr>
          <w:p w14:paraId="1054710A">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sz w:val="24"/>
                <w:szCs w:val="24"/>
                <w:highlight w:val="none"/>
              </w:rPr>
            </w:pPr>
            <w:r>
              <w:rPr>
                <w:rFonts w:hint="eastAsia" w:ascii="仿宋" w:hAnsi="仿宋" w:eastAsia="仿宋" w:cs="仿宋"/>
                <w:b/>
                <w:bCs/>
                <w:i w:val="0"/>
                <w:iCs w:val="0"/>
                <w:color w:val="000000"/>
                <w:kern w:val="0"/>
                <w:sz w:val="24"/>
                <w:szCs w:val="24"/>
                <w:highlight w:val="none"/>
                <w:u w:val="none"/>
                <w:lang w:val="en-US" w:eastAsia="zh-CN" w:bidi="ar"/>
              </w:rPr>
              <w:t>内容及</w:t>
            </w:r>
            <w:r>
              <w:rPr>
                <w:rFonts w:hint="eastAsia" w:ascii="仿宋" w:hAnsi="仿宋" w:eastAsia="仿宋" w:cs="仿宋"/>
                <w:b/>
                <w:bCs/>
                <w:i w:val="0"/>
                <w:iCs w:val="0"/>
                <w:color w:val="000000"/>
                <w:sz w:val="24"/>
                <w:szCs w:val="24"/>
                <w:highlight w:val="none"/>
                <w:u w:val="none"/>
                <w:lang w:val="en-US" w:eastAsia="zh-CN"/>
              </w:rPr>
              <w:t>技术要求</w:t>
            </w:r>
          </w:p>
        </w:tc>
        <w:tc>
          <w:tcPr>
            <w:tcW w:w="1266" w:type="dxa"/>
            <w:tcBorders>
              <w:top w:val="single" w:color="auto" w:sz="4" w:space="0"/>
              <w:left w:val="nil"/>
              <w:bottom w:val="single" w:color="auto" w:sz="4" w:space="0"/>
              <w:right w:val="single" w:color="auto" w:sz="4" w:space="0"/>
            </w:tcBorders>
            <w:noWrap w:val="0"/>
            <w:vAlign w:val="center"/>
          </w:tcPr>
          <w:p w14:paraId="79AA7B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sz w:val="24"/>
                <w:szCs w:val="24"/>
                <w:highlight w:val="none"/>
              </w:rPr>
            </w:pPr>
            <w:r>
              <w:rPr>
                <w:rFonts w:hint="eastAsia" w:ascii="仿宋" w:hAnsi="仿宋" w:eastAsia="仿宋" w:cs="仿宋"/>
                <w:b/>
                <w:bCs/>
                <w:i w:val="0"/>
                <w:iCs w:val="0"/>
                <w:color w:val="000000"/>
                <w:kern w:val="0"/>
                <w:sz w:val="24"/>
                <w:szCs w:val="24"/>
                <w:highlight w:val="none"/>
                <w:u w:val="none"/>
                <w:lang w:val="en-US" w:eastAsia="zh-CN" w:bidi="ar"/>
              </w:rPr>
              <w:t>预估数量</w:t>
            </w:r>
          </w:p>
        </w:tc>
        <w:tc>
          <w:tcPr>
            <w:tcW w:w="984" w:type="dxa"/>
            <w:tcBorders>
              <w:top w:val="single" w:color="auto" w:sz="4" w:space="0"/>
              <w:left w:val="nil"/>
              <w:bottom w:val="single" w:color="auto" w:sz="4" w:space="0"/>
              <w:right w:val="single" w:color="auto" w:sz="4" w:space="0"/>
            </w:tcBorders>
            <w:noWrap w:val="0"/>
            <w:vAlign w:val="center"/>
          </w:tcPr>
          <w:p w14:paraId="276FE1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sz w:val="24"/>
                <w:szCs w:val="24"/>
                <w:highlight w:val="none"/>
              </w:rPr>
            </w:pPr>
            <w:r>
              <w:rPr>
                <w:rFonts w:hint="eastAsia" w:ascii="仿宋" w:hAnsi="仿宋" w:eastAsia="仿宋" w:cs="仿宋"/>
                <w:b/>
                <w:bCs/>
                <w:i w:val="0"/>
                <w:iCs w:val="0"/>
                <w:color w:val="000000"/>
                <w:kern w:val="0"/>
                <w:sz w:val="24"/>
                <w:szCs w:val="24"/>
                <w:highlight w:val="none"/>
                <w:u w:val="none"/>
                <w:lang w:val="en-US" w:eastAsia="zh-CN" w:bidi="ar"/>
              </w:rPr>
              <w:t>单位</w:t>
            </w:r>
          </w:p>
        </w:tc>
        <w:tc>
          <w:tcPr>
            <w:tcW w:w="1125" w:type="dxa"/>
            <w:tcBorders>
              <w:top w:val="single" w:color="auto" w:sz="4" w:space="0"/>
              <w:left w:val="nil"/>
              <w:bottom w:val="single" w:color="auto" w:sz="4" w:space="0"/>
              <w:right w:val="single" w:color="auto" w:sz="4" w:space="0"/>
            </w:tcBorders>
            <w:noWrap w:val="0"/>
            <w:vAlign w:val="center"/>
          </w:tcPr>
          <w:p w14:paraId="25F536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sz w:val="24"/>
                <w:szCs w:val="24"/>
                <w:highlight w:val="none"/>
              </w:rPr>
            </w:pPr>
            <w:r>
              <w:rPr>
                <w:rFonts w:hint="eastAsia" w:ascii="仿宋" w:hAnsi="仿宋" w:eastAsia="仿宋" w:cs="仿宋"/>
                <w:b/>
                <w:bCs/>
                <w:i w:val="0"/>
                <w:iCs w:val="0"/>
                <w:color w:val="000000"/>
                <w:kern w:val="0"/>
                <w:sz w:val="24"/>
                <w:szCs w:val="24"/>
                <w:highlight w:val="none"/>
                <w:u w:val="none"/>
                <w:lang w:val="en-US" w:eastAsia="zh-CN" w:bidi="ar"/>
              </w:rPr>
              <w:t>单价（元）</w:t>
            </w:r>
          </w:p>
        </w:tc>
        <w:tc>
          <w:tcPr>
            <w:tcW w:w="1151" w:type="dxa"/>
            <w:tcBorders>
              <w:top w:val="single" w:color="auto" w:sz="4" w:space="0"/>
              <w:left w:val="nil"/>
              <w:bottom w:val="single" w:color="auto" w:sz="4" w:space="0"/>
              <w:right w:val="single" w:color="auto" w:sz="4" w:space="0"/>
            </w:tcBorders>
            <w:noWrap w:val="0"/>
            <w:vAlign w:val="center"/>
          </w:tcPr>
          <w:p w14:paraId="4E9627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b/>
                <w:bCs/>
                <w:sz w:val="24"/>
                <w:szCs w:val="24"/>
                <w:highlight w:val="none"/>
              </w:rPr>
            </w:pPr>
            <w:r>
              <w:rPr>
                <w:rFonts w:hint="eastAsia" w:ascii="仿宋" w:hAnsi="仿宋" w:eastAsia="仿宋" w:cs="仿宋"/>
                <w:b/>
                <w:bCs/>
                <w:i w:val="0"/>
                <w:iCs w:val="0"/>
                <w:color w:val="000000"/>
                <w:kern w:val="0"/>
                <w:sz w:val="24"/>
                <w:szCs w:val="24"/>
                <w:highlight w:val="none"/>
                <w:u w:val="none"/>
                <w:lang w:val="en-US" w:eastAsia="zh-CN" w:bidi="ar"/>
              </w:rPr>
              <w:t>金额（元）</w:t>
            </w:r>
          </w:p>
        </w:tc>
      </w:tr>
      <w:tr w14:paraId="124926DE">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7F7D8106">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1</w:t>
            </w:r>
          </w:p>
        </w:tc>
        <w:tc>
          <w:tcPr>
            <w:tcW w:w="1439" w:type="dxa"/>
            <w:tcBorders>
              <w:top w:val="nil"/>
              <w:left w:val="nil"/>
              <w:bottom w:val="single" w:color="auto" w:sz="4" w:space="0"/>
              <w:right w:val="single" w:color="auto" w:sz="4" w:space="0"/>
            </w:tcBorders>
            <w:shd w:val="clear" w:color="000000" w:fill="FFFFFF"/>
            <w:noWrap w:val="0"/>
            <w:vAlign w:val="center"/>
          </w:tcPr>
          <w:p w14:paraId="5AB79DF4">
            <w:pPr>
              <w:adjustRightInd/>
              <w:snapToGrid/>
              <w:spacing w:after="0"/>
              <w:jc w:val="center"/>
              <w:rPr>
                <w:rFonts w:hint="eastAsia" w:ascii="Times New Roman" w:hAnsi="Times New Roman" w:eastAsia="方正仿宋_GBK" w:cs="Times New Roman"/>
                <w:b/>
                <w:bCs/>
                <w:sz w:val="24"/>
                <w:szCs w:val="24"/>
                <w:highlight w:val="none"/>
              </w:rPr>
            </w:pPr>
          </w:p>
        </w:tc>
        <w:tc>
          <w:tcPr>
            <w:tcW w:w="2855" w:type="dxa"/>
            <w:tcBorders>
              <w:top w:val="nil"/>
              <w:left w:val="nil"/>
              <w:bottom w:val="single" w:color="auto" w:sz="4" w:space="0"/>
              <w:right w:val="single" w:color="auto" w:sz="4" w:space="0"/>
            </w:tcBorders>
            <w:shd w:val="clear" w:color="000000" w:fill="FFFFFF"/>
            <w:noWrap w:val="0"/>
            <w:vAlign w:val="center"/>
          </w:tcPr>
          <w:p w14:paraId="3FA67EFB">
            <w:pPr>
              <w:adjustRightInd/>
              <w:snapToGrid/>
              <w:spacing w:after="0"/>
              <w:jc w:val="center"/>
              <w:rPr>
                <w:rFonts w:hint="default" w:ascii="Times New Roman" w:hAnsi="Times New Roman" w:eastAsia="方正仿宋_GBK" w:cs="Times New Roman"/>
                <w:b/>
                <w:bCs/>
                <w:sz w:val="24"/>
                <w:szCs w:val="24"/>
                <w:highlight w:val="none"/>
              </w:rPr>
            </w:pPr>
          </w:p>
        </w:tc>
        <w:tc>
          <w:tcPr>
            <w:tcW w:w="1266" w:type="dxa"/>
            <w:tcBorders>
              <w:top w:val="nil"/>
              <w:left w:val="nil"/>
              <w:bottom w:val="single" w:color="auto" w:sz="4" w:space="0"/>
              <w:right w:val="single" w:color="auto" w:sz="4" w:space="0"/>
            </w:tcBorders>
            <w:noWrap w:val="0"/>
            <w:vAlign w:val="center"/>
          </w:tcPr>
          <w:p w14:paraId="6E9BDD84">
            <w:pPr>
              <w:adjustRightInd/>
              <w:snapToGrid/>
              <w:spacing w:after="0"/>
              <w:jc w:val="center"/>
              <w:rPr>
                <w:rFonts w:hint="default" w:ascii="Times New Roman" w:hAnsi="Times New Roman" w:eastAsia="方正仿宋_GBK" w:cs="Times New Roman"/>
                <w:b/>
                <w:bCs/>
                <w:sz w:val="24"/>
                <w:szCs w:val="24"/>
                <w:highlight w:val="none"/>
              </w:rPr>
            </w:pPr>
          </w:p>
        </w:tc>
        <w:tc>
          <w:tcPr>
            <w:tcW w:w="984" w:type="dxa"/>
            <w:tcBorders>
              <w:top w:val="nil"/>
              <w:left w:val="nil"/>
              <w:bottom w:val="single" w:color="auto" w:sz="4" w:space="0"/>
              <w:right w:val="single" w:color="auto" w:sz="4" w:space="0"/>
            </w:tcBorders>
            <w:noWrap w:val="0"/>
            <w:vAlign w:val="center"/>
          </w:tcPr>
          <w:p w14:paraId="44BACE0E">
            <w:pPr>
              <w:adjustRightInd/>
              <w:snapToGrid/>
              <w:spacing w:after="0"/>
              <w:jc w:val="center"/>
              <w:rPr>
                <w:rFonts w:hint="default" w:ascii="Times New Roman" w:hAnsi="Times New Roman" w:eastAsia="方正仿宋_GBK" w:cs="Times New Roman"/>
                <w:b/>
                <w:bCs/>
                <w:sz w:val="24"/>
                <w:szCs w:val="24"/>
                <w:highlight w:val="none"/>
              </w:rPr>
            </w:pPr>
          </w:p>
        </w:tc>
        <w:tc>
          <w:tcPr>
            <w:tcW w:w="1125" w:type="dxa"/>
            <w:tcBorders>
              <w:top w:val="nil"/>
              <w:left w:val="nil"/>
              <w:bottom w:val="single" w:color="auto" w:sz="4" w:space="0"/>
              <w:right w:val="single" w:color="auto" w:sz="4" w:space="0"/>
            </w:tcBorders>
            <w:noWrap w:val="0"/>
            <w:vAlign w:val="center"/>
          </w:tcPr>
          <w:p w14:paraId="43DC4492">
            <w:pPr>
              <w:adjustRightInd/>
              <w:snapToGrid/>
              <w:spacing w:after="0"/>
              <w:jc w:val="center"/>
              <w:rPr>
                <w:rFonts w:hint="eastAsia" w:ascii="Times New Roman" w:hAnsi="Times New Roman" w:eastAsia="方正仿宋_GBK" w:cs="Times New Roman"/>
                <w:b/>
                <w:bCs/>
                <w:sz w:val="24"/>
                <w:szCs w:val="24"/>
                <w:highlight w:val="none"/>
              </w:rPr>
            </w:pPr>
          </w:p>
        </w:tc>
        <w:tc>
          <w:tcPr>
            <w:tcW w:w="1151" w:type="dxa"/>
            <w:tcBorders>
              <w:top w:val="nil"/>
              <w:left w:val="nil"/>
              <w:bottom w:val="single" w:color="auto" w:sz="4" w:space="0"/>
              <w:right w:val="single" w:color="auto" w:sz="4" w:space="0"/>
            </w:tcBorders>
            <w:noWrap w:val="0"/>
            <w:vAlign w:val="center"/>
          </w:tcPr>
          <w:p w14:paraId="14CDCCC7">
            <w:pPr>
              <w:adjustRightInd/>
              <w:snapToGrid/>
              <w:spacing w:after="0"/>
              <w:jc w:val="center"/>
              <w:rPr>
                <w:rFonts w:hint="eastAsia" w:ascii="Times New Roman" w:hAnsi="Times New Roman" w:eastAsia="方正仿宋_GBK" w:cs="Times New Roman"/>
                <w:b/>
                <w:bCs/>
                <w:sz w:val="24"/>
                <w:szCs w:val="24"/>
                <w:highlight w:val="none"/>
              </w:rPr>
            </w:pPr>
          </w:p>
        </w:tc>
      </w:tr>
      <w:tr w14:paraId="0C68DFC1">
        <w:tblPrEx>
          <w:tblCellMar>
            <w:top w:w="0" w:type="dxa"/>
            <w:left w:w="108" w:type="dxa"/>
            <w:bottom w:w="0" w:type="dxa"/>
            <w:right w:w="108" w:type="dxa"/>
          </w:tblCellMar>
        </w:tblPrEx>
        <w:trPr>
          <w:trHeight w:val="836" w:hRule="atLeast"/>
          <w:jc w:val="center"/>
        </w:trPr>
        <w:tc>
          <w:tcPr>
            <w:tcW w:w="7295" w:type="dxa"/>
            <w:gridSpan w:val="5"/>
            <w:tcBorders>
              <w:top w:val="nil"/>
              <w:left w:val="single" w:color="auto" w:sz="4" w:space="0"/>
              <w:bottom w:val="single" w:color="auto" w:sz="4" w:space="0"/>
              <w:right w:val="single" w:color="auto" w:sz="4" w:space="0"/>
            </w:tcBorders>
            <w:noWrap w:val="0"/>
            <w:vAlign w:val="center"/>
          </w:tcPr>
          <w:p w14:paraId="1F990F13">
            <w:pPr>
              <w:adjustRightInd/>
              <w:snapToGrid/>
              <w:spacing w:after="0"/>
              <w:jc w:val="left"/>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合同总金额人民币（大写）：</w:t>
            </w:r>
          </w:p>
        </w:tc>
        <w:tc>
          <w:tcPr>
            <w:tcW w:w="2276" w:type="dxa"/>
            <w:gridSpan w:val="2"/>
            <w:tcBorders>
              <w:top w:val="nil"/>
              <w:left w:val="single" w:color="auto" w:sz="4" w:space="0"/>
              <w:bottom w:val="single" w:color="auto" w:sz="4" w:space="0"/>
              <w:right w:val="single" w:color="auto" w:sz="4" w:space="0"/>
            </w:tcBorders>
            <w:noWrap w:val="0"/>
            <w:vAlign w:val="center"/>
          </w:tcPr>
          <w:p w14:paraId="3ADCA0A9">
            <w:pPr>
              <w:adjustRightInd/>
              <w:snapToGrid/>
              <w:spacing w:after="0"/>
              <w:jc w:val="left"/>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w:t>
            </w:r>
          </w:p>
        </w:tc>
      </w:tr>
      <w:tr w14:paraId="2A2DA18B">
        <w:tblPrEx>
          <w:tblCellMar>
            <w:top w:w="0" w:type="dxa"/>
            <w:left w:w="108" w:type="dxa"/>
            <w:bottom w:w="0" w:type="dxa"/>
            <w:right w:w="108" w:type="dxa"/>
          </w:tblCellMar>
        </w:tblPrEx>
        <w:trPr>
          <w:trHeight w:val="716" w:hRule="atLeast"/>
          <w:jc w:val="center"/>
        </w:trPr>
        <w:tc>
          <w:tcPr>
            <w:tcW w:w="9571" w:type="dxa"/>
            <w:gridSpan w:val="7"/>
            <w:tcBorders>
              <w:top w:val="nil"/>
              <w:left w:val="single" w:color="auto" w:sz="4" w:space="0"/>
              <w:bottom w:val="single" w:color="auto" w:sz="4" w:space="0"/>
              <w:right w:val="single" w:color="auto" w:sz="4" w:space="0"/>
            </w:tcBorders>
            <w:noWrap w:val="0"/>
            <w:vAlign w:val="center"/>
          </w:tcPr>
          <w:p w14:paraId="3625AF78">
            <w:pPr>
              <w:adjustRightInd/>
              <w:snapToGrid/>
              <w:spacing w:after="0"/>
              <w:jc w:val="left"/>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备注：以上金额含</w:t>
            </w:r>
            <w:r>
              <w:rPr>
                <w:rFonts w:hint="eastAsia" w:eastAsia="方正仿宋_GBK" w:cs="Times New Roman"/>
                <w:b/>
                <w:bCs/>
                <w:sz w:val="24"/>
                <w:szCs w:val="24"/>
                <w:highlight w:val="none"/>
                <w:lang w:val="en-US" w:eastAsia="zh-CN"/>
              </w:rPr>
              <w:t xml:space="preserve">  </w:t>
            </w:r>
            <w:r>
              <w:rPr>
                <w:rFonts w:hint="eastAsia" w:ascii="Times New Roman" w:hAnsi="Times New Roman" w:eastAsia="方正仿宋_GBK" w:cs="Times New Roman"/>
                <w:b/>
                <w:bCs/>
                <w:sz w:val="24"/>
                <w:szCs w:val="24"/>
                <w:highlight w:val="none"/>
              </w:rPr>
              <w:t>%增值税和运费</w:t>
            </w:r>
          </w:p>
        </w:tc>
      </w:tr>
    </w:tbl>
    <w:p w14:paraId="0FB9DFA4">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rPr>
        <w:t xml:space="preserve">第二条  </w:t>
      </w:r>
      <w:r>
        <w:rPr>
          <w:rFonts w:hint="eastAsia" w:ascii="黑体" w:hAnsi="黑体" w:eastAsia="黑体" w:cs="黑体"/>
          <w:sz w:val="28"/>
          <w:szCs w:val="28"/>
          <w:highlight w:val="none"/>
          <w:lang w:val="en-US" w:eastAsia="zh-CN"/>
        </w:rPr>
        <w:t>服务</w:t>
      </w:r>
      <w:r>
        <w:rPr>
          <w:rFonts w:hint="eastAsia" w:ascii="黑体" w:hAnsi="黑体" w:eastAsia="黑体" w:cs="黑体"/>
          <w:sz w:val="28"/>
          <w:szCs w:val="28"/>
          <w:highlight w:val="none"/>
        </w:rPr>
        <w:t>时间、地点</w:t>
      </w:r>
      <w:r>
        <w:rPr>
          <w:rFonts w:hint="eastAsia" w:ascii="黑体" w:hAnsi="黑体" w:eastAsia="黑体" w:cs="黑体"/>
          <w:sz w:val="28"/>
          <w:szCs w:val="28"/>
          <w:highlight w:val="none"/>
          <w:lang w:eastAsia="zh-CN"/>
        </w:rPr>
        <w:t>、要求</w:t>
      </w:r>
    </w:p>
    <w:p w14:paraId="484AC189">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w:t>
      </w:r>
      <w:r>
        <w:rPr>
          <w:rFonts w:hint="eastAsia" w:ascii="方正仿宋_GBK" w:hAnsi="方正仿宋_GBK" w:eastAsia="方正仿宋_GBK" w:cs="方正仿宋_GBK"/>
          <w:sz w:val="28"/>
          <w:szCs w:val="28"/>
          <w:highlight w:val="none"/>
          <w:lang w:val="en-US" w:eastAsia="zh-CN"/>
        </w:rPr>
        <w:t>服务</w:t>
      </w:r>
      <w:r>
        <w:rPr>
          <w:rFonts w:hint="eastAsia" w:ascii="方正仿宋_GBK" w:hAnsi="方正仿宋_GBK" w:eastAsia="方正仿宋_GBK" w:cs="方正仿宋_GBK"/>
          <w:sz w:val="28"/>
          <w:szCs w:val="28"/>
          <w:highlight w:val="none"/>
        </w:rPr>
        <w:t>时间：</w:t>
      </w:r>
      <w:r>
        <w:rPr>
          <w:rFonts w:hint="eastAsia" w:ascii="方正仿宋_GBK" w:hAnsi="方正仿宋_GBK" w:eastAsia="方正仿宋_GBK" w:cs="方正仿宋_GBK"/>
          <w:sz w:val="28"/>
          <w:szCs w:val="28"/>
          <w:highlight w:val="none"/>
          <w:lang w:val="en-US" w:eastAsia="zh-CN"/>
        </w:rPr>
        <w:t>自接到采购人通知后10日内完成服务项目</w:t>
      </w:r>
      <w:r>
        <w:rPr>
          <w:rFonts w:hint="eastAsia" w:ascii="方正仿宋_GBK" w:hAnsi="方正仿宋_GBK" w:eastAsia="方正仿宋_GBK" w:cs="方正仿宋_GBK"/>
          <w:sz w:val="28"/>
          <w:szCs w:val="28"/>
          <w:highlight w:val="none"/>
        </w:rPr>
        <w:t>。</w:t>
      </w:r>
    </w:p>
    <w:p w14:paraId="480E9EDD">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rPr>
        <w:t>2、</w:t>
      </w:r>
      <w:r>
        <w:rPr>
          <w:rFonts w:hint="eastAsia" w:ascii="方正仿宋_GBK" w:hAnsi="方正仿宋_GBK" w:eastAsia="方正仿宋_GBK" w:cs="方正仿宋_GBK"/>
          <w:sz w:val="28"/>
          <w:szCs w:val="28"/>
          <w:highlight w:val="none"/>
          <w:lang w:val="en-US" w:eastAsia="zh-CN"/>
        </w:rPr>
        <w:t>服务</w:t>
      </w:r>
      <w:r>
        <w:rPr>
          <w:rFonts w:hint="eastAsia" w:ascii="方正仿宋_GBK" w:hAnsi="方正仿宋_GBK" w:eastAsia="方正仿宋_GBK" w:cs="方正仿宋_GBK"/>
          <w:sz w:val="28"/>
          <w:szCs w:val="28"/>
          <w:highlight w:val="none"/>
        </w:rPr>
        <w:t>地点：</w:t>
      </w:r>
      <w:r>
        <w:rPr>
          <w:rFonts w:hint="eastAsia" w:ascii="方正仿宋_GBK" w:hAnsi="方正仿宋_GBK" w:eastAsia="方正仿宋_GBK" w:cs="方正仿宋_GBK"/>
          <w:sz w:val="28"/>
          <w:szCs w:val="28"/>
          <w:highlight w:val="none"/>
          <w:lang w:eastAsia="zh-CN"/>
        </w:rPr>
        <w:t>浙江省绍兴市柯桥区钱滨线二线海塘绍兴市再生能源发展有限公司。</w:t>
      </w:r>
    </w:p>
    <w:p w14:paraId="6DE89810">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highlight w:val="none"/>
          <w:lang w:val="en-US" w:eastAsia="zh-CN"/>
        </w:rPr>
        <w:t>3、服务要求：交货时，应附有相应的装货清单、合格证及相</w:t>
      </w:r>
      <w:r>
        <w:rPr>
          <w:rFonts w:hint="eastAsia" w:ascii="方正仿宋_GBK" w:hAnsi="方正仿宋_GBK" w:eastAsia="方正仿宋_GBK" w:cs="方正仿宋_GBK"/>
          <w:sz w:val="28"/>
          <w:szCs w:val="28"/>
          <w:lang w:val="en-US" w:eastAsia="zh-CN"/>
        </w:rPr>
        <w:t>关技术资料。（如有）</w:t>
      </w:r>
    </w:p>
    <w:p w14:paraId="74C8D758">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default" w:ascii="黑体" w:hAnsi="黑体" w:eastAsia="黑体" w:cs="黑体"/>
          <w:sz w:val="28"/>
          <w:szCs w:val="28"/>
          <w:lang w:val="en-US" w:eastAsia="zh-CN"/>
        </w:rPr>
      </w:pPr>
      <w:r>
        <w:rPr>
          <w:rFonts w:hint="eastAsia" w:ascii="黑体" w:hAnsi="黑体" w:eastAsia="黑体" w:cs="黑体"/>
          <w:sz w:val="28"/>
          <w:szCs w:val="28"/>
        </w:rPr>
        <w:t>第三条 技术要求</w:t>
      </w:r>
      <w:r>
        <w:rPr>
          <w:rFonts w:hint="eastAsia" w:ascii="黑体" w:hAnsi="黑体" w:eastAsia="黑体" w:cs="黑体"/>
          <w:sz w:val="28"/>
          <w:szCs w:val="28"/>
          <w:lang w:val="en-US" w:eastAsia="zh-CN"/>
        </w:rPr>
        <w:t>及工作量</w:t>
      </w:r>
    </w:p>
    <w:p w14:paraId="01B3CAF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2" w:firstLineChars="200"/>
        <w:jc w:val="left"/>
        <w:textAlignment w:val="auto"/>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技术要求：</w:t>
      </w:r>
    </w:p>
    <w:p w14:paraId="3752C14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1、喷砂除锈时必须做好防止扬尘的措施：</w:t>
      </w:r>
    </w:p>
    <w:p w14:paraId="28EEBA3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1）要求在对整个布袋除尘器四周及顶棚做好防止扬尘的措施的基础上，在对每个仓室进行喷砂时仍然须做好防止扬尘的措施，即双层隔离。必须确保喷砂时扬尘不会外溢。</w:t>
      </w:r>
    </w:p>
    <w:p w14:paraId="11AAB8D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2）喷砂时须备有防扬尘的负压装置，扬尘须有效收集不会外溢。</w:t>
      </w:r>
    </w:p>
    <w:p w14:paraId="76656AD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3）喷砂前需对喷雾塔出口圆形水平烟道保温外彩钢板做彻底防护（用彩条布全覆盖在喷雾塔出口圆形水平烟道上，并且覆盖牢固，使所覆盖的彩条布不会因风吹等原因而被掀起）。</w:t>
      </w:r>
    </w:p>
    <w:p w14:paraId="545C2B4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4）事先拆除的四个仓的内外盖板及喷吹管和其他所有设备用彩条布遮盖。</w:t>
      </w:r>
    </w:p>
    <w:p w14:paraId="10A91F1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5）喷砂作业的时间需与其他施工单位错峰进行，规定喷砂时间需在晚上21点以后进行，晚间施工需保证有安全电压等级的足够照明。</w:t>
      </w:r>
    </w:p>
    <w:p w14:paraId="7E1F13B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6）如果喷砂工作达不到采购人要求的，采购人有权制止喷砂工作，待整改合格后方可进行，因此带来的工期延误由服务方负责。如果出现二次以上不按规定的，采购人有权终止合同，由此带来的所有损失由服务方承担。</w:t>
      </w:r>
    </w:p>
    <w:p w14:paraId="2FEE10D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2、每个仓喷砂结束需进行一次全面的清理，角落处用吸尘器清理，整台布袋除尘器喷砂结束后服务方需根据采购人要求对所涉及的区域进行全面彻底的卫生清理。服务方不得以任何理由拒绝或清理不彻底，负责不予工程验收。</w:t>
      </w:r>
    </w:p>
    <w:p w14:paraId="6F196A4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3、喷过的砂落入预先准备抽出布袋的花板孔落入布袋灰斗内由服务方进行收集并且转运至采购人指定地点堆放或处理。</w:t>
      </w:r>
    </w:p>
    <w:p w14:paraId="7A4F33E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4、喷涂前对布袋除尘器布袋花板及仓盖压块螺栓进行防护，保证喷涂时喷涂材料不粘附在龙骨及压块螺栓表面上。</w:t>
      </w:r>
    </w:p>
    <w:p w14:paraId="294F591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5、表面处理要求：</w:t>
      </w:r>
    </w:p>
    <w:p w14:paraId="2BDBC42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1）对检查需腐蚀严重部分钢基体处理。如果钢基体出现穿孔或者较大面积腐蚀情况，防腐前必须进行更换或修补的方法处理。更换或修补的施工材料、工器具及人员由采购人负责。更换或修补结束后需经采购人检查确认合格后服务方再进行打磨喷砂除锈及防腐作业。</w:t>
      </w:r>
    </w:p>
    <w:p w14:paraId="7AD9EDD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 xml:space="preserve">2）采用20目金刚砂对基材表面进行喷砂处理，满足基材表面处理企业标准中SA2.5 &amp;50um的要求。 </w:t>
      </w:r>
    </w:p>
    <w:p w14:paraId="662E2FE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6、喷涂技术要求：</w:t>
      </w:r>
    </w:p>
    <w:p w14:paraId="7838E89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1）表面除锈完成后，立即进行清灰，待作业区清洁度达到2级，开始进行蓝色涂层的底涂喷涂工作。且在涂刷时尽量防止出现滴洒、流挂现象的发生。在涂刷完成第一道底涂后，需要采购人现场检查验收，合格后方可进行后续施工。</w:t>
      </w:r>
    </w:p>
    <w:p w14:paraId="3EAF93A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2）蓝色涂层涂刷完成节点验收后，按上述方法依次进行第二层灰色涂层的涂刷工作。在对设备进行涂刷最后一层之前，应该对涂层进行厚度检查，确认最后一遍喷涂干膜厚度需满足350um-450um要求。</w:t>
      </w:r>
    </w:p>
    <w:p w14:paraId="79EE0B6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7基体的技术要求：</w:t>
      </w:r>
    </w:p>
    <w:p w14:paraId="641594A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1）钢制的设备基体表面不得有伤痕、气孔、夹渣等缺陷，加工表面必须平整，局部凹凸不得超过2mm。</w:t>
      </w:r>
    </w:p>
    <w:p w14:paraId="3260AA4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2）设备底部钢板如有凹凸不平的部位，一定要打磨平整。</w:t>
      </w:r>
    </w:p>
    <w:p w14:paraId="5D27A57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3）对主要结构长期处于潮湿条件下工作的部件表面，其除锈质量必须达到Sa2.5级50um；</w:t>
      </w:r>
    </w:p>
    <w:p w14:paraId="2ADE0C4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4）钢板不得有严重腐蚀斑点、砂眼、气孔、重叠片，制造卡具的残痕要清理磨光。</w:t>
      </w:r>
    </w:p>
    <w:p w14:paraId="2A28F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5）关于焊缝处理：需要先清除焊渣，表面打磨平整，喷砂处理达到企业标准方可涂装材料；</w:t>
      </w:r>
    </w:p>
    <w:p w14:paraId="6F8A0FC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6 ）关于钢件的直角部位：需要进行倒角处理，打磨喷砂后才可进行材料涂装作业；</w:t>
      </w:r>
    </w:p>
    <w:p w14:paraId="064DC3A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8、基体表面清洁度、粗糙度及环境的技术要求：</w:t>
      </w:r>
    </w:p>
    <w:p w14:paraId="4A2D24E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1）表面清洁度等级的评定。表面喷砂：基体金属的表面与ISO8501-1标准中相应的照片进行目视比较评定，为Sa2.5级。</w:t>
      </w:r>
    </w:p>
    <w:p w14:paraId="3A87F49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2）表面粗糙度等级的评定。钢管表面还需具有一定的表面粗糙性，粗糙度应在50μm-125μm之间。</w:t>
      </w:r>
    </w:p>
    <w:p w14:paraId="67D890B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3）底材温度应高于露点温度3℃以上，相对湿度不低于85%度，以免底材的凝露影响涂料的附着力；环境的持续温度应高于5℃，保证材料固化。</w:t>
      </w:r>
    </w:p>
    <w:p w14:paraId="39405D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9、为通过优选方案做到一次防腐，除尘器净气室在3年周期内基材厚度不减薄,防腐部位无漏点的目标，故所使用的防腐材料需具有优异的耐温性，抗腐蚀性，高韧性和耐磨损等特点，对该项目防腐材料技术要求如下：</w:t>
      </w:r>
    </w:p>
    <w:p w14:paraId="35F6E3C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1）所使用的防腐材料须在高温及高硫工况下其综合性能优势明显，耐温程度需达到250℃，材料需有出厂合格证，须有国家涂料质量检验检测中心认可并出具的相关检验检测报告。</w:t>
      </w:r>
    </w:p>
    <w:p w14:paraId="47A727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2）防腐材料可长期承受冷热交替运行，不出现材料损伤，具有抗腐蚀，抗低温结露，可耐5%~50%浓度区间的酸碱腐蚀和多种化学介质，抗氯离子，满足含水率高、成分复杂的烟气，并出具国家实验室检测报告。</w:t>
      </w:r>
    </w:p>
    <w:p w14:paraId="47BCB00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3）防腐材料在具有防腐性的同时兼具高韧性及高耐磨性，具有高强度粘附性能，拉拔强度达到25Mpa，混合粘度达到24000cps。</w:t>
      </w:r>
    </w:p>
    <w:p w14:paraId="2D4B16F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4）双组份喷涂型,100%固含量,0️溶剂添加,要求防腐寿命36个月以上，且必须为阻燃型材料，为保证防腐工程质量，防腐材料必须要通过国家涂料质量检测检验中心检验，出具检测报告，以下为检验分项及技术数据要求：</w:t>
      </w:r>
    </w:p>
    <w:p w14:paraId="51EA2F0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4.1）耐中性盐雾试验 168h要求：不起泡、不开裂、不脱落、不生锈 168h未起泡、未开裂、未脱落、未生锈，检验标准为GB/T1771-2007 GB/T1766-2008。</w:t>
      </w:r>
    </w:p>
    <w:p w14:paraId="3C9B504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4.2）冷热交替试验(3次) 要求：不起泡、不开裂、不剥落、未起泡、未开裂、未剥落，检验标准为GB/T 27806 -2011中5.13。</w:t>
      </w:r>
    </w:p>
    <w:p w14:paraId="6762171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4.3）耐酸性(浸入10%的盐酸溶液中7d) 要求：不起泡、不生锈、不脱落、未起泡、未生锈、未脱落 ，检验标准为GB/T 9274-1988甲法GB/T1766-2008。</w:t>
      </w:r>
    </w:p>
    <w:p w14:paraId="7D48980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4.4）耐酸性(浸入10%的硫酸溶液中7d) 要求：不起泡、不生锈、不脱落、未起泡、未生锈、未脱落，检验标准为GB/T9274-1988甲法GB/T1766-2008。</w:t>
      </w:r>
    </w:p>
    <w:p w14:paraId="57FC02A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4.5）耐酸性（浸入30%的硫酸溶液+10%盐酸混合溶液中7d）要求： 不起泡、不生锈、不脱落、未起泡、未生锈、未脱落，检验标准为GB/T9274-1988甲法GB/T1766-2008。</w:t>
      </w:r>
    </w:p>
    <w:p w14:paraId="0095F4C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4.6）耐碱性(浸入10%的氢氧化钠溶液中7d) 要求：不起泡、不生锈、不脱落、未起泡、未生锈、未脱落，检验标准为GB/T9274-1988甲法GB/T1766-2008。</w:t>
      </w:r>
    </w:p>
    <w:p w14:paraId="22BE134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4.7）拉伸剪切强度，MPa要求：大于8，检验标准为GB/T 7124-2008。</w:t>
      </w:r>
    </w:p>
    <w:p w14:paraId="497DD06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4.8）附着力(拉开法)，MPa要求： (22.5~27.5),100% ，检验标准为GB/T 5210-2006。</w:t>
      </w:r>
    </w:p>
    <w:p w14:paraId="2F25C98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10、EHS环保健康合规要求：</w:t>
      </w:r>
    </w:p>
    <w:p w14:paraId="554EEDE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1）所喷涂的材料须提供ROHS和REACH检测，且合规通过的最终报告，VOC检测含量不超过60g/L,检测机构为国家涂料质量检测检验中心。在施工时防腐涂料采购人可随机取样送有相应检验检测机构进行核验，若检测数据与之前提交的材料和报告不符，施工方须更换性能匹配的材料。采购人有权终止该合同，因使用防腐材料不符合要求而带来的所有损失均由服务方承担。</w:t>
      </w:r>
    </w:p>
    <w:p w14:paraId="76475AE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2）所喷涂的材料须提供选用品牌材料的厂家产品合格证，出具盖章版防腐材料性能承诺书。</w:t>
      </w:r>
    </w:p>
    <w:p w14:paraId="1A99399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11、施工工艺：材料涂装表面须盐分测定：</w:t>
      </w:r>
    </w:p>
    <w:p w14:paraId="0CCBB3D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钢基材表面的清洁度评价还包括可溶性盐分的检测:可溶性盐分浓度应&lt;5μg/cm2,可按照GB/T 18570.6《涂装涂料或相关产品前钢基材的基材处理表面清洁度的评定测试第6部分:可溶性杂质的取样 --- Bresle法》中的Bresle法或GB/T 18570.9《涂装涂料或相关产品前钢基材的基材处理 表面清洁度的评定测试第9部分:水溶性盐的现场电导率测定法》,也可参照ISO8502-6或ISO 8502-9电导率法进行测定。</w:t>
      </w:r>
    </w:p>
    <w:p w14:paraId="5B3F025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12、喷砂除锈，要求达到Sa2.5且粗糙度大于75um。</w:t>
      </w:r>
    </w:p>
    <w:p w14:paraId="722108C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13、钢基材表面清洁度进行表面灰尘的检测:压敏胶带法检测应达到2级,即灰尘在正常视觉下可以观测到(颗粒直径通常在50μm-100μm之间),3级及以上不合格(参见ISO 8502-3《涂装涂料或相关产品前钢基材的基材处理 表面清洁度评定的测试 第3部分:涂装前钢基材表面灰尘的评估(压敏胶带法)》)。</w:t>
      </w:r>
    </w:p>
    <w:p w14:paraId="4B35FA0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14、两层喷涂涂装，单层干膜厚度200～250um，总干膜厚度400-500um。</w:t>
      </w:r>
    </w:p>
    <w:p w14:paraId="67D5553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15、电火花3KV查验消缺，有缺陷的地方须重新涂装直至检验合格。</w:t>
      </w:r>
    </w:p>
    <w:p w14:paraId="0E08C24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16、现场材料涂装检验需要持有AMPP CIP-2级及以上国际认证涂装检验员,驻场负责关键工序节点检验,质检验收签字确认方能合格。</w:t>
      </w:r>
    </w:p>
    <w:p w14:paraId="58D3B40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17、因该项目牵着到环保设备的维护，故对拟投标方有以下要求：</w:t>
      </w:r>
    </w:p>
    <w:p w14:paraId="4DF814C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1）需要有类似相同较好业绩及技术经验的投标方参与投标，故拟投标方需有垃圾焚烧发电厂烟气系统喷砂除锈及防腐三家及以上业绩的单位方有投标资格（业绩以合同为准）。</w:t>
      </w:r>
    </w:p>
    <w:p w14:paraId="2D67DA0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2）为保证拟标方对所要施工区域部位的全面了解，故拟标方需到现场进行详细了解施工工作量及施工区域工作环境等，如果未到现场了解的则被视为盲目投标，出现类视现象的被视为无效投标。拟标方到现场察看及评估时采购人不得以任何理由拒绝拟标方所提出的问题。拟标方到现场了解需在签到表上签字，如无签到则取消投标资格。</w:t>
      </w:r>
    </w:p>
    <w:p w14:paraId="754CE3E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3）达不到采购人所规定的相关技术要求和施工工艺的被视为无效投标。</w:t>
      </w:r>
    </w:p>
    <w:p w14:paraId="63E2D76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 xml:space="preserve">4）弄虚作假一经发现确认则被视为无效投标。 </w:t>
      </w:r>
    </w:p>
    <w:p w14:paraId="219F03D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18、中标单位需在合同签订之日起三天内向采购人提供盖章电子版施工方案，并经采购人审核通过后，再办理采购人要求的相关施工工作流程后服务方才可以进行施工。</w:t>
      </w:r>
    </w:p>
    <w:p w14:paraId="3872512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19、特殊工种需持证上岗，现场配备专职安全员，作业人员需有在有效期内的体检报告及劳动保险。服务方需在每天开工前严格执行班前会制度，项目负责人特别需向工作班成员交代清楚现场需注意的安全事项，服务方任何安全事故均与采购人无关由服务方自行承担。</w:t>
      </w:r>
    </w:p>
    <w:p w14:paraId="24847CF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20、该工程单台布袋除尘器施工工期为十天（以采购人交给服务方可以施工的工作面开始计算），为使服务方在保证安全质量的前提下能够按进度及时完成约定的工作量，故如超工期一天考核人民币5000元，以此类推。</w:t>
      </w:r>
    </w:p>
    <w:p w14:paraId="0E3CA01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21、该工程项目质保期为36个月（以项目验收合格之日起计算），质保期内要求，基材厚度不变，涂层无腐蚀脱落，起层和开裂，防腐材料喷涂区不出现腐蚀穿孔等现象，36个月内如果因喷涂工艺或材料质量等原因而造成的腐蚀有服务方负责处理并需经采购人验收认可，严重时则取消质保金的返还。</w:t>
      </w:r>
    </w:p>
    <w:p w14:paraId="3426718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22、因该项目所使用的防腐材料需有中标方承诺的性能检测数据，为使甲乙双方公平合作，故中标方需根据商务约定缴纳一定金额的履约保证金。</w:t>
      </w:r>
    </w:p>
    <w:p w14:paraId="4A66CBA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23、该工程的实际施工面积需由有资质的第三方审计机构出具的数据为准（为最终的结算面积），考虑到布袋除尘器投运后无法进行审计测量，故在施工时委托第三方审计机构进行审计确定工作量及工作面积。</w:t>
      </w:r>
    </w:p>
    <w:p w14:paraId="317EA7B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single"/>
          <w:lang w:val="en-US" w:eastAsia="zh-CN" w:bidi="ar-SA"/>
        </w:rPr>
      </w:pPr>
      <w:r>
        <w:rPr>
          <w:rFonts w:hint="eastAsia" w:ascii="仿宋" w:hAnsi="仿宋" w:eastAsia="仿宋" w:cs="仿宋"/>
          <w:kern w:val="2"/>
          <w:sz w:val="28"/>
          <w:szCs w:val="28"/>
          <w:u w:val="none"/>
          <w:lang w:val="en-US" w:eastAsia="zh-CN" w:bidi="ar-SA"/>
        </w:rPr>
        <w:t>24、附#2布袋除尘器抽检照片及预估单台布袋除尘器净气室的施工工作面积。</w:t>
      </w:r>
    </w:p>
    <w:p w14:paraId="5B03C134">
      <w:pPr>
        <w:pStyle w:val="13"/>
        <w:snapToGrid/>
        <w:spacing w:line="360" w:lineRule="auto"/>
        <w:rPr>
          <w:rFonts w:hint="eastAsia" w:ascii="仿宋" w:hAnsi="仿宋" w:eastAsia="仿宋" w:cs="仿宋"/>
          <w:b/>
          <w:bCs/>
          <w:sz w:val="28"/>
          <w:szCs w:val="28"/>
          <w:u w:val="none"/>
          <w:lang w:val="en-US" w:eastAsia="zh-CN"/>
        </w:rPr>
      </w:pPr>
      <w:r>
        <w:rPr>
          <w:rFonts w:hint="eastAsia" w:ascii="仿宋" w:hAnsi="仿宋" w:eastAsia="仿宋" w:cs="仿宋"/>
          <w:b/>
          <w:bCs/>
          <w:sz w:val="28"/>
          <w:szCs w:val="28"/>
          <w:u w:val="none"/>
          <w:lang w:val="en-US" w:eastAsia="zh-CN"/>
        </w:rPr>
        <w:t>工作量：</w:t>
      </w:r>
    </w:p>
    <w:p w14:paraId="5F035875">
      <w:pPr>
        <w:widowControl w:val="0"/>
        <w:snapToGrid/>
        <w:spacing w:line="360" w:lineRule="auto"/>
        <w:ind w:firstLine="560" w:firstLineChars="200"/>
        <w:jc w:val="both"/>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1、采购人负责施工范围：</w:t>
      </w:r>
    </w:p>
    <w:p w14:paraId="5C53D6E2">
      <w:pPr>
        <w:widowControl w:val="0"/>
        <w:snapToGrid/>
        <w:spacing w:line="360" w:lineRule="auto"/>
        <w:ind w:firstLine="560" w:firstLineChars="200"/>
        <w:jc w:val="both"/>
        <w:rPr>
          <w:rFonts w:hint="eastAsia" w:ascii="仿宋" w:hAnsi="仿宋" w:eastAsia="仿宋" w:cs="仿宋"/>
          <w:kern w:val="2"/>
          <w:sz w:val="28"/>
          <w:szCs w:val="28"/>
          <w:highlight w:val="none"/>
          <w:u w:val="none"/>
          <w:lang w:val="en-US" w:eastAsia="zh-CN" w:bidi="ar-SA"/>
        </w:rPr>
      </w:pPr>
      <w:r>
        <w:rPr>
          <w:rFonts w:hint="eastAsia" w:ascii="仿宋" w:hAnsi="仿宋" w:eastAsia="仿宋" w:cs="仿宋"/>
          <w:kern w:val="2"/>
          <w:sz w:val="28"/>
          <w:szCs w:val="28"/>
          <w:u w:val="none"/>
          <w:lang w:val="en-US" w:eastAsia="zh-CN" w:bidi="ar-SA"/>
        </w:rPr>
        <w:t>1）本次#2布袋除尘器8个仓净气室修补及更换的范围包括净气室内部四周的隔</w:t>
      </w:r>
      <w:r>
        <w:rPr>
          <w:rFonts w:hint="eastAsia" w:ascii="仿宋" w:hAnsi="仿宋" w:eastAsia="仿宋" w:cs="仿宋"/>
          <w:kern w:val="2"/>
          <w:sz w:val="28"/>
          <w:szCs w:val="28"/>
          <w:highlight w:val="none"/>
          <w:u w:val="none"/>
          <w:lang w:val="en-US" w:eastAsia="zh-CN" w:bidi="ar-SA"/>
        </w:rPr>
        <w:t>板、内部的加强件、连接件、支撑件及布袋花板与侧板折角处等部位，支撑板测量厚度低于3.5mm的则进行整块更换。修补或更换的材料为Q235B厚度5MM的碳钢钢板，用满焊焊接，此项工作由采购人负责。</w:t>
      </w:r>
    </w:p>
    <w:p w14:paraId="4BB39887">
      <w:pPr>
        <w:widowControl w:val="0"/>
        <w:snapToGrid/>
        <w:spacing w:line="360" w:lineRule="auto"/>
        <w:ind w:firstLine="560" w:firstLineChars="200"/>
        <w:jc w:val="both"/>
        <w:rPr>
          <w:rFonts w:hint="eastAsia" w:ascii="仿宋" w:hAnsi="仿宋" w:eastAsia="仿宋" w:cs="仿宋"/>
          <w:kern w:val="2"/>
          <w:sz w:val="28"/>
          <w:szCs w:val="28"/>
          <w:highlight w:val="none"/>
          <w:u w:val="none"/>
          <w:lang w:val="en-US" w:eastAsia="zh-CN" w:bidi="ar-SA"/>
        </w:rPr>
      </w:pPr>
      <w:r>
        <w:rPr>
          <w:rFonts w:hint="eastAsia" w:ascii="仿宋" w:hAnsi="仿宋" w:eastAsia="仿宋" w:cs="仿宋"/>
          <w:kern w:val="2"/>
          <w:sz w:val="28"/>
          <w:szCs w:val="28"/>
          <w:highlight w:val="none"/>
          <w:u w:val="none"/>
          <w:lang w:val="en-US" w:eastAsia="zh-CN" w:bidi="ar-SA"/>
        </w:rPr>
        <w:t>2）#2布袋除尘器8个仓净气室的内外仓盖及喷吹管的拆除和回装由采购人负责。</w:t>
      </w:r>
    </w:p>
    <w:p w14:paraId="4C7569C0">
      <w:pPr>
        <w:widowControl w:val="0"/>
        <w:snapToGrid/>
        <w:spacing w:line="360" w:lineRule="auto"/>
        <w:ind w:firstLine="560" w:firstLineChars="200"/>
        <w:jc w:val="both"/>
        <w:rPr>
          <w:rFonts w:hint="eastAsia" w:ascii="仿宋" w:hAnsi="仿宋" w:eastAsia="仿宋" w:cs="仿宋"/>
          <w:kern w:val="2"/>
          <w:sz w:val="28"/>
          <w:szCs w:val="28"/>
          <w:highlight w:val="none"/>
          <w:u w:val="none"/>
          <w:lang w:val="en-US" w:eastAsia="zh-CN" w:bidi="ar-SA"/>
        </w:rPr>
      </w:pPr>
      <w:r>
        <w:rPr>
          <w:rFonts w:hint="eastAsia" w:ascii="仿宋" w:hAnsi="仿宋" w:eastAsia="仿宋" w:cs="仿宋"/>
          <w:kern w:val="2"/>
          <w:sz w:val="28"/>
          <w:szCs w:val="28"/>
          <w:highlight w:val="none"/>
          <w:u w:val="none"/>
          <w:lang w:val="en-US" w:eastAsia="zh-CN" w:bidi="ar-SA"/>
        </w:rPr>
        <w:t>2、服务方负责施工范围：</w:t>
      </w:r>
    </w:p>
    <w:p w14:paraId="4CC5C8BA">
      <w:pPr>
        <w:widowControl w:val="0"/>
        <w:snapToGrid/>
        <w:spacing w:line="360" w:lineRule="auto"/>
        <w:ind w:firstLine="560" w:firstLineChars="200"/>
        <w:jc w:val="both"/>
        <w:rPr>
          <w:rFonts w:hint="eastAsia" w:ascii="仿宋" w:hAnsi="仿宋" w:eastAsia="仿宋" w:cs="仿宋"/>
          <w:kern w:val="2"/>
          <w:sz w:val="28"/>
          <w:szCs w:val="28"/>
          <w:highlight w:val="none"/>
          <w:u w:val="none"/>
          <w:lang w:val="en-US" w:eastAsia="zh-CN" w:bidi="ar-SA"/>
        </w:rPr>
      </w:pPr>
      <w:r>
        <w:rPr>
          <w:rFonts w:hint="eastAsia" w:ascii="仿宋" w:hAnsi="仿宋" w:eastAsia="仿宋" w:cs="仿宋"/>
          <w:kern w:val="2"/>
          <w:sz w:val="28"/>
          <w:szCs w:val="28"/>
          <w:highlight w:val="none"/>
          <w:u w:val="none"/>
          <w:lang w:val="en-US" w:eastAsia="zh-CN" w:bidi="ar-SA"/>
        </w:rPr>
        <w:t>1）本次#2布袋除尘器净气室的喷砂除锈防腐范围包括对净气室内部四周隔板、内部加强件、连接件、支撑件及布袋花板与侧板折角处等部位。</w:t>
      </w:r>
    </w:p>
    <w:p w14:paraId="41F8B853">
      <w:pPr>
        <w:widowControl w:val="0"/>
        <w:snapToGrid/>
        <w:spacing w:line="360" w:lineRule="auto"/>
        <w:ind w:firstLine="560" w:firstLineChars="200"/>
        <w:jc w:val="both"/>
        <w:rPr>
          <w:rFonts w:hint="eastAsia" w:ascii="仿宋" w:hAnsi="仿宋" w:eastAsia="仿宋" w:cs="仿宋"/>
          <w:kern w:val="2"/>
          <w:sz w:val="28"/>
          <w:szCs w:val="28"/>
          <w:highlight w:val="none"/>
          <w:u w:val="none"/>
          <w:lang w:val="en-US" w:eastAsia="zh-CN" w:bidi="ar-SA"/>
        </w:rPr>
      </w:pPr>
      <w:r>
        <w:rPr>
          <w:rFonts w:hint="eastAsia" w:ascii="仿宋" w:hAnsi="仿宋" w:eastAsia="仿宋" w:cs="仿宋"/>
          <w:kern w:val="2"/>
          <w:sz w:val="28"/>
          <w:szCs w:val="28"/>
          <w:highlight w:val="none"/>
          <w:u w:val="none"/>
          <w:lang w:val="en-US" w:eastAsia="zh-CN" w:bidi="ar-SA"/>
        </w:rPr>
        <w:t>2）此次#2布袋除尘器净气室的喷砂除锈防腐工作增加了对各净气室隔板立柱、支撑板立柱、喷吹管固定支架的喷砂除锈及防腐面积，与#1、#3布袋除尘器净气室的喷砂除锈防腐同比增加防腐面积约60㎡左右，即约550㎡左右（具体实际施工面积以第三方审计面积为准）。</w:t>
      </w:r>
    </w:p>
    <w:p w14:paraId="5714C2B6">
      <w:pPr>
        <w:widowControl w:val="0"/>
        <w:snapToGrid/>
        <w:spacing w:line="360" w:lineRule="auto"/>
        <w:ind w:firstLine="560" w:firstLineChars="200"/>
        <w:jc w:val="both"/>
        <w:rPr>
          <w:rFonts w:hint="eastAsia" w:ascii="仿宋" w:hAnsi="仿宋" w:eastAsia="仿宋" w:cs="仿宋"/>
          <w:kern w:val="2"/>
          <w:sz w:val="28"/>
          <w:szCs w:val="28"/>
          <w:highlight w:val="none"/>
          <w:u w:val="none"/>
          <w:lang w:val="en-US" w:eastAsia="zh-CN" w:bidi="ar-SA"/>
        </w:rPr>
      </w:pPr>
      <w:r>
        <w:rPr>
          <w:rFonts w:hint="eastAsia" w:ascii="仿宋" w:hAnsi="仿宋" w:eastAsia="仿宋" w:cs="仿宋"/>
          <w:kern w:val="2"/>
          <w:sz w:val="28"/>
          <w:szCs w:val="28"/>
          <w:highlight w:val="none"/>
          <w:u w:val="none"/>
          <w:lang w:val="en-US" w:eastAsia="zh-CN" w:bidi="ar-SA"/>
        </w:rPr>
        <w:t>3）施工前需对布袋进行有效的防护，保证喷砂不掉入布袋内，保证防腐喷涂时不会粘附在布袋及布袋龙骨上。</w:t>
      </w:r>
    </w:p>
    <w:p w14:paraId="78C5F5A2">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仿宋" w:hAnsi="仿宋" w:eastAsia="仿宋" w:cs="仿宋"/>
          <w:kern w:val="2"/>
          <w:sz w:val="28"/>
          <w:szCs w:val="28"/>
          <w:highlight w:val="none"/>
          <w:u w:val="none"/>
          <w:lang w:val="en-US" w:eastAsia="zh-CN" w:bidi="ar-SA"/>
        </w:rPr>
        <w:t>4）#2布袋除尘器8个仓净气室内部四周隔板和支撑板，内部的加强件、连接件、支撑件及布袋花板与侧板折角处及喷吹管的固定支架的喷砂除锈及防腐喷涂所涉及的工器具，材料，人员均由服务方方负责。工完料净场地清理由服务方负责。</w:t>
      </w:r>
    </w:p>
    <w:p w14:paraId="0EA0B714">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rPr>
      </w:pPr>
      <w:r>
        <w:rPr>
          <w:rFonts w:hint="eastAsia" w:ascii="黑体" w:hAnsi="黑体" w:eastAsia="黑体" w:cs="黑体"/>
          <w:sz w:val="28"/>
          <w:szCs w:val="28"/>
          <w:highlight w:val="none"/>
        </w:rPr>
        <w:t xml:space="preserve">第四条 合同价格   </w:t>
      </w:r>
    </w:p>
    <w:p w14:paraId="57C42B15">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合同总金额人民币（大写）</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元整，本合同为固定</w:t>
      </w:r>
      <w:r>
        <w:rPr>
          <w:rFonts w:hint="eastAsia" w:ascii="方正仿宋_GBK" w:hAnsi="方正仿宋_GBK" w:eastAsia="方正仿宋_GBK" w:cs="方正仿宋_GBK"/>
          <w:sz w:val="28"/>
          <w:szCs w:val="28"/>
          <w:highlight w:val="none"/>
          <w:lang w:val="en-US" w:eastAsia="zh-CN"/>
        </w:rPr>
        <w:t>单</w:t>
      </w:r>
      <w:r>
        <w:rPr>
          <w:rFonts w:hint="eastAsia" w:ascii="方正仿宋_GBK" w:hAnsi="方正仿宋_GBK" w:eastAsia="方正仿宋_GBK" w:cs="方正仿宋_GBK"/>
          <w:sz w:val="28"/>
          <w:szCs w:val="28"/>
          <w:highlight w:val="none"/>
        </w:rPr>
        <w:t>价合同，金额包含包装费、运费、税金、保险费等， 供需双方不能因市场价格变化而调整合同价。</w:t>
      </w:r>
    </w:p>
    <w:p w14:paraId="0CE35C6C">
      <w:pPr>
        <w:pStyle w:val="35"/>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付款方式</w:t>
      </w:r>
    </w:p>
    <w:p w14:paraId="4D8B9D94">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kern w:val="2"/>
          <w:sz w:val="28"/>
          <w:szCs w:val="28"/>
          <w:highlight w:val="none"/>
        </w:rPr>
      </w:pPr>
      <w:r>
        <w:rPr>
          <w:rFonts w:hint="eastAsia" w:ascii="方正仿宋_GBK" w:hAnsi="方正仿宋_GBK" w:eastAsia="方正仿宋_GBK" w:cs="方正仿宋_GBK"/>
          <w:color w:val="auto"/>
          <w:kern w:val="2"/>
          <w:sz w:val="28"/>
          <w:szCs w:val="28"/>
          <w:highlight w:val="none"/>
          <w:lang w:val="en-US" w:eastAsia="zh-CN"/>
        </w:rPr>
        <w:t>项目完成且经由采购人验收合格后，根据第三方审计机构出具的数据为最终的结算面积进行结算，结算总金额不得超过合同预估总金额。结算完成后服务方提供经双方确认的增值税专用发票，采购人自收到准确发票后，于次二月支付至合同总价（实际平方数×固定单价）的90%，服务方未按采购人财务要求提供发票的，采购人有权顺延付款且不视为违约。服务方需提供三年质保，其剩余10%尾款自动转为质保金，于质保期到期后支付，质保期从采购人最终验收合格之日起计算。</w:t>
      </w:r>
    </w:p>
    <w:p w14:paraId="1DAED00E">
      <w:pPr>
        <w:pStyle w:val="35"/>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验收标准</w:t>
      </w:r>
    </w:p>
    <w:p w14:paraId="66971CD6">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eastAsia="zh-CN"/>
        </w:rPr>
        <w:t>供方应提供相应的送货单，采购方</w:t>
      </w:r>
      <w:r>
        <w:rPr>
          <w:rFonts w:hint="eastAsia" w:ascii="方正仿宋_GBK" w:hAnsi="方正仿宋_GBK" w:eastAsia="方正仿宋_GBK" w:cs="方正仿宋_GBK"/>
          <w:sz w:val="28"/>
          <w:szCs w:val="28"/>
          <w:highlight w:val="none"/>
        </w:rPr>
        <w:t>按</w:t>
      </w:r>
      <w:r>
        <w:rPr>
          <w:rFonts w:hint="eastAsia" w:ascii="方正仿宋_GBK" w:hAnsi="方正仿宋_GBK" w:eastAsia="方正仿宋_GBK" w:cs="方正仿宋_GBK"/>
          <w:sz w:val="28"/>
          <w:szCs w:val="28"/>
          <w:highlight w:val="none"/>
          <w:lang w:eastAsia="zh-CN"/>
        </w:rPr>
        <w:t>相关</w:t>
      </w:r>
      <w:r>
        <w:rPr>
          <w:rFonts w:hint="eastAsia" w:ascii="方正仿宋_GBK" w:hAnsi="方正仿宋_GBK" w:eastAsia="方正仿宋_GBK" w:cs="方正仿宋_GBK"/>
          <w:sz w:val="28"/>
          <w:szCs w:val="28"/>
          <w:highlight w:val="none"/>
        </w:rPr>
        <w:t>技术协议</w:t>
      </w:r>
      <w:r>
        <w:rPr>
          <w:rFonts w:hint="eastAsia" w:ascii="方正仿宋_GBK" w:hAnsi="方正仿宋_GBK" w:eastAsia="方正仿宋_GBK" w:cs="方正仿宋_GBK"/>
          <w:sz w:val="28"/>
          <w:szCs w:val="28"/>
          <w:highlight w:val="none"/>
          <w:lang w:eastAsia="zh-CN"/>
        </w:rPr>
        <w:t>、行业规范或</w:t>
      </w:r>
      <w:r>
        <w:rPr>
          <w:rFonts w:hint="eastAsia" w:ascii="方正仿宋_GBK" w:hAnsi="方正仿宋_GBK" w:eastAsia="方正仿宋_GBK" w:cs="方正仿宋_GBK"/>
          <w:sz w:val="28"/>
          <w:szCs w:val="28"/>
          <w:highlight w:val="none"/>
        </w:rPr>
        <w:t>国家标准</w:t>
      </w:r>
      <w:r>
        <w:rPr>
          <w:rFonts w:hint="eastAsia" w:ascii="方正仿宋_GBK" w:hAnsi="方正仿宋_GBK" w:eastAsia="方正仿宋_GBK" w:cs="方正仿宋_GBK"/>
          <w:sz w:val="28"/>
          <w:szCs w:val="28"/>
          <w:highlight w:val="none"/>
          <w:lang w:eastAsia="zh-CN"/>
        </w:rPr>
        <w:t>进行</w:t>
      </w:r>
      <w:r>
        <w:rPr>
          <w:rFonts w:hint="eastAsia" w:ascii="方正仿宋_GBK" w:hAnsi="方正仿宋_GBK" w:eastAsia="方正仿宋_GBK" w:cs="方正仿宋_GBK"/>
          <w:sz w:val="28"/>
          <w:szCs w:val="28"/>
          <w:highlight w:val="none"/>
        </w:rPr>
        <w:t>验收，</w:t>
      </w:r>
      <w:r>
        <w:rPr>
          <w:rFonts w:hint="eastAsia" w:ascii="方正仿宋_GBK" w:hAnsi="方正仿宋_GBK" w:eastAsia="方正仿宋_GBK" w:cs="方正仿宋_GBK"/>
          <w:sz w:val="28"/>
          <w:szCs w:val="28"/>
          <w:highlight w:val="none"/>
          <w:lang w:eastAsia="zh-CN"/>
        </w:rPr>
        <w:t>验收标准以严格者为基准，规格、质量等应符合相关质量标准。</w:t>
      </w:r>
      <w:r>
        <w:rPr>
          <w:rFonts w:hint="eastAsia" w:ascii="方正仿宋_GBK" w:hAnsi="方正仿宋_GBK" w:eastAsia="方正仿宋_GBK" w:cs="方正仿宋_GBK"/>
          <w:sz w:val="28"/>
          <w:szCs w:val="28"/>
          <w:highlight w:val="none"/>
        </w:rPr>
        <w:t xml:space="preserve">到厂验收，只能视为初步验收，即可合同要求予以接收，并不能视为供方对其产品在质保期内损坏所应负责任解除的凭据。  </w:t>
      </w:r>
    </w:p>
    <w:p w14:paraId="16639EA4">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highlight w:val="none"/>
        </w:rPr>
      </w:pPr>
      <w:r>
        <w:rPr>
          <w:rFonts w:hint="eastAsia" w:ascii="方正仿宋_GBK" w:hAnsi="方正仿宋_GBK" w:eastAsia="方正仿宋_GBK" w:cs="方正仿宋_GBK"/>
          <w:sz w:val="28"/>
          <w:szCs w:val="28"/>
          <w:highlight w:val="none"/>
          <w:lang w:eastAsia="zh-CN"/>
        </w:rPr>
        <w:t>若发现质量不合格者，采购方有权拒收，并视为材料并未到场。供方应无条件将不合格货品运出现场，由此产生的相关费用及给采购方造成的一切损失由供货方承担。</w:t>
      </w:r>
      <w:r>
        <w:rPr>
          <w:rFonts w:hint="eastAsia" w:ascii="方正仿宋_GBK" w:hAnsi="方正仿宋_GBK" w:eastAsia="方正仿宋_GBK" w:cs="方正仿宋_GBK"/>
          <w:sz w:val="28"/>
          <w:szCs w:val="28"/>
          <w:highlight w:val="none"/>
        </w:rPr>
        <w:t xml:space="preserve"> </w:t>
      </w:r>
      <w:r>
        <w:rPr>
          <w:rFonts w:hint="eastAsia"/>
          <w:highlight w:val="none"/>
        </w:rPr>
        <w:t xml:space="preserve">                                                                                                                                 </w:t>
      </w:r>
    </w:p>
    <w:p w14:paraId="4DF38F36">
      <w:pPr>
        <w:pStyle w:val="35"/>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highlight w:val="none"/>
          <w:lang w:val="en-US" w:eastAsia="zh-CN" w:bidi="ar-SA"/>
        </w:rPr>
        <w:t>第七条 包装标准、包装物的</w:t>
      </w:r>
      <w:r>
        <w:rPr>
          <w:rFonts w:hint="eastAsia" w:ascii="黑体" w:hAnsi="黑体" w:eastAsia="黑体" w:cs="黑体"/>
          <w:kern w:val="2"/>
          <w:sz w:val="28"/>
          <w:szCs w:val="28"/>
          <w:lang w:val="en-US" w:eastAsia="zh-CN" w:bidi="ar-SA"/>
        </w:rPr>
        <w:t>供应与回收</w:t>
      </w:r>
    </w:p>
    <w:p w14:paraId="799C063F">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13561248">
      <w:pPr>
        <w:pStyle w:val="35"/>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highlight w:val="none"/>
          <w:lang w:val="en-US" w:eastAsia="zh-CN"/>
        </w:rPr>
      </w:pPr>
      <w:r>
        <w:rPr>
          <w:rFonts w:hint="eastAsia" w:ascii="黑体" w:hAnsi="黑体" w:eastAsia="黑体" w:cs="黑体"/>
          <w:sz w:val="28"/>
          <w:szCs w:val="28"/>
          <w:lang w:val="en-US" w:eastAsia="zh-CN"/>
        </w:rPr>
        <w:t>第</w:t>
      </w:r>
      <w:r>
        <w:rPr>
          <w:rFonts w:hint="eastAsia" w:ascii="黑体" w:hAnsi="黑体" w:eastAsia="黑体" w:cs="黑体"/>
          <w:sz w:val="28"/>
          <w:szCs w:val="28"/>
          <w:highlight w:val="none"/>
          <w:lang w:val="en-US" w:eastAsia="zh-CN"/>
        </w:rPr>
        <w:t>八条 质量保证</w:t>
      </w:r>
    </w:p>
    <w:p w14:paraId="2F49438F">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color w:val="auto"/>
          <w:kern w:val="2"/>
          <w:sz w:val="28"/>
          <w:szCs w:val="28"/>
          <w:highlight w:val="none"/>
          <w:lang w:eastAsia="zh-CN"/>
        </w:rPr>
        <w:t>质保期为</w:t>
      </w:r>
      <w:r>
        <w:rPr>
          <w:rFonts w:hint="eastAsia" w:ascii="方正仿宋_GBK" w:hAnsi="方正仿宋_GBK" w:eastAsia="方正仿宋_GBK" w:cs="方正仿宋_GBK"/>
          <w:color w:val="auto"/>
          <w:kern w:val="2"/>
          <w:sz w:val="28"/>
          <w:szCs w:val="28"/>
          <w:highlight w:val="none"/>
          <w:lang w:val="en-US" w:eastAsia="zh-CN"/>
        </w:rPr>
        <w:t>三</w:t>
      </w:r>
      <w:r>
        <w:rPr>
          <w:rFonts w:hint="eastAsia" w:ascii="方正仿宋_GBK" w:hAnsi="方正仿宋_GBK" w:eastAsia="方正仿宋_GBK" w:cs="方正仿宋_GBK"/>
          <w:color w:val="auto"/>
          <w:kern w:val="2"/>
          <w:sz w:val="28"/>
          <w:szCs w:val="28"/>
          <w:highlight w:val="none"/>
          <w:lang w:eastAsia="zh-CN"/>
        </w:rPr>
        <w:t>年，自验收之日起计算。</w:t>
      </w:r>
      <w:r>
        <w:rPr>
          <w:rFonts w:hint="eastAsia" w:ascii="方正仿宋_GBK" w:hAnsi="方正仿宋_GBK" w:eastAsia="方正仿宋_GBK" w:cs="方正仿宋_GBK"/>
          <w:sz w:val="28"/>
          <w:szCs w:val="28"/>
          <w:lang w:val="en-US" w:eastAsia="zh-CN"/>
        </w:rPr>
        <w:t>供</w:t>
      </w:r>
      <w:r>
        <w:rPr>
          <w:rFonts w:hint="eastAsia" w:ascii="方正仿宋_GBK" w:hAnsi="方正仿宋_GBK" w:eastAsia="方正仿宋_GBK" w:cs="方正仿宋_GBK"/>
          <w:sz w:val="28"/>
          <w:szCs w:val="28"/>
        </w:rPr>
        <w:t>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维修</w:t>
      </w:r>
      <w:r>
        <w:rPr>
          <w:rFonts w:hint="eastAsia" w:ascii="方正仿宋_GBK" w:hAnsi="方正仿宋_GBK" w:eastAsia="方正仿宋_GBK" w:cs="方正仿宋_GBK"/>
          <w:sz w:val="28"/>
          <w:szCs w:val="28"/>
        </w:rPr>
        <w:t>或</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7A3F8BD6">
      <w:pPr>
        <w:pStyle w:val="35"/>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3F9AC7F6">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70F4839B">
      <w:pPr>
        <w:pStyle w:val="35"/>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1E3EAE5C">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38CB620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3545C75B">
      <w:pPr>
        <w:pStyle w:val="35"/>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40C898B0">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9B65A2E">
      <w:pPr>
        <w:pStyle w:val="35"/>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32950097">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B4A36BB">
      <w:pPr>
        <w:pStyle w:val="35"/>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48E8F7A9">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7921C454">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63AB3E67">
      <w:pPr>
        <w:rPr>
          <w:rFonts w:hint="eastAsia" w:ascii="方正仿宋_GBK" w:hAnsi="方正仿宋_GBK" w:eastAsia="方正仿宋_GBK" w:cs="方正仿宋_GBK"/>
          <w:sz w:val="28"/>
          <w:szCs w:val="28"/>
        </w:rPr>
      </w:pPr>
    </w:p>
    <w:p w14:paraId="2940A13C">
      <w:pPr>
        <w:rPr>
          <w:rFonts w:hint="eastAsia" w:ascii="方正仿宋_GBK" w:hAnsi="方正仿宋_GBK" w:eastAsia="方正仿宋_GBK" w:cs="方正仿宋_GBK"/>
          <w:sz w:val="28"/>
          <w:szCs w:val="28"/>
        </w:rPr>
      </w:pPr>
    </w:p>
    <w:p w14:paraId="29BA5ED4">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b/>
          <w:bCs/>
          <w:sz w:val="28"/>
          <w:szCs w:val="28"/>
          <w:highlight w:val="none"/>
          <w:lang w:val="en-US" w:eastAsia="zh-CN"/>
        </w:rPr>
        <w:t>附件：</w:t>
      </w:r>
    </w:p>
    <w:p w14:paraId="382FE262">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73C68E0D">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5E612BB8">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#2布袋除尘器净气室隔板、支撑板及加强件、连接件、支撑件和布袋花板与侧板折角处喷砂除锈防腐项目</w:t>
      </w:r>
    </w:p>
    <w:p w14:paraId="693E9C50">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01F79D73">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61D02BBB">
      <w:pPr>
        <w:pStyle w:val="35"/>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6CC1E85E">
      <w:pPr>
        <w:pStyle w:val="35"/>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59411583">
      <w:pPr>
        <w:pStyle w:val="35"/>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1ABD128D">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64F45C9A">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0E650C44">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565FB1B8">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0F043B">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70F8D7F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12F9C992">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13CF646E">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6DC9ABC">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67053F6E">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0B6E0AD2">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47CDD43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4C7DDB38">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2660CA6B">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C435175">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18BBFDB">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3EBDD9D">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0B6F3D0E">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2E4A2B51">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19A67112">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028B33C1">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00743A36">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本责任书一式陆份，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2B2BA76A">
      <w:pPr>
        <w:pStyle w:val="37"/>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60E2206">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E0E91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4C8A322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710EEFE7">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9D2FEA1">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19FF5EEA">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0B664410">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0FD9B568">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br w:type="page"/>
      </w:r>
    </w:p>
    <w:p w14:paraId="252A3C9B">
      <w:pPr>
        <w:pStyle w:val="3"/>
        <w:numPr>
          <w:ilvl w:val="0"/>
          <w:numId w:val="0"/>
        </w:numPr>
        <w:jc w:val="center"/>
        <w:rPr>
          <w:rFonts w:hint="eastAsia" w:ascii="仿宋" w:hAnsi="仿宋" w:eastAsia="仿宋" w:cs="仿宋"/>
          <w:snapToGrid w:val="0"/>
          <w:sz w:val="44"/>
          <w:szCs w:val="44"/>
        </w:rPr>
      </w:pPr>
      <w:bookmarkStart w:id="15" w:name="_Toc21167"/>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3"/>
      <w:bookmarkEnd w:id="15"/>
    </w:p>
    <w:p w14:paraId="44B3FCF8">
      <w:pPr>
        <w:spacing w:line="480" w:lineRule="auto"/>
        <w:jc w:val="right"/>
        <w:rPr>
          <w:rFonts w:hint="eastAsia" w:ascii="仿宋" w:hAnsi="仿宋" w:eastAsia="仿宋" w:cs="仿宋"/>
          <w:sz w:val="32"/>
        </w:rPr>
      </w:pPr>
    </w:p>
    <w:p w14:paraId="5A458B76">
      <w:pPr>
        <w:rPr>
          <w:rFonts w:hint="eastAsia" w:ascii="仿宋" w:hAnsi="仿宋" w:eastAsia="仿宋" w:cs="仿宋"/>
          <w:sz w:val="44"/>
        </w:rPr>
      </w:pPr>
    </w:p>
    <w:p w14:paraId="6AA8A8AC">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5321720B">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#2布袋除尘器净气室隔板、支撑板及加强件、连接件、支撑件和布袋花板与侧板折角处喷砂除锈防腐</w:t>
      </w:r>
      <w:r>
        <w:rPr>
          <w:rFonts w:hint="eastAsia" w:ascii="仿宋" w:hAnsi="仿宋" w:eastAsia="仿宋" w:cs="仿宋"/>
          <w:sz w:val="52"/>
          <w:highlight w:val="none"/>
        </w:rPr>
        <w:t>项目</w:t>
      </w:r>
    </w:p>
    <w:p w14:paraId="2B6E6A10">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SX-GC-BD-2601008</w:t>
      </w:r>
    </w:p>
    <w:p w14:paraId="20BB9CDA">
      <w:pPr>
        <w:rPr>
          <w:rFonts w:hint="eastAsia" w:ascii="仿宋" w:hAnsi="仿宋" w:eastAsia="仿宋" w:cs="仿宋"/>
          <w:sz w:val="44"/>
        </w:rPr>
      </w:pPr>
    </w:p>
    <w:p w14:paraId="2F435A45">
      <w:pPr>
        <w:rPr>
          <w:rFonts w:hint="eastAsia" w:ascii="仿宋" w:hAnsi="仿宋" w:eastAsia="仿宋" w:cs="仿宋"/>
          <w:sz w:val="84"/>
        </w:rPr>
      </w:pPr>
    </w:p>
    <w:p w14:paraId="2850AA73">
      <w:pPr>
        <w:jc w:val="center"/>
        <w:rPr>
          <w:rFonts w:hint="eastAsia" w:ascii="仿宋" w:hAnsi="仿宋" w:eastAsia="仿宋" w:cs="仿宋"/>
          <w:sz w:val="84"/>
        </w:rPr>
      </w:pPr>
      <w:r>
        <w:rPr>
          <w:rFonts w:hint="eastAsia" w:ascii="仿宋" w:hAnsi="仿宋" w:eastAsia="仿宋" w:cs="仿宋"/>
          <w:sz w:val="84"/>
        </w:rPr>
        <w:t>报价文件</w:t>
      </w:r>
    </w:p>
    <w:p w14:paraId="6DF3BC7A">
      <w:pPr>
        <w:jc w:val="center"/>
        <w:rPr>
          <w:rFonts w:hint="eastAsia" w:ascii="仿宋" w:hAnsi="仿宋" w:eastAsia="仿宋" w:cs="仿宋"/>
          <w:sz w:val="24"/>
        </w:rPr>
      </w:pPr>
    </w:p>
    <w:p w14:paraId="1ADE4FA0">
      <w:pPr>
        <w:jc w:val="center"/>
        <w:rPr>
          <w:rFonts w:hint="eastAsia" w:ascii="仿宋" w:hAnsi="仿宋" w:eastAsia="仿宋" w:cs="仿宋"/>
          <w:sz w:val="24"/>
        </w:rPr>
      </w:pPr>
    </w:p>
    <w:p w14:paraId="1AC6B8C1">
      <w:pPr>
        <w:spacing w:line="480" w:lineRule="auto"/>
        <w:jc w:val="center"/>
        <w:rPr>
          <w:rFonts w:hint="eastAsia" w:ascii="仿宋" w:hAnsi="仿宋" w:eastAsia="仿宋" w:cs="仿宋"/>
          <w:sz w:val="24"/>
        </w:rPr>
      </w:pPr>
    </w:p>
    <w:p w14:paraId="0865F8D5">
      <w:pPr>
        <w:spacing w:line="480" w:lineRule="auto"/>
        <w:jc w:val="center"/>
        <w:rPr>
          <w:rFonts w:hint="eastAsia" w:ascii="仿宋" w:hAnsi="仿宋" w:eastAsia="仿宋" w:cs="仿宋"/>
          <w:sz w:val="24"/>
        </w:rPr>
      </w:pPr>
    </w:p>
    <w:p w14:paraId="43346E03">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6E8C4F0">
      <w:pPr>
        <w:spacing w:line="480" w:lineRule="auto"/>
        <w:ind w:firstLine="3240" w:firstLineChars="900"/>
        <w:rPr>
          <w:rFonts w:hint="eastAsia" w:ascii="仿宋" w:hAnsi="仿宋" w:eastAsia="仿宋" w:cs="仿宋"/>
          <w:sz w:val="30"/>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r>
        <w:rPr>
          <w:rStyle w:val="21"/>
          <w:rFonts w:hint="eastAsia" w:ascii="仿宋" w:hAnsi="仿宋" w:eastAsia="仿宋" w:cs="仿宋"/>
          <w:sz w:val="30"/>
        </w:rPr>
        <w:br w:type="page"/>
      </w:r>
    </w:p>
    <w:p w14:paraId="710C9BC6">
      <w:pPr>
        <w:adjustRightInd w:val="0"/>
        <w:snapToGrid w:val="0"/>
        <w:spacing w:line="360" w:lineRule="auto"/>
        <w:ind w:right="480"/>
        <w:jc w:val="left"/>
        <w:rPr>
          <w:rStyle w:val="21"/>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23E69E62">
      <w:pPr>
        <w:jc w:val="left"/>
        <w:outlineLvl w:val="0"/>
        <w:rPr>
          <w:rStyle w:val="21"/>
          <w:rFonts w:hint="eastAsia" w:ascii="仿宋" w:hAnsi="仿宋" w:eastAsia="仿宋" w:cs="仿宋"/>
          <w:sz w:val="30"/>
        </w:rPr>
      </w:pPr>
      <w:bookmarkStart w:id="16" w:name="_Toc20355"/>
      <w:r>
        <w:rPr>
          <w:rStyle w:val="21"/>
          <w:rFonts w:hint="eastAsia" w:ascii="仿宋" w:hAnsi="仿宋" w:eastAsia="仿宋" w:cs="仿宋"/>
          <w:sz w:val="30"/>
        </w:rPr>
        <w:t>附件一：</w:t>
      </w:r>
    </w:p>
    <w:p w14:paraId="7B642CA0">
      <w:pPr>
        <w:jc w:val="left"/>
        <w:outlineLvl w:val="0"/>
        <w:rPr>
          <w:rStyle w:val="21"/>
          <w:rFonts w:hint="eastAsia" w:ascii="仿宋" w:hAnsi="仿宋" w:eastAsia="仿宋" w:cs="仿宋"/>
          <w:sz w:val="30"/>
        </w:rPr>
      </w:pPr>
    </w:p>
    <w:p w14:paraId="651C434B">
      <w:pPr>
        <w:spacing w:line="360" w:lineRule="auto"/>
        <w:jc w:val="center"/>
        <w:rPr>
          <w:rFonts w:hint="eastAsia" w:ascii="仿宋" w:hAnsi="仿宋" w:eastAsia="仿宋" w:cs="仿宋"/>
          <w:b/>
          <w:sz w:val="44"/>
        </w:rPr>
      </w:pPr>
      <w:r>
        <w:rPr>
          <w:rFonts w:hint="eastAsia" w:ascii="仿宋" w:hAnsi="仿宋" w:eastAsia="仿宋" w:cs="仿宋"/>
          <w:b/>
          <w:sz w:val="44"/>
          <w:lang w:val="en-US" w:eastAsia="zh-CN"/>
        </w:rPr>
        <w:t>报 价 资 格</w:t>
      </w:r>
      <w:r>
        <w:rPr>
          <w:rFonts w:hint="eastAsia" w:ascii="仿宋" w:hAnsi="仿宋" w:eastAsia="仿宋" w:cs="仿宋"/>
          <w:b/>
          <w:sz w:val="44"/>
        </w:rPr>
        <w:t xml:space="preserve"> 一 览 表</w:t>
      </w:r>
    </w:p>
    <w:p w14:paraId="5A6FD88B">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0CDC75A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#2布袋除尘器净气室隔板、支撑板及加强件、连接件、支撑件和布袋花板与侧板折角处喷砂除锈防腐 </w:t>
      </w:r>
      <w:r>
        <w:rPr>
          <w:rFonts w:hint="eastAsia" w:ascii="仿宋" w:hAnsi="仿宋" w:eastAsia="仿宋" w:cs="仿宋"/>
          <w:sz w:val="30"/>
          <w:szCs w:val="30"/>
          <w:u w:val="none"/>
          <w:lang w:val="en-US" w:eastAsia="zh-CN"/>
        </w:rPr>
        <w:t>项目。</w:t>
      </w:r>
    </w:p>
    <w:p w14:paraId="67C0545B">
      <w:pPr>
        <w:autoSpaceDE w:val="0"/>
        <w:autoSpaceDN w:val="0"/>
        <w:spacing w:line="360" w:lineRule="auto"/>
        <w:ind w:firstLine="12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相关</w:t>
      </w:r>
      <w:r>
        <w:rPr>
          <w:rFonts w:hint="eastAsia" w:ascii="仿宋" w:hAnsi="仿宋" w:eastAsia="仿宋" w:cs="仿宋"/>
          <w:b/>
          <w:color w:val="auto"/>
          <w:sz w:val="28"/>
          <w:szCs w:val="28"/>
          <w:highlight w:val="none"/>
          <w:lang w:val="en-US" w:eastAsia="zh-CN"/>
        </w:rPr>
        <w:t>垃圾焚烧发电厂烟气系统喷砂除锈及防腐三家及以上业绩</w:t>
      </w:r>
    </w:p>
    <w:tbl>
      <w:tblPr>
        <w:tblStyle w:val="14"/>
        <w:tblW w:w="9759" w:type="dxa"/>
        <w:tblInd w:w="0" w:type="dxa"/>
        <w:tblLayout w:type="fixed"/>
        <w:tblCellMar>
          <w:top w:w="0" w:type="dxa"/>
          <w:left w:w="108" w:type="dxa"/>
          <w:bottom w:w="0" w:type="dxa"/>
          <w:right w:w="108" w:type="dxa"/>
        </w:tblCellMar>
      </w:tblPr>
      <w:tblGrid>
        <w:gridCol w:w="1482"/>
        <w:gridCol w:w="1200"/>
        <w:gridCol w:w="1425"/>
        <w:gridCol w:w="1677"/>
        <w:gridCol w:w="1503"/>
        <w:gridCol w:w="2472"/>
      </w:tblGrid>
      <w:tr w14:paraId="47F5FD2C">
        <w:tblPrEx>
          <w:tblCellMar>
            <w:top w:w="0" w:type="dxa"/>
            <w:left w:w="108" w:type="dxa"/>
            <w:bottom w:w="0" w:type="dxa"/>
            <w:right w:w="108" w:type="dxa"/>
          </w:tblCellMar>
        </w:tblPrEx>
        <w:trPr>
          <w:trHeight w:val="1177" w:hRule="atLeast"/>
        </w:trPr>
        <w:tc>
          <w:tcPr>
            <w:tcW w:w="1482" w:type="dxa"/>
            <w:tcBorders>
              <w:top w:val="single" w:color="auto" w:sz="6" w:space="0"/>
              <w:left w:val="single" w:color="auto" w:sz="6" w:space="0"/>
              <w:bottom w:val="single" w:color="auto" w:sz="6" w:space="0"/>
              <w:right w:val="single" w:color="auto" w:sz="6" w:space="0"/>
            </w:tcBorders>
            <w:noWrap w:val="0"/>
            <w:vAlign w:val="center"/>
          </w:tcPr>
          <w:p w14:paraId="172C2BF4">
            <w:pPr>
              <w:autoSpaceDE w:val="0"/>
              <w:autoSpaceDN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1200" w:type="dxa"/>
            <w:tcBorders>
              <w:top w:val="single" w:color="auto" w:sz="6" w:space="0"/>
              <w:left w:val="single" w:color="auto" w:sz="6" w:space="0"/>
              <w:bottom w:val="single" w:color="auto" w:sz="6" w:space="0"/>
              <w:right w:val="single" w:color="auto" w:sz="6" w:space="0"/>
            </w:tcBorders>
            <w:noWrap w:val="0"/>
            <w:vAlign w:val="center"/>
          </w:tcPr>
          <w:p w14:paraId="1B70D0AF">
            <w:pPr>
              <w:autoSpaceDE w:val="0"/>
              <w:autoSpaceDN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项目类型</w:t>
            </w:r>
          </w:p>
        </w:tc>
        <w:tc>
          <w:tcPr>
            <w:tcW w:w="1425" w:type="dxa"/>
            <w:tcBorders>
              <w:top w:val="single" w:color="auto" w:sz="6" w:space="0"/>
              <w:left w:val="single" w:color="auto" w:sz="6" w:space="0"/>
              <w:bottom w:val="single" w:color="auto" w:sz="6" w:space="0"/>
              <w:right w:val="single" w:color="auto" w:sz="6" w:space="0"/>
            </w:tcBorders>
            <w:noWrap w:val="0"/>
            <w:vAlign w:val="center"/>
          </w:tcPr>
          <w:p w14:paraId="7474ABFC">
            <w:pPr>
              <w:autoSpaceDE w:val="0"/>
              <w:autoSpaceDN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简要描述</w:t>
            </w:r>
          </w:p>
        </w:tc>
        <w:tc>
          <w:tcPr>
            <w:tcW w:w="1677" w:type="dxa"/>
            <w:tcBorders>
              <w:top w:val="single" w:color="auto" w:sz="6" w:space="0"/>
              <w:left w:val="single" w:color="auto" w:sz="6" w:space="0"/>
              <w:bottom w:val="single" w:color="auto" w:sz="6" w:space="0"/>
              <w:right w:val="single" w:color="auto" w:sz="6" w:space="0"/>
            </w:tcBorders>
            <w:noWrap w:val="0"/>
            <w:vAlign w:val="center"/>
          </w:tcPr>
          <w:p w14:paraId="0BE64193">
            <w:pPr>
              <w:autoSpaceDE w:val="0"/>
              <w:autoSpaceDN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合同金额</w:t>
            </w:r>
          </w:p>
          <w:p w14:paraId="71F1A212">
            <w:pPr>
              <w:autoSpaceDE w:val="0"/>
              <w:autoSpaceDN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（万元）</w:t>
            </w:r>
          </w:p>
        </w:tc>
        <w:tc>
          <w:tcPr>
            <w:tcW w:w="1503" w:type="dxa"/>
            <w:tcBorders>
              <w:top w:val="single" w:color="auto" w:sz="6" w:space="0"/>
              <w:left w:val="single" w:color="auto" w:sz="6" w:space="0"/>
              <w:bottom w:val="single" w:color="auto" w:sz="6" w:space="0"/>
              <w:right w:val="single" w:color="auto" w:sz="6" w:space="0"/>
            </w:tcBorders>
            <w:noWrap w:val="0"/>
            <w:vAlign w:val="center"/>
          </w:tcPr>
          <w:p w14:paraId="4969EE37">
            <w:pPr>
              <w:autoSpaceDE w:val="0"/>
              <w:autoSpaceDN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开竣工日期</w:t>
            </w:r>
          </w:p>
        </w:tc>
        <w:tc>
          <w:tcPr>
            <w:tcW w:w="2472" w:type="dxa"/>
            <w:tcBorders>
              <w:top w:val="single" w:color="auto" w:sz="6" w:space="0"/>
              <w:left w:val="single" w:color="auto" w:sz="6" w:space="0"/>
              <w:bottom w:val="single" w:color="auto" w:sz="6" w:space="0"/>
              <w:right w:val="single" w:color="auto" w:sz="6" w:space="0"/>
            </w:tcBorders>
            <w:noWrap w:val="0"/>
            <w:vAlign w:val="center"/>
          </w:tcPr>
          <w:p w14:paraId="58AD8D4C">
            <w:pPr>
              <w:autoSpaceDE w:val="0"/>
              <w:autoSpaceDN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项目地址与采购单位联系电话</w:t>
            </w:r>
          </w:p>
        </w:tc>
      </w:tr>
      <w:tr w14:paraId="0E9667DD">
        <w:tblPrEx>
          <w:tblCellMar>
            <w:top w:w="0" w:type="dxa"/>
            <w:left w:w="108" w:type="dxa"/>
            <w:bottom w:w="0" w:type="dxa"/>
            <w:right w:w="108" w:type="dxa"/>
          </w:tblCellMar>
        </w:tblPrEx>
        <w:trPr>
          <w:trHeight w:val="659" w:hRule="atLeast"/>
        </w:trPr>
        <w:tc>
          <w:tcPr>
            <w:tcW w:w="1482" w:type="dxa"/>
            <w:tcBorders>
              <w:top w:val="single" w:color="auto" w:sz="6" w:space="0"/>
              <w:left w:val="single" w:color="auto" w:sz="6" w:space="0"/>
              <w:bottom w:val="single" w:color="auto" w:sz="6" w:space="0"/>
              <w:right w:val="single" w:color="auto" w:sz="6" w:space="0"/>
            </w:tcBorders>
            <w:noWrap w:val="0"/>
            <w:vAlign w:val="top"/>
          </w:tcPr>
          <w:p w14:paraId="0DAB7B9D">
            <w:pPr>
              <w:autoSpaceDE w:val="0"/>
              <w:autoSpaceDN w:val="0"/>
              <w:spacing w:line="360" w:lineRule="auto"/>
              <w:jc w:val="center"/>
              <w:rPr>
                <w:rFonts w:hint="eastAsia" w:ascii="仿宋" w:hAnsi="仿宋" w:eastAsia="仿宋" w:cs="仿宋"/>
                <w:color w:val="auto"/>
                <w:sz w:val="24"/>
                <w:szCs w:val="24"/>
                <w:highlight w:val="none"/>
              </w:rPr>
            </w:pPr>
          </w:p>
        </w:tc>
        <w:tc>
          <w:tcPr>
            <w:tcW w:w="1200" w:type="dxa"/>
            <w:tcBorders>
              <w:top w:val="single" w:color="auto" w:sz="6" w:space="0"/>
              <w:left w:val="single" w:color="auto" w:sz="6" w:space="0"/>
              <w:bottom w:val="single" w:color="auto" w:sz="6" w:space="0"/>
              <w:right w:val="single" w:color="auto" w:sz="6" w:space="0"/>
            </w:tcBorders>
            <w:noWrap w:val="0"/>
            <w:vAlign w:val="top"/>
          </w:tcPr>
          <w:p w14:paraId="51F5D605">
            <w:pPr>
              <w:autoSpaceDE w:val="0"/>
              <w:autoSpaceDN w:val="0"/>
              <w:spacing w:line="360" w:lineRule="auto"/>
              <w:jc w:val="center"/>
              <w:rPr>
                <w:rFonts w:hint="eastAsia" w:ascii="仿宋" w:hAnsi="仿宋" w:eastAsia="仿宋" w:cs="仿宋"/>
                <w:color w:val="auto"/>
                <w:sz w:val="24"/>
                <w:szCs w:val="24"/>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top"/>
          </w:tcPr>
          <w:p w14:paraId="61C13146">
            <w:pPr>
              <w:autoSpaceDE w:val="0"/>
              <w:autoSpaceDN w:val="0"/>
              <w:spacing w:line="360" w:lineRule="auto"/>
              <w:jc w:val="center"/>
              <w:rPr>
                <w:rFonts w:hint="eastAsia" w:ascii="仿宋" w:hAnsi="仿宋" w:eastAsia="仿宋" w:cs="仿宋"/>
                <w:color w:val="auto"/>
                <w:sz w:val="24"/>
                <w:szCs w:val="24"/>
                <w:highlight w:val="none"/>
              </w:rPr>
            </w:pPr>
          </w:p>
        </w:tc>
        <w:tc>
          <w:tcPr>
            <w:tcW w:w="1677" w:type="dxa"/>
            <w:tcBorders>
              <w:top w:val="single" w:color="auto" w:sz="6" w:space="0"/>
              <w:left w:val="single" w:color="auto" w:sz="6" w:space="0"/>
              <w:bottom w:val="single" w:color="auto" w:sz="6" w:space="0"/>
              <w:right w:val="single" w:color="auto" w:sz="6" w:space="0"/>
            </w:tcBorders>
            <w:noWrap w:val="0"/>
            <w:vAlign w:val="top"/>
          </w:tcPr>
          <w:p w14:paraId="4460A7E7">
            <w:pPr>
              <w:autoSpaceDE w:val="0"/>
              <w:autoSpaceDN w:val="0"/>
              <w:spacing w:line="360" w:lineRule="auto"/>
              <w:jc w:val="center"/>
              <w:rPr>
                <w:rFonts w:hint="eastAsia" w:ascii="仿宋" w:hAnsi="仿宋" w:eastAsia="仿宋" w:cs="仿宋"/>
                <w:color w:val="auto"/>
                <w:sz w:val="24"/>
                <w:szCs w:val="24"/>
                <w:highlight w:val="none"/>
              </w:rPr>
            </w:pPr>
          </w:p>
        </w:tc>
        <w:tc>
          <w:tcPr>
            <w:tcW w:w="1503" w:type="dxa"/>
            <w:tcBorders>
              <w:top w:val="single" w:color="auto" w:sz="6" w:space="0"/>
              <w:left w:val="single" w:color="auto" w:sz="6" w:space="0"/>
              <w:bottom w:val="single" w:color="auto" w:sz="6" w:space="0"/>
              <w:right w:val="single" w:color="auto" w:sz="6" w:space="0"/>
            </w:tcBorders>
            <w:noWrap w:val="0"/>
            <w:vAlign w:val="top"/>
          </w:tcPr>
          <w:p w14:paraId="55B9DD8F">
            <w:pPr>
              <w:autoSpaceDE w:val="0"/>
              <w:autoSpaceDN w:val="0"/>
              <w:spacing w:line="360" w:lineRule="auto"/>
              <w:jc w:val="center"/>
              <w:rPr>
                <w:rFonts w:hint="eastAsia" w:ascii="仿宋" w:hAnsi="仿宋" w:eastAsia="仿宋" w:cs="仿宋"/>
                <w:color w:val="auto"/>
                <w:sz w:val="24"/>
                <w:szCs w:val="24"/>
                <w:highlight w:val="none"/>
              </w:rPr>
            </w:pPr>
          </w:p>
        </w:tc>
        <w:tc>
          <w:tcPr>
            <w:tcW w:w="2472" w:type="dxa"/>
            <w:tcBorders>
              <w:top w:val="single" w:color="auto" w:sz="6" w:space="0"/>
              <w:left w:val="single" w:color="auto" w:sz="6" w:space="0"/>
              <w:bottom w:val="single" w:color="auto" w:sz="6" w:space="0"/>
              <w:right w:val="single" w:color="auto" w:sz="6" w:space="0"/>
            </w:tcBorders>
            <w:noWrap w:val="0"/>
            <w:vAlign w:val="top"/>
          </w:tcPr>
          <w:p w14:paraId="47C47FDA">
            <w:pPr>
              <w:autoSpaceDE w:val="0"/>
              <w:autoSpaceDN w:val="0"/>
              <w:spacing w:line="360" w:lineRule="auto"/>
              <w:jc w:val="center"/>
              <w:rPr>
                <w:rFonts w:hint="eastAsia" w:ascii="仿宋" w:hAnsi="仿宋" w:eastAsia="仿宋" w:cs="仿宋"/>
                <w:color w:val="auto"/>
                <w:sz w:val="24"/>
                <w:szCs w:val="24"/>
                <w:highlight w:val="none"/>
              </w:rPr>
            </w:pPr>
          </w:p>
        </w:tc>
      </w:tr>
      <w:tr w14:paraId="0A1451B8">
        <w:tblPrEx>
          <w:tblCellMar>
            <w:top w:w="0" w:type="dxa"/>
            <w:left w:w="108" w:type="dxa"/>
            <w:bottom w:w="0" w:type="dxa"/>
            <w:right w:w="108" w:type="dxa"/>
          </w:tblCellMar>
        </w:tblPrEx>
        <w:trPr>
          <w:trHeight w:val="697" w:hRule="atLeast"/>
        </w:trPr>
        <w:tc>
          <w:tcPr>
            <w:tcW w:w="1482" w:type="dxa"/>
            <w:tcBorders>
              <w:top w:val="single" w:color="auto" w:sz="6" w:space="0"/>
              <w:left w:val="single" w:color="auto" w:sz="6" w:space="0"/>
              <w:bottom w:val="single" w:color="auto" w:sz="6" w:space="0"/>
              <w:right w:val="single" w:color="auto" w:sz="6" w:space="0"/>
            </w:tcBorders>
            <w:noWrap w:val="0"/>
            <w:vAlign w:val="top"/>
          </w:tcPr>
          <w:p w14:paraId="1A1FA35F">
            <w:pPr>
              <w:autoSpaceDE w:val="0"/>
              <w:autoSpaceDN w:val="0"/>
              <w:spacing w:line="360" w:lineRule="auto"/>
              <w:jc w:val="center"/>
              <w:rPr>
                <w:rFonts w:hint="eastAsia" w:ascii="仿宋" w:hAnsi="仿宋" w:eastAsia="仿宋" w:cs="仿宋"/>
                <w:color w:val="auto"/>
                <w:sz w:val="24"/>
                <w:szCs w:val="24"/>
                <w:highlight w:val="none"/>
              </w:rPr>
            </w:pPr>
          </w:p>
        </w:tc>
        <w:tc>
          <w:tcPr>
            <w:tcW w:w="1200" w:type="dxa"/>
            <w:tcBorders>
              <w:top w:val="single" w:color="auto" w:sz="6" w:space="0"/>
              <w:left w:val="single" w:color="auto" w:sz="6" w:space="0"/>
              <w:bottom w:val="single" w:color="auto" w:sz="6" w:space="0"/>
              <w:right w:val="single" w:color="auto" w:sz="6" w:space="0"/>
            </w:tcBorders>
            <w:noWrap w:val="0"/>
            <w:vAlign w:val="top"/>
          </w:tcPr>
          <w:p w14:paraId="1083C774">
            <w:pPr>
              <w:autoSpaceDE w:val="0"/>
              <w:autoSpaceDN w:val="0"/>
              <w:spacing w:line="360" w:lineRule="auto"/>
              <w:jc w:val="center"/>
              <w:rPr>
                <w:rFonts w:hint="eastAsia" w:ascii="仿宋" w:hAnsi="仿宋" w:eastAsia="仿宋" w:cs="仿宋"/>
                <w:color w:val="auto"/>
                <w:sz w:val="24"/>
                <w:szCs w:val="24"/>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top"/>
          </w:tcPr>
          <w:p w14:paraId="433ADD9E">
            <w:pPr>
              <w:autoSpaceDE w:val="0"/>
              <w:autoSpaceDN w:val="0"/>
              <w:spacing w:line="360" w:lineRule="auto"/>
              <w:jc w:val="center"/>
              <w:rPr>
                <w:rFonts w:hint="eastAsia" w:ascii="仿宋" w:hAnsi="仿宋" w:eastAsia="仿宋" w:cs="仿宋"/>
                <w:color w:val="auto"/>
                <w:sz w:val="24"/>
                <w:szCs w:val="24"/>
                <w:highlight w:val="none"/>
              </w:rPr>
            </w:pPr>
          </w:p>
        </w:tc>
        <w:tc>
          <w:tcPr>
            <w:tcW w:w="1677" w:type="dxa"/>
            <w:tcBorders>
              <w:top w:val="single" w:color="auto" w:sz="6" w:space="0"/>
              <w:left w:val="single" w:color="auto" w:sz="6" w:space="0"/>
              <w:bottom w:val="single" w:color="auto" w:sz="6" w:space="0"/>
              <w:right w:val="single" w:color="auto" w:sz="6" w:space="0"/>
            </w:tcBorders>
            <w:noWrap w:val="0"/>
            <w:vAlign w:val="top"/>
          </w:tcPr>
          <w:p w14:paraId="598F43AF">
            <w:pPr>
              <w:autoSpaceDE w:val="0"/>
              <w:autoSpaceDN w:val="0"/>
              <w:spacing w:line="360" w:lineRule="auto"/>
              <w:jc w:val="center"/>
              <w:rPr>
                <w:rFonts w:hint="eastAsia" w:ascii="仿宋" w:hAnsi="仿宋" w:eastAsia="仿宋" w:cs="仿宋"/>
                <w:color w:val="auto"/>
                <w:sz w:val="24"/>
                <w:szCs w:val="24"/>
                <w:highlight w:val="none"/>
              </w:rPr>
            </w:pPr>
          </w:p>
        </w:tc>
        <w:tc>
          <w:tcPr>
            <w:tcW w:w="1503" w:type="dxa"/>
            <w:tcBorders>
              <w:top w:val="single" w:color="auto" w:sz="6" w:space="0"/>
              <w:left w:val="single" w:color="auto" w:sz="6" w:space="0"/>
              <w:bottom w:val="single" w:color="auto" w:sz="6" w:space="0"/>
              <w:right w:val="single" w:color="auto" w:sz="6" w:space="0"/>
            </w:tcBorders>
            <w:noWrap w:val="0"/>
            <w:vAlign w:val="top"/>
          </w:tcPr>
          <w:p w14:paraId="03539EF3">
            <w:pPr>
              <w:autoSpaceDE w:val="0"/>
              <w:autoSpaceDN w:val="0"/>
              <w:spacing w:line="360" w:lineRule="auto"/>
              <w:jc w:val="center"/>
              <w:rPr>
                <w:rFonts w:hint="eastAsia" w:ascii="仿宋" w:hAnsi="仿宋" w:eastAsia="仿宋" w:cs="仿宋"/>
                <w:color w:val="auto"/>
                <w:sz w:val="24"/>
                <w:szCs w:val="24"/>
                <w:highlight w:val="none"/>
              </w:rPr>
            </w:pPr>
          </w:p>
        </w:tc>
        <w:tc>
          <w:tcPr>
            <w:tcW w:w="2472" w:type="dxa"/>
            <w:tcBorders>
              <w:top w:val="single" w:color="auto" w:sz="6" w:space="0"/>
              <w:left w:val="single" w:color="auto" w:sz="6" w:space="0"/>
              <w:bottom w:val="single" w:color="auto" w:sz="6" w:space="0"/>
              <w:right w:val="single" w:color="auto" w:sz="6" w:space="0"/>
            </w:tcBorders>
            <w:noWrap w:val="0"/>
            <w:vAlign w:val="top"/>
          </w:tcPr>
          <w:p w14:paraId="0BDBAEFF">
            <w:pPr>
              <w:autoSpaceDE w:val="0"/>
              <w:autoSpaceDN w:val="0"/>
              <w:spacing w:line="360" w:lineRule="auto"/>
              <w:jc w:val="center"/>
              <w:rPr>
                <w:rFonts w:hint="eastAsia" w:ascii="仿宋" w:hAnsi="仿宋" w:eastAsia="仿宋" w:cs="仿宋"/>
                <w:color w:val="auto"/>
                <w:sz w:val="24"/>
                <w:szCs w:val="24"/>
                <w:highlight w:val="none"/>
              </w:rPr>
            </w:pPr>
          </w:p>
        </w:tc>
      </w:tr>
      <w:tr w14:paraId="1FC82D05">
        <w:tblPrEx>
          <w:tblCellMar>
            <w:top w:w="0" w:type="dxa"/>
            <w:left w:w="108" w:type="dxa"/>
            <w:bottom w:w="0" w:type="dxa"/>
            <w:right w:w="108" w:type="dxa"/>
          </w:tblCellMar>
        </w:tblPrEx>
        <w:trPr>
          <w:trHeight w:val="693" w:hRule="atLeast"/>
        </w:trPr>
        <w:tc>
          <w:tcPr>
            <w:tcW w:w="1482" w:type="dxa"/>
            <w:tcBorders>
              <w:top w:val="single" w:color="auto" w:sz="6" w:space="0"/>
              <w:left w:val="single" w:color="auto" w:sz="6" w:space="0"/>
              <w:bottom w:val="single" w:color="auto" w:sz="6" w:space="0"/>
              <w:right w:val="single" w:color="auto" w:sz="6" w:space="0"/>
            </w:tcBorders>
            <w:noWrap w:val="0"/>
            <w:vAlign w:val="top"/>
          </w:tcPr>
          <w:p w14:paraId="37A4D0B4">
            <w:pPr>
              <w:autoSpaceDE w:val="0"/>
              <w:autoSpaceDN w:val="0"/>
              <w:spacing w:line="360" w:lineRule="auto"/>
              <w:jc w:val="center"/>
              <w:rPr>
                <w:rFonts w:hint="eastAsia" w:ascii="仿宋" w:hAnsi="仿宋" w:eastAsia="仿宋" w:cs="仿宋"/>
                <w:color w:val="auto"/>
                <w:sz w:val="24"/>
                <w:szCs w:val="24"/>
                <w:highlight w:val="none"/>
              </w:rPr>
            </w:pPr>
          </w:p>
        </w:tc>
        <w:tc>
          <w:tcPr>
            <w:tcW w:w="1200" w:type="dxa"/>
            <w:tcBorders>
              <w:top w:val="single" w:color="auto" w:sz="6" w:space="0"/>
              <w:left w:val="single" w:color="auto" w:sz="6" w:space="0"/>
              <w:bottom w:val="single" w:color="auto" w:sz="6" w:space="0"/>
              <w:right w:val="single" w:color="auto" w:sz="6" w:space="0"/>
            </w:tcBorders>
            <w:noWrap w:val="0"/>
            <w:vAlign w:val="top"/>
          </w:tcPr>
          <w:p w14:paraId="75603D15">
            <w:pPr>
              <w:autoSpaceDE w:val="0"/>
              <w:autoSpaceDN w:val="0"/>
              <w:spacing w:line="360" w:lineRule="auto"/>
              <w:jc w:val="center"/>
              <w:rPr>
                <w:rFonts w:hint="eastAsia" w:ascii="仿宋" w:hAnsi="仿宋" w:eastAsia="仿宋" w:cs="仿宋"/>
                <w:color w:val="auto"/>
                <w:sz w:val="24"/>
                <w:szCs w:val="24"/>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top"/>
          </w:tcPr>
          <w:p w14:paraId="5583564B">
            <w:pPr>
              <w:autoSpaceDE w:val="0"/>
              <w:autoSpaceDN w:val="0"/>
              <w:spacing w:line="360" w:lineRule="auto"/>
              <w:jc w:val="center"/>
              <w:rPr>
                <w:rFonts w:hint="eastAsia" w:ascii="仿宋" w:hAnsi="仿宋" w:eastAsia="仿宋" w:cs="仿宋"/>
                <w:color w:val="auto"/>
                <w:sz w:val="24"/>
                <w:szCs w:val="24"/>
                <w:highlight w:val="none"/>
              </w:rPr>
            </w:pPr>
          </w:p>
        </w:tc>
        <w:tc>
          <w:tcPr>
            <w:tcW w:w="1677" w:type="dxa"/>
            <w:tcBorders>
              <w:top w:val="single" w:color="auto" w:sz="6" w:space="0"/>
              <w:left w:val="single" w:color="auto" w:sz="6" w:space="0"/>
              <w:bottom w:val="single" w:color="auto" w:sz="6" w:space="0"/>
              <w:right w:val="single" w:color="auto" w:sz="6" w:space="0"/>
            </w:tcBorders>
            <w:noWrap w:val="0"/>
            <w:vAlign w:val="top"/>
          </w:tcPr>
          <w:p w14:paraId="06BA4777">
            <w:pPr>
              <w:autoSpaceDE w:val="0"/>
              <w:autoSpaceDN w:val="0"/>
              <w:spacing w:line="360" w:lineRule="auto"/>
              <w:jc w:val="center"/>
              <w:rPr>
                <w:rFonts w:hint="eastAsia" w:ascii="仿宋" w:hAnsi="仿宋" w:eastAsia="仿宋" w:cs="仿宋"/>
                <w:color w:val="auto"/>
                <w:sz w:val="24"/>
                <w:szCs w:val="24"/>
                <w:highlight w:val="none"/>
              </w:rPr>
            </w:pPr>
          </w:p>
        </w:tc>
        <w:tc>
          <w:tcPr>
            <w:tcW w:w="1503" w:type="dxa"/>
            <w:tcBorders>
              <w:top w:val="single" w:color="auto" w:sz="6" w:space="0"/>
              <w:left w:val="single" w:color="auto" w:sz="6" w:space="0"/>
              <w:bottom w:val="single" w:color="auto" w:sz="6" w:space="0"/>
              <w:right w:val="single" w:color="auto" w:sz="6" w:space="0"/>
            </w:tcBorders>
            <w:noWrap w:val="0"/>
            <w:vAlign w:val="top"/>
          </w:tcPr>
          <w:p w14:paraId="69D77EE8">
            <w:pPr>
              <w:autoSpaceDE w:val="0"/>
              <w:autoSpaceDN w:val="0"/>
              <w:spacing w:line="360" w:lineRule="auto"/>
              <w:jc w:val="center"/>
              <w:rPr>
                <w:rFonts w:hint="eastAsia" w:ascii="仿宋" w:hAnsi="仿宋" w:eastAsia="仿宋" w:cs="仿宋"/>
                <w:color w:val="auto"/>
                <w:sz w:val="24"/>
                <w:szCs w:val="24"/>
                <w:highlight w:val="none"/>
              </w:rPr>
            </w:pPr>
          </w:p>
        </w:tc>
        <w:tc>
          <w:tcPr>
            <w:tcW w:w="2472" w:type="dxa"/>
            <w:tcBorders>
              <w:top w:val="single" w:color="auto" w:sz="6" w:space="0"/>
              <w:left w:val="single" w:color="auto" w:sz="6" w:space="0"/>
              <w:bottom w:val="single" w:color="auto" w:sz="6" w:space="0"/>
              <w:right w:val="single" w:color="auto" w:sz="6" w:space="0"/>
            </w:tcBorders>
            <w:noWrap w:val="0"/>
            <w:vAlign w:val="top"/>
          </w:tcPr>
          <w:p w14:paraId="04515280">
            <w:pPr>
              <w:autoSpaceDE w:val="0"/>
              <w:autoSpaceDN w:val="0"/>
              <w:spacing w:line="360" w:lineRule="auto"/>
              <w:jc w:val="center"/>
              <w:rPr>
                <w:rFonts w:hint="eastAsia" w:ascii="仿宋" w:hAnsi="仿宋" w:eastAsia="仿宋" w:cs="仿宋"/>
                <w:color w:val="auto"/>
                <w:sz w:val="24"/>
                <w:szCs w:val="24"/>
                <w:highlight w:val="none"/>
              </w:rPr>
            </w:pPr>
          </w:p>
        </w:tc>
      </w:tr>
    </w:tbl>
    <w:p w14:paraId="3E8D17FC">
      <w:pPr>
        <w:pStyle w:val="20"/>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textAlignment w:val="baseline"/>
        <w:rPr>
          <w:rFonts w:hint="eastAsia" w:ascii="仿宋" w:hAnsi="仿宋" w:eastAsia="仿宋" w:cs="仿宋"/>
          <w:b/>
          <w:bCs w:val="0"/>
          <w:color w:val="FF0000"/>
          <w:sz w:val="28"/>
          <w:szCs w:val="28"/>
          <w:lang w:val="en-US" w:eastAsia="zh-CN"/>
        </w:rPr>
      </w:pPr>
      <w:r>
        <w:rPr>
          <w:rFonts w:hint="eastAsia" w:ascii="仿宋" w:hAnsi="仿宋" w:eastAsia="仿宋" w:cs="仿宋"/>
          <w:b/>
          <w:color w:val="FF0000"/>
          <w:sz w:val="28"/>
          <w:szCs w:val="28"/>
          <w:highlight w:val="none"/>
        </w:rPr>
        <w:t>注：投标人可按上述的格式自行编制。</w:t>
      </w:r>
    </w:p>
    <w:p w14:paraId="06F2C8A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8DA889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1、报价资格一览表内不得显示价格。</w:t>
      </w:r>
    </w:p>
    <w:p w14:paraId="2115B25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2、须随表提交相应的合同复印件和用户单位验收证明。</w:t>
      </w:r>
    </w:p>
    <w:p w14:paraId="4A5B8B1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b/>
          <w:bCs/>
          <w:color w:val="FF0000"/>
          <w:sz w:val="30"/>
          <w:szCs w:val="30"/>
          <w:highlight w:val="none"/>
          <w:lang w:val="en-US" w:eastAsia="zh-CN"/>
        </w:rPr>
      </w:pPr>
      <w:r>
        <w:rPr>
          <w:rFonts w:hint="eastAsia" w:ascii="仿宋_GB2312" w:eastAsia="仿宋_GB2312"/>
          <w:color w:val="FF0000"/>
          <w:kern w:val="2"/>
          <w:sz w:val="30"/>
          <w:szCs w:val="30"/>
          <w:highlight w:val="none"/>
          <w:lang w:val="en-US" w:eastAsia="zh-CN"/>
        </w:rPr>
        <w:t>3、此附表需与报价文件分开包装，共同递交至绍兴市再生能源发展有限公司综合楼一楼投标箱。</w:t>
      </w:r>
    </w:p>
    <w:p w14:paraId="70CF1B39">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both"/>
        <w:textAlignment w:val="auto"/>
        <w:rPr>
          <w:rFonts w:hint="eastAsia" w:ascii="仿宋" w:hAnsi="仿宋" w:eastAsia="仿宋" w:cs="仿宋"/>
          <w:sz w:val="30"/>
          <w:szCs w:val="30"/>
          <w:lang w:val="en-US" w:eastAsia="zh-CN"/>
        </w:rPr>
      </w:pPr>
      <w:r>
        <w:rPr>
          <w:rFonts w:hint="eastAsia" w:ascii="仿宋_GB2312" w:eastAsia="仿宋_GB2312"/>
          <w:b/>
          <w:bCs/>
          <w:color w:val="FF0000"/>
          <w:kern w:val="2"/>
          <w:sz w:val="30"/>
          <w:szCs w:val="30"/>
          <w:highlight w:val="none"/>
          <w:lang w:eastAsia="zh-CN"/>
        </w:rPr>
        <w:t>【未满足</w:t>
      </w:r>
      <w:r>
        <w:rPr>
          <w:rFonts w:hint="eastAsia" w:ascii="仿宋_GB2312" w:eastAsia="仿宋_GB2312"/>
          <w:b/>
          <w:bCs/>
          <w:color w:val="FF0000"/>
          <w:kern w:val="2"/>
          <w:sz w:val="30"/>
          <w:szCs w:val="30"/>
          <w:highlight w:val="none"/>
          <w:lang w:val="en-US" w:eastAsia="zh-CN"/>
        </w:rPr>
        <w:t>以上</w:t>
      </w:r>
      <w:r>
        <w:rPr>
          <w:rFonts w:hint="eastAsia" w:ascii="仿宋_GB2312" w:eastAsia="仿宋_GB2312"/>
          <w:b/>
          <w:bCs/>
          <w:color w:val="FF0000"/>
          <w:kern w:val="2"/>
          <w:sz w:val="30"/>
          <w:szCs w:val="30"/>
          <w:highlight w:val="none"/>
          <w:lang w:eastAsia="zh-CN"/>
        </w:rPr>
        <w:t>条件则视为无效投标，</w:t>
      </w:r>
      <w:r>
        <w:rPr>
          <w:rFonts w:hint="eastAsia" w:ascii="仿宋_GB2312" w:eastAsia="仿宋_GB2312"/>
          <w:b/>
          <w:bCs/>
          <w:color w:val="FF0000"/>
          <w:kern w:val="2"/>
          <w:sz w:val="30"/>
          <w:szCs w:val="30"/>
          <w:highlight w:val="none"/>
          <w:lang w:val="en-US" w:eastAsia="zh-CN"/>
        </w:rPr>
        <w:t>且报价文件一同作废，不再进入后续的评审与比较环节</w:t>
      </w:r>
      <w:r>
        <w:rPr>
          <w:rFonts w:hint="eastAsia" w:ascii="仿宋_GB2312" w:eastAsia="仿宋_GB2312"/>
          <w:b/>
          <w:bCs/>
          <w:color w:val="FF0000"/>
          <w:kern w:val="2"/>
          <w:sz w:val="30"/>
          <w:szCs w:val="30"/>
          <w:highlight w:val="none"/>
          <w:lang w:eastAsia="zh-CN"/>
        </w:rPr>
        <w:t>】</w:t>
      </w:r>
    </w:p>
    <w:p w14:paraId="47734B1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614024F6">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4"/>
          <w:szCs w:val="24"/>
        </w:rPr>
      </w:pPr>
    </w:p>
    <w:p w14:paraId="5E4F92D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p>
    <w:p w14:paraId="68506379">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5D6791C7">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37E03AF6">
      <w:pPr>
        <w:jc w:val="left"/>
        <w:outlineLvl w:val="0"/>
        <w:rPr>
          <w:rStyle w:val="21"/>
          <w:rFonts w:hint="eastAsia" w:ascii="仿宋" w:hAnsi="仿宋" w:eastAsia="仿宋" w:cs="仿宋"/>
          <w:sz w:val="30"/>
        </w:rPr>
      </w:pPr>
    </w:p>
    <w:p w14:paraId="744EFDF9">
      <w:pPr>
        <w:jc w:val="left"/>
        <w:outlineLvl w:val="0"/>
        <w:rPr>
          <w:rStyle w:val="21"/>
          <w:rFonts w:hint="eastAsia" w:ascii="仿宋" w:hAnsi="仿宋" w:eastAsia="仿宋" w:cs="仿宋"/>
          <w:sz w:val="30"/>
        </w:rPr>
      </w:pPr>
    </w:p>
    <w:p w14:paraId="06409468">
      <w:pPr>
        <w:jc w:val="left"/>
        <w:outlineLvl w:val="0"/>
        <w:rPr>
          <w:rStyle w:val="21"/>
          <w:rFonts w:hint="eastAsia" w:ascii="仿宋" w:hAnsi="仿宋" w:eastAsia="仿宋" w:cs="仿宋"/>
          <w:sz w:val="30"/>
        </w:rPr>
      </w:pPr>
    </w:p>
    <w:p w14:paraId="31A5C036">
      <w:pPr>
        <w:jc w:val="left"/>
        <w:outlineLvl w:val="0"/>
        <w:rPr>
          <w:rStyle w:val="21"/>
          <w:rFonts w:hint="eastAsia" w:ascii="仿宋" w:hAnsi="仿宋" w:eastAsia="仿宋" w:cs="仿宋"/>
          <w:sz w:val="30"/>
        </w:rPr>
      </w:pPr>
    </w:p>
    <w:p w14:paraId="27F6E646">
      <w:pPr>
        <w:jc w:val="left"/>
        <w:outlineLvl w:val="0"/>
        <w:rPr>
          <w:rStyle w:val="21"/>
          <w:rFonts w:hint="eastAsia" w:ascii="仿宋" w:hAnsi="仿宋" w:eastAsia="仿宋" w:cs="仿宋"/>
          <w:sz w:val="30"/>
        </w:rPr>
      </w:pPr>
    </w:p>
    <w:p w14:paraId="396B0928">
      <w:pPr>
        <w:jc w:val="left"/>
        <w:outlineLvl w:val="0"/>
        <w:rPr>
          <w:rStyle w:val="21"/>
          <w:rFonts w:hint="eastAsia" w:ascii="仿宋" w:hAnsi="仿宋" w:eastAsia="仿宋" w:cs="仿宋"/>
          <w:sz w:val="30"/>
        </w:rPr>
      </w:pPr>
    </w:p>
    <w:p w14:paraId="3ACC926F">
      <w:pPr>
        <w:jc w:val="left"/>
        <w:outlineLvl w:val="0"/>
        <w:rPr>
          <w:rStyle w:val="21"/>
          <w:rFonts w:hint="eastAsia" w:ascii="仿宋" w:hAnsi="仿宋" w:eastAsia="仿宋" w:cs="仿宋"/>
          <w:sz w:val="30"/>
        </w:rPr>
      </w:pPr>
    </w:p>
    <w:p w14:paraId="0F5AF401">
      <w:pPr>
        <w:jc w:val="left"/>
        <w:outlineLvl w:val="0"/>
        <w:rPr>
          <w:rStyle w:val="21"/>
          <w:rFonts w:hint="eastAsia" w:ascii="仿宋" w:hAnsi="仿宋" w:eastAsia="仿宋" w:cs="仿宋"/>
          <w:sz w:val="30"/>
        </w:rPr>
      </w:pPr>
    </w:p>
    <w:p w14:paraId="00F78C89">
      <w:pPr>
        <w:jc w:val="left"/>
        <w:outlineLvl w:val="0"/>
        <w:rPr>
          <w:rStyle w:val="21"/>
          <w:rFonts w:hint="eastAsia" w:ascii="仿宋" w:hAnsi="仿宋" w:eastAsia="仿宋" w:cs="仿宋"/>
          <w:sz w:val="30"/>
        </w:rPr>
      </w:pPr>
    </w:p>
    <w:p w14:paraId="7C5C609F">
      <w:pPr>
        <w:jc w:val="left"/>
        <w:outlineLvl w:val="0"/>
        <w:rPr>
          <w:rStyle w:val="21"/>
          <w:rFonts w:hint="eastAsia" w:ascii="仿宋" w:hAnsi="仿宋" w:eastAsia="仿宋" w:cs="仿宋"/>
          <w:sz w:val="30"/>
        </w:rPr>
      </w:pPr>
    </w:p>
    <w:p w14:paraId="75E34977">
      <w:pPr>
        <w:jc w:val="left"/>
        <w:outlineLvl w:val="0"/>
        <w:rPr>
          <w:rStyle w:val="21"/>
          <w:rFonts w:hint="eastAsia" w:ascii="仿宋" w:hAnsi="仿宋" w:eastAsia="仿宋" w:cs="仿宋"/>
          <w:sz w:val="30"/>
        </w:rPr>
      </w:pPr>
    </w:p>
    <w:p w14:paraId="65053D2D">
      <w:pPr>
        <w:jc w:val="left"/>
        <w:outlineLvl w:val="0"/>
        <w:rPr>
          <w:rStyle w:val="21"/>
          <w:rFonts w:hint="eastAsia" w:ascii="仿宋" w:hAnsi="仿宋" w:eastAsia="仿宋" w:cs="仿宋"/>
          <w:sz w:val="30"/>
        </w:rPr>
      </w:pPr>
    </w:p>
    <w:p w14:paraId="3267D44A">
      <w:pPr>
        <w:jc w:val="left"/>
        <w:outlineLvl w:val="0"/>
        <w:rPr>
          <w:rStyle w:val="21"/>
          <w:rFonts w:hint="eastAsia" w:ascii="仿宋" w:hAnsi="仿宋" w:eastAsia="仿宋" w:cs="仿宋"/>
          <w:sz w:val="30"/>
        </w:rPr>
      </w:pPr>
    </w:p>
    <w:p w14:paraId="610F4541">
      <w:pPr>
        <w:jc w:val="left"/>
        <w:outlineLvl w:val="0"/>
        <w:rPr>
          <w:rStyle w:val="21"/>
          <w:rFonts w:hint="eastAsia" w:ascii="仿宋" w:hAnsi="仿宋" w:eastAsia="仿宋" w:cs="仿宋"/>
          <w:sz w:val="30"/>
        </w:rPr>
      </w:pPr>
    </w:p>
    <w:p w14:paraId="05538993">
      <w:pPr>
        <w:jc w:val="left"/>
        <w:outlineLvl w:val="0"/>
        <w:rPr>
          <w:rStyle w:val="21"/>
          <w:rFonts w:hint="eastAsia" w:ascii="仿宋" w:hAnsi="仿宋" w:eastAsia="仿宋" w:cs="仿宋"/>
          <w:sz w:val="30"/>
        </w:rPr>
      </w:pPr>
    </w:p>
    <w:p w14:paraId="7CB64369">
      <w:pPr>
        <w:jc w:val="left"/>
        <w:outlineLvl w:val="0"/>
        <w:rPr>
          <w:rStyle w:val="21"/>
          <w:rFonts w:hint="eastAsia" w:ascii="仿宋" w:hAnsi="仿宋" w:eastAsia="仿宋" w:cs="仿宋"/>
          <w:sz w:val="30"/>
        </w:rPr>
      </w:pPr>
    </w:p>
    <w:p w14:paraId="4DA38722">
      <w:pPr>
        <w:jc w:val="left"/>
        <w:outlineLvl w:val="0"/>
        <w:rPr>
          <w:rStyle w:val="21"/>
          <w:rFonts w:hint="eastAsia" w:ascii="仿宋" w:hAnsi="仿宋" w:eastAsia="仿宋" w:cs="仿宋"/>
          <w:sz w:val="30"/>
        </w:rPr>
      </w:pPr>
    </w:p>
    <w:p w14:paraId="739466C8">
      <w:pPr>
        <w:jc w:val="left"/>
        <w:outlineLvl w:val="0"/>
        <w:rPr>
          <w:rStyle w:val="21"/>
          <w:rFonts w:hint="eastAsia" w:ascii="仿宋" w:hAnsi="仿宋" w:eastAsia="仿宋" w:cs="仿宋"/>
          <w:sz w:val="30"/>
        </w:rPr>
      </w:pPr>
    </w:p>
    <w:p w14:paraId="0A92D302">
      <w:pPr>
        <w:jc w:val="left"/>
        <w:outlineLvl w:val="0"/>
        <w:rPr>
          <w:rStyle w:val="21"/>
          <w:rFonts w:hint="eastAsia" w:ascii="仿宋" w:hAnsi="仿宋" w:eastAsia="仿宋" w:cs="仿宋"/>
          <w:sz w:val="30"/>
        </w:rPr>
      </w:pPr>
    </w:p>
    <w:p w14:paraId="4D1BC8DD">
      <w:pPr>
        <w:jc w:val="left"/>
        <w:outlineLvl w:val="0"/>
        <w:rPr>
          <w:rStyle w:val="21"/>
          <w:rFonts w:hint="eastAsia" w:ascii="仿宋" w:hAnsi="仿宋" w:eastAsia="仿宋" w:cs="仿宋"/>
          <w:sz w:val="30"/>
        </w:rPr>
      </w:pPr>
    </w:p>
    <w:p w14:paraId="6B1F7045">
      <w:pPr>
        <w:jc w:val="left"/>
        <w:outlineLvl w:val="0"/>
        <w:rPr>
          <w:rStyle w:val="21"/>
          <w:rFonts w:hint="eastAsia" w:ascii="仿宋" w:hAnsi="仿宋" w:eastAsia="仿宋" w:cs="仿宋"/>
          <w:sz w:val="30"/>
        </w:rPr>
      </w:pPr>
    </w:p>
    <w:p w14:paraId="137D45CD">
      <w:pPr>
        <w:jc w:val="left"/>
        <w:outlineLvl w:val="0"/>
        <w:rPr>
          <w:rStyle w:val="21"/>
          <w:rFonts w:hint="eastAsia" w:ascii="仿宋" w:hAnsi="仿宋" w:eastAsia="仿宋" w:cs="仿宋"/>
          <w:sz w:val="30"/>
        </w:rPr>
      </w:pPr>
    </w:p>
    <w:p w14:paraId="36CBB316">
      <w:pPr>
        <w:jc w:val="left"/>
        <w:outlineLvl w:val="0"/>
        <w:rPr>
          <w:rStyle w:val="21"/>
          <w:rFonts w:hint="eastAsia" w:ascii="仿宋" w:hAnsi="仿宋" w:eastAsia="仿宋" w:cs="仿宋"/>
          <w:sz w:val="30"/>
        </w:rPr>
      </w:pPr>
    </w:p>
    <w:p w14:paraId="53C562B1">
      <w:pPr>
        <w:jc w:val="left"/>
        <w:outlineLvl w:val="0"/>
        <w:rPr>
          <w:rStyle w:val="21"/>
          <w:rFonts w:hint="eastAsia" w:ascii="仿宋" w:hAnsi="仿宋" w:eastAsia="仿宋" w:cs="仿宋"/>
          <w:sz w:val="30"/>
        </w:rPr>
      </w:pPr>
    </w:p>
    <w:p w14:paraId="3AE5930D">
      <w:pPr>
        <w:jc w:val="left"/>
        <w:outlineLvl w:val="0"/>
        <w:rPr>
          <w:rStyle w:val="21"/>
          <w:rFonts w:hint="eastAsia" w:ascii="仿宋" w:hAnsi="仿宋" w:eastAsia="仿宋" w:cs="仿宋"/>
          <w:sz w:val="30"/>
        </w:rPr>
      </w:pPr>
    </w:p>
    <w:p w14:paraId="010CC7A6">
      <w:pPr>
        <w:jc w:val="left"/>
        <w:outlineLvl w:val="0"/>
        <w:rPr>
          <w:rStyle w:val="21"/>
          <w:rFonts w:hint="eastAsia" w:ascii="仿宋" w:hAnsi="仿宋" w:eastAsia="仿宋" w:cs="仿宋"/>
          <w:sz w:val="30"/>
        </w:rPr>
      </w:pPr>
    </w:p>
    <w:p w14:paraId="7D0CF515">
      <w:pPr>
        <w:jc w:val="left"/>
        <w:outlineLvl w:val="0"/>
        <w:rPr>
          <w:rStyle w:val="21"/>
          <w:rFonts w:hint="eastAsia" w:ascii="仿宋" w:hAnsi="仿宋" w:eastAsia="仿宋" w:cs="仿宋"/>
          <w:sz w:val="30"/>
        </w:rPr>
      </w:pPr>
    </w:p>
    <w:p w14:paraId="4075777B">
      <w:pPr>
        <w:jc w:val="left"/>
        <w:outlineLvl w:val="0"/>
        <w:rPr>
          <w:rStyle w:val="21"/>
          <w:rFonts w:hint="eastAsia" w:ascii="仿宋" w:hAnsi="仿宋" w:eastAsia="仿宋" w:cs="仿宋"/>
          <w:sz w:val="30"/>
        </w:rPr>
      </w:pPr>
    </w:p>
    <w:p w14:paraId="5BEE44A3">
      <w:pPr>
        <w:jc w:val="left"/>
        <w:outlineLvl w:val="0"/>
        <w:rPr>
          <w:rStyle w:val="21"/>
          <w:rFonts w:hint="eastAsia" w:ascii="仿宋" w:hAnsi="仿宋" w:eastAsia="仿宋" w:cs="仿宋"/>
          <w:sz w:val="30"/>
        </w:rPr>
      </w:pPr>
    </w:p>
    <w:p w14:paraId="59F1FE21">
      <w:pPr>
        <w:jc w:val="left"/>
        <w:outlineLvl w:val="0"/>
        <w:rPr>
          <w:rStyle w:val="21"/>
          <w:rFonts w:hint="eastAsia" w:ascii="仿宋" w:hAnsi="仿宋" w:eastAsia="仿宋" w:cs="仿宋"/>
          <w:sz w:val="30"/>
        </w:rPr>
      </w:pPr>
    </w:p>
    <w:p w14:paraId="22A25CAC">
      <w:pPr>
        <w:jc w:val="left"/>
        <w:outlineLvl w:val="0"/>
        <w:rPr>
          <w:rStyle w:val="21"/>
          <w:rFonts w:hint="eastAsia" w:ascii="仿宋" w:hAnsi="仿宋" w:eastAsia="仿宋" w:cs="仿宋"/>
          <w:sz w:val="30"/>
        </w:rPr>
      </w:pPr>
    </w:p>
    <w:p w14:paraId="5CC4DB16">
      <w:pPr>
        <w:jc w:val="left"/>
        <w:outlineLvl w:val="0"/>
        <w:rPr>
          <w:rStyle w:val="21"/>
          <w:rFonts w:hint="eastAsia" w:ascii="仿宋" w:hAnsi="仿宋" w:eastAsia="仿宋" w:cs="仿宋"/>
          <w:sz w:val="30"/>
        </w:rPr>
      </w:pPr>
    </w:p>
    <w:p w14:paraId="64FE10E5">
      <w:pPr>
        <w:jc w:val="left"/>
        <w:outlineLvl w:val="0"/>
        <w:rPr>
          <w:rStyle w:val="21"/>
          <w:rFonts w:hint="eastAsia" w:ascii="仿宋" w:hAnsi="仿宋" w:eastAsia="仿宋" w:cs="仿宋"/>
          <w:sz w:val="30"/>
        </w:rPr>
      </w:pPr>
    </w:p>
    <w:p w14:paraId="3F7B11BD">
      <w:pPr>
        <w:jc w:val="left"/>
        <w:outlineLvl w:val="0"/>
        <w:rPr>
          <w:rStyle w:val="21"/>
          <w:rFonts w:hint="eastAsia" w:ascii="仿宋" w:hAnsi="仿宋" w:eastAsia="仿宋" w:cs="仿宋"/>
          <w:sz w:val="30"/>
        </w:rPr>
      </w:pPr>
      <w:r>
        <w:rPr>
          <w:rStyle w:val="21"/>
          <w:rFonts w:hint="eastAsia" w:ascii="仿宋" w:hAnsi="仿宋" w:eastAsia="仿宋" w:cs="仿宋"/>
          <w:sz w:val="30"/>
        </w:rPr>
        <w:t>附件二</w:t>
      </w:r>
      <w:bookmarkEnd w:id="16"/>
      <w:r>
        <w:rPr>
          <w:rStyle w:val="21"/>
          <w:rFonts w:hint="eastAsia" w:ascii="仿宋" w:hAnsi="仿宋" w:eastAsia="仿宋" w:cs="仿宋"/>
          <w:sz w:val="30"/>
        </w:rPr>
        <w:t xml:space="preserve">  </w:t>
      </w:r>
    </w:p>
    <w:p w14:paraId="03F68513">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560CF645">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2B1E0C0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#2布袋除尘器净气室隔板、支撑板及加强件、连接件、支撑件和布袋花板与侧板折角处喷砂除锈防腐 </w:t>
      </w:r>
      <w:r>
        <w:rPr>
          <w:rFonts w:hint="eastAsia" w:ascii="仿宋" w:hAnsi="仿宋" w:eastAsia="仿宋" w:cs="仿宋"/>
          <w:sz w:val="30"/>
          <w:szCs w:val="30"/>
          <w:u w:val="none"/>
          <w:lang w:val="en-US" w:eastAsia="zh-CN"/>
        </w:rPr>
        <w:t>项目。</w:t>
      </w:r>
    </w:p>
    <w:tbl>
      <w:tblPr>
        <w:tblStyle w:val="14"/>
        <w:tblW w:w="5300" w:type="pct"/>
        <w:jc w:val="center"/>
        <w:tblLayout w:type="fixed"/>
        <w:tblCellMar>
          <w:top w:w="0" w:type="dxa"/>
          <w:left w:w="108" w:type="dxa"/>
          <w:bottom w:w="0" w:type="dxa"/>
          <w:right w:w="108" w:type="dxa"/>
        </w:tblCellMar>
      </w:tblPr>
      <w:tblGrid>
        <w:gridCol w:w="723"/>
        <w:gridCol w:w="3045"/>
        <w:gridCol w:w="2343"/>
        <w:gridCol w:w="855"/>
        <w:gridCol w:w="960"/>
        <w:gridCol w:w="960"/>
        <w:gridCol w:w="960"/>
      </w:tblGrid>
      <w:tr w14:paraId="589CF801">
        <w:tblPrEx>
          <w:tblCellMar>
            <w:top w:w="0" w:type="dxa"/>
            <w:left w:w="108" w:type="dxa"/>
            <w:bottom w:w="0" w:type="dxa"/>
            <w:right w:w="108" w:type="dxa"/>
          </w:tblCellMar>
        </w:tblPrEx>
        <w:trPr>
          <w:trHeight w:val="467"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2AF116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3045" w:type="dxa"/>
            <w:tcBorders>
              <w:top w:val="single" w:color="000000" w:sz="4" w:space="0"/>
              <w:left w:val="single" w:color="000000" w:sz="4" w:space="0"/>
              <w:bottom w:val="single" w:color="000000" w:sz="4" w:space="0"/>
              <w:right w:val="single" w:color="000000" w:sz="4" w:space="0"/>
            </w:tcBorders>
            <w:noWrap/>
            <w:vAlign w:val="center"/>
          </w:tcPr>
          <w:p w14:paraId="029DFC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2343" w:type="dxa"/>
            <w:tcBorders>
              <w:top w:val="single" w:color="000000" w:sz="4" w:space="0"/>
              <w:left w:val="single" w:color="000000" w:sz="4" w:space="0"/>
              <w:bottom w:val="single" w:color="000000" w:sz="4" w:space="0"/>
              <w:right w:val="single" w:color="000000" w:sz="4" w:space="0"/>
            </w:tcBorders>
            <w:noWrap/>
            <w:vAlign w:val="center"/>
          </w:tcPr>
          <w:p w14:paraId="770EE2F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内容及</w:t>
            </w:r>
            <w:r>
              <w:rPr>
                <w:rFonts w:hint="eastAsia" w:ascii="仿宋" w:hAnsi="仿宋" w:eastAsia="仿宋" w:cs="仿宋"/>
                <w:i w:val="0"/>
                <w:iCs w:val="0"/>
                <w:color w:val="000000"/>
                <w:sz w:val="24"/>
                <w:szCs w:val="24"/>
                <w:highlight w:val="none"/>
                <w:u w:val="none"/>
                <w:lang w:val="en-US" w:eastAsia="zh-CN"/>
              </w:rPr>
              <w:t>技术要求</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25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预估数量</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455817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单位</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533290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单价（元）</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44F2B96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金额（元）</w:t>
            </w:r>
          </w:p>
        </w:tc>
      </w:tr>
      <w:tr w14:paraId="6BD88702">
        <w:tblPrEx>
          <w:tblCellMar>
            <w:top w:w="0" w:type="dxa"/>
            <w:left w:w="108" w:type="dxa"/>
            <w:bottom w:w="0" w:type="dxa"/>
            <w:right w:w="108" w:type="dxa"/>
          </w:tblCellMar>
        </w:tblPrEx>
        <w:trPr>
          <w:trHeight w:val="532"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6EEF5B7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3045" w:type="dxa"/>
            <w:tcBorders>
              <w:top w:val="single" w:color="000000" w:sz="4" w:space="0"/>
              <w:left w:val="single" w:color="000000" w:sz="4" w:space="0"/>
              <w:bottom w:val="single" w:color="000000" w:sz="4" w:space="0"/>
              <w:right w:val="single" w:color="000000" w:sz="4" w:space="0"/>
            </w:tcBorders>
            <w:noWrap w:val="0"/>
            <w:vAlign w:val="center"/>
          </w:tcPr>
          <w:p w14:paraId="6E54CCE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i w:val="0"/>
                <w:iCs w:val="0"/>
                <w:color w:val="000000"/>
                <w:sz w:val="24"/>
                <w:szCs w:val="24"/>
                <w:highlight w:val="none"/>
                <w:u w:val="none"/>
                <w:lang w:val="en-US" w:eastAsia="zh-CN"/>
              </w:rPr>
              <w:t>#2布袋除尘器净气室隔板、支撑板及加强件、连接件、支撑件和布袋花板与侧板折角处喷砂除锈防腐</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14:paraId="0B583E7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default" w:ascii="仿宋" w:hAnsi="仿宋" w:eastAsia="仿宋" w:cs="仿宋"/>
                <w:i w:val="0"/>
                <w:iCs w:val="0"/>
                <w:color w:val="000000"/>
                <w:kern w:val="0"/>
                <w:sz w:val="24"/>
                <w:szCs w:val="24"/>
                <w:highlight w:val="none"/>
                <w:u w:val="none"/>
                <w:lang w:val="en-US" w:eastAsia="zh-CN" w:bidi="ar"/>
              </w:rPr>
              <w:t>详见招标文件</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505FD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约560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BC9E7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平方米</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62DF4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28750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58CCE46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p>
    <w:p w14:paraId="5D4B9DA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 xml:space="preserve">固定单价：   </w:t>
      </w:r>
      <w:r>
        <w:rPr>
          <w:rFonts w:hint="eastAsia" w:ascii="仿宋" w:hAnsi="仿宋" w:eastAsia="仿宋" w:cs="仿宋"/>
          <w:sz w:val="30"/>
          <w:szCs w:val="30"/>
        </w:rPr>
        <w:t>元</w:t>
      </w:r>
      <w:r>
        <w:rPr>
          <w:rFonts w:hint="eastAsia" w:ascii="仿宋" w:hAnsi="仿宋" w:eastAsia="仿宋" w:cs="仿宋"/>
          <w:sz w:val="30"/>
          <w:szCs w:val="30"/>
          <w:lang w:val="en-US" w:eastAsia="zh-CN"/>
        </w:rPr>
        <w:t>/平方米</w:t>
      </w:r>
      <w:r>
        <w:rPr>
          <w:rFonts w:hint="eastAsia" w:ascii="仿宋" w:hAnsi="仿宋" w:eastAsia="仿宋" w:cs="仿宋"/>
          <w:sz w:val="30"/>
          <w:szCs w:val="30"/>
        </w:rPr>
        <w:t>，</w:t>
      </w:r>
      <w:r>
        <w:rPr>
          <w:rFonts w:hint="eastAsia" w:ascii="仿宋" w:hAnsi="仿宋" w:eastAsia="仿宋" w:cs="仿宋"/>
          <w:sz w:val="30"/>
          <w:szCs w:val="30"/>
          <w:lang w:val="en-US" w:eastAsia="zh-CN"/>
        </w:rPr>
        <w:t>预估总价：    元，</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269AEBA3">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sz w:val="30"/>
          <w:szCs w:val="30"/>
          <w:lang w:val="en-US" w:eastAsia="zh-CN"/>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项目完成且经由采购人验收合格后，根据第三方审计机构出具的数据为最终的结算面积进行结算，结算总金额不得超过合同预估总金额。结算完成后服务方提供经双方确认的增值税专用发票，采购人自收到准确发票后，于次二月支付至合同总价（实际平方数×固定单价）的90%，服务方未按采购人财务要求提供发票的，采购人有权顺延付款且不视为违约。服务方需提供三年质保，其剩余10%尾款自动转为质保金，质保金于质保期满且无未决争议后支付（无息），质保期从采购人最终验收合格之日起计算。</w:t>
      </w:r>
    </w:p>
    <w:p w14:paraId="7C5BCAA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【禁止擅自修改付款条件，未满足该条件则视为无效投标】</w:t>
      </w:r>
    </w:p>
    <w:p w14:paraId="47142B7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相关要求：</w:t>
      </w:r>
    </w:p>
    <w:p w14:paraId="67CC8822">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rPr>
        <w:t>本项</w:t>
      </w:r>
      <w:r>
        <w:rPr>
          <w:rFonts w:hint="eastAsia" w:ascii="仿宋" w:hAnsi="仿宋" w:eastAsia="仿宋" w:cs="仿宋"/>
          <w:sz w:val="30"/>
          <w:szCs w:val="30"/>
          <w:lang w:eastAsia="zh-CN"/>
        </w:rPr>
        <w:t>目采购总金额限价人民币43.7</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r>
        <w:rPr>
          <w:rFonts w:hint="eastAsia" w:ascii="仿宋" w:hAnsi="仿宋" w:eastAsia="仿宋" w:cs="仿宋"/>
          <w:sz w:val="30"/>
          <w:szCs w:val="30"/>
          <w:lang w:eastAsia="zh-CN"/>
        </w:rPr>
        <w:t>。</w:t>
      </w:r>
    </w:p>
    <w:p w14:paraId="3EA2627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sz w:val="30"/>
          <w:szCs w:val="30"/>
          <w:highlight w:val="none"/>
          <w:lang w:val="en-US" w:eastAsia="zh-CN"/>
        </w:rPr>
        <w:t>2、</w:t>
      </w:r>
      <w:r>
        <w:rPr>
          <w:rFonts w:hint="eastAsia" w:ascii="仿宋" w:hAnsi="仿宋" w:eastAsia="仿宋" w:cs="仿宋"/>
          <w:color w:val="auto"/>
          <w:sz w:val="30"/>
          <w:szCs w:val="30"/>
          <w:highlight w:val="none"/>
          <w:lang w:val="en-US" w:eastAsia="zh-CN"/>
        </w:rPr>
        <w:t>该采购项目履约保证金为合同剩余10%尾款。合同履行过程中，履约保证金转为质保金。质保期满后，招标人支付质保金（无息）。</w:t>
      </w:r>
    </w:p>
    <w:p w14:paraId="3C217ED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3、中标人在合同履行期间出现违约行为，招标人可扣除相应履约保证金/质保金，并向中标人追究相应经济损失。</w:t>
      </w:r>
    </w:p>
    <w:p w14:paraId="3181F8B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color w:val="auto"/>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21054B2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34C7FB38">
      <w:pPr>
        <w:snapToGrid w:val="0"/>
        <w:ind w:firstLine="480" w:firstLineChars="200"/>
        <w:jc w:val="right"/>
        <w:rPr>
          <w:rFonts w:hint="eastAsia" w:ascii="仿宋" w:hAnsi="仿宋" w:eastAsia="仿宋" w:cs="仿宋"/>
          <w:sz w:val="24"/>
          <w:szCs w:val="24"/>
        </w:rPr>
      </w:pPr>
    </w:p>
    <w:p w14:paraId="3FB5B9D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24F80EEC">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6B8A0D71">
      <w:pPr>
        <w:spacing w:line="360" w:lineRule="auto"/>
        <w:jc w:val="center"/>
        <w:rPr>
          <w:rFonts w:hint="eastAsia" w:ascii="仿宋" w:hAnsi="仿宋" w:eastAsia="仿宋" w:cs="仿宋"/>
          <w:b/>
          <w:color w:val="auto"/>
          <w:sz w:val="44"/>
        </w:rPr>
      </w:pPr>
      <w:bookmarkStart w:id="17" w:name="_Toc103165678"/>
      <w:bookmarkStart w:id="18" w:name="_Toc108839328"/>
      <w:bookmarkStart w:id="19" w:name="_Toc29413"/>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#2布袋除尘器净气室隔板、支撑板及加强件、连接件、支撑件和布袋花板与侧板折角处喷砂除锈防腐 </w:t>
      </w:r>
      <w:r>
        <w:rPr>
          <w:rFonts w:hint="eastAsia" w:ascii="仿宋" w:hAnsi="仿宋" w:eastAsia="仿宋" w:cs="仿宋"/>
          <w:color w:val="auto"/>
          <w:sz w:val="30"/>
          <w:szCs w:val="30"/>
          <w:u w:val="none"/>
          <w:lang w:val="en-US" w:eastAsia="zh-CN"/>
        </w:rPr>
        <w:t>项目。</w:t>
      </w:r>
    </w:p>
    <w:tbl>
      <w:tblPr>
        <w:tblStyle w:val="14"/>
        <w:tblW w:w="5014" w:type="pct"/>
        <w:jc w:val="center"/>
        <w:tblLayout w:type="fixed"/>
        <w:tblCellMar>
          <w:top w:w="0" w:type="dxa"/>
          <w:left w:w="108" w:type="dxa"/>
          <w:bottom w:w="0" w:type="dxa"/>
          <w:right w:w="108" w:type="dxa"/>
        </w:tblCellMar>
      </w:tblPr>
      <w:tblGrid>
        <w:gridCol w:w="672"/>
        <w:gridCol w:w="1594"/>
        <w:gridCol w:w="2636"/>
        <w:gridCol w:w="1300"/>
        <w:gridCol w:w="845"/>
        <w:gridCol w:w="1170"/>
        <w:gridCol w:w="1098"/>
      </w:tblGrid>
      <w:tr w14:paraId="34C7EDDD">
        <w:tblPrEx>
          <w:tblCellMar>
            <w:top w:w="0" w:type="dxa"/>
            <w:left w:w="108" w:type="dxa"/>
            <w:bottom w:w="0" w:type="dxa"/>
            <w:right w:w="108" w:type="dxa"/>
          </w:tblCellMar>
        </w:tblPrEx>
        <w:trPr>
          <w:trHeight w:val="467"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5EFC94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594" w:type="dxa"/>
            <w:tcBorders>
              <w:top w:val="single" w:color="000000" w:sz="4" w:space="0"/>
              <w:left w:val="single" w:color="000000" w:sz="4" w:space="0"/>
              <w:bottom w:val="single" w:color="000000" w:sz="4" w:space="0"/>
              <w:right w:val="single" w:color="000000" w:sz="4" w:space="0"/>
            </w:tcBorders>
            <w:noWrap/>
            <w:vAlign w:val="center"/>
          </w:tcPr>
          <w:p w14:paraId="3B8644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6508DB97">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内容及</w:t>
            </w:r>
            <w:r>
              <w:rPr>
                <w:rFonts w:hint="eastAsia" w:ascii="仿宋" w:hAnsi="仿宋" w:eastAsia="仿宋" w:cs="仿宋"/>
                <w:i w:val="0"/>
                <w:iCs w:val="0"/>
                <w:color w:val="000000"/>
                <w:sz w:val="24"/>
                <w:szCs w:val="24"/>
                <w:highlight w:val="none"/>
                <w:u w:val="none"/>
                <w:lang w:val="en-US" w:eastAsia="zh-CN"/>
              </w:rPr>
              <w:t>技术要求</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50FD0E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预估数量</w:t>
            </w:r>
          </w:p>
        </w:tc>
        <w:tc>
          <w:tcPr>
            <w:tcW w:w="845" w:type="dxa"/>
            <w:tcBorders>
              <w:top w:val="single" w:color="000000" w:sz="4" w:space="0"/>
              <w:left w:val="single" w:color="000000" w:sz="4" w:space="0"/>
              <w:bottom w:val="single" w:color="000000" w:sz="4" w:space="0"/>
              <w:right w:val="single" w:color="000000" w:sz="4" w:space="0"/>
            </w:tcBorders>
            <w:noWrap/>
            <w:vAlign w:val="center"/>
          </w:tcPr>
          <w:p w14:paraId="2E6E26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单位</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74F312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单价（元）</w:t>
            </w:r>
          </w:p>
        </w:tc>
        <w:tc>
          <w:tcPr>
            <w:tcW w:w="1098" w:type="dxa"/>
            <w:tcBorders>
              <w:top w:val="single" w:color="000000" w:sz="4" w:space="0"/>
              <w:left w:val="single" w:color="000000" w:sz="4" w:space="0"/>
              <w:bottom w:val="single" w:color="000000" w:sz="4" w:space="0"/>
              <w:right w:val="single" w:color="000000" w:sz="4" w:space="0"/>
            </w:tcBorders>
            <w:noWrap/>
            <w:vAlign w:val="center"/>
          </w:tcPr>
          <w:p w14:paraId="4055A4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金额（元）</w:t>
            </w:r>
          </w:p>
        </w:tc>
      </w:tr>
      <w:tr w14:paraId="1F6F270A">
        <w:tblPrEx>
          <w:tblCellMar>
            <w:top w:w="0" w:type="dxa"/>
            <w:left w:w="108" w:type="dxa"/>
            <w:bottom w:w="0" w:type="dxa"/>
            <w:right w:w="108" w:type="dxa"/>
          </w:tblCellMar>
        </w:tblPrEx>
        <w:trPr>
          <w:trHeight w:val="532"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6BF7355A">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w:t>
            </w:r>
          </w:p>
        </w:tc>
        <w:tc>
          <w:tcPr>
            <w:tcW w:w="1594" w:type="dxa"/>
            <w:tcBorders>
              <w:top w:val="single" w:color="000000" w:sz="4" w:space="0"/>
              <w:left w:val="single" w:color="000000" w:sz="4" w:space="0"/>
              <w:bottom w:val="single" w:color="000000" w:sz="4" w:space="0"/>
              <w:right w:val="single" w:color="000000" w:sz="4" w:space="0"/>
            </w:tcBorders>
            <w:noWrap w:val="0"/>
            <w:vAlign w:val="center"/>
          </w:tcPr>
          <w:p w14:paraId="0178F4C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0382C0F5">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04E17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1A350A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408400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0C79F6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bl>
    <w:p w14:paraId="29DA0A7B">
      <w:pPr>
        <w:pStyle w:val="10"/>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4C4C661">
      <w:pPr>
        <w:keepNext w:val="0"/>
        <w:keepLines w:val="0"/>
        <w:pageBreakBefore w:val="0"/>
        <w:widowControl w:val="0"/>
        <w:numPr>
          <w:ilvl w:val="0"/>
          <w:numId w:val="8"/>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项目完成且经由采购人验收合格后，根据第三方审计机构出具的数据为最终的结算面积进行结算，结算总金额不得超过合同预估总金额。结算完成后服务方提供经双方确认的增值税专用发票，采购人自收到准确发票后，于次二月支付至合同总价（实际平方数×固定单价）的90%，服务方未按采购人财务要求提供发票的，采购人有权顺延付款且不视为违约。服务方需提供三年质保，其剩余10%尾款自动转为质保金，于质保期到期后支付，质保期从采购人最终验收合格之日起计算。</w:t>
      </w:r>
    </w:p>
    <w:p w14:paraId="687EAABE">
      <w:pPr>
        <w:keepNext w:val="0"/>
        <w:keepLines w:val="0"/>
        <w:pageBreakBefore w:val="0"/>
        <w:widowControl w:val="0"/>
        <w:numPr>
          <w:ilvl w:val="0"/>
          <w:numId w:val="8"/>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8"/>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8"/>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299E6906">
      <w:pPr>
        <w:wordWrap w:val="0"/>
        <w:snapToGrid w:val="0"/>
        <w:ind w:firstLine="480" w:firstLineChars="200"/>
        <w:jc w:val="right"/>
        <w:rPr>
          <w:rFonts w:hint="eastAsia" w:ascii="仿宋" w:hAnsi="仿宋" w:eastAsia="仿宋" w:cs="仿宋"/>
          <w:color w:val="auto"/>
          <w:sz w:val="24"/>
          <w:szCs w:val="24"/>
          <w:lang w:val="en-US" w:eastAsia="zh-CN"/>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BE11211">
      <w:pPr>
        <w:spacing w:line="480" w:lineRule="auto"/>
        <w:jc w:val="left"/>
        <w:outlineLvl w:val="0"/>
        <w:rPr>
          <w:rFonts w:hint="eastAsia" w:ascii="仿宋" w:hAnsi="仿宋" w:eastAsia="仿宋" w:cs="仿宋"/>
          <w:b/>
          <w:spacing w:val="-2"/>
          <w:sz w:val="30"/>
        </w:rPr>
      </w:pPr>
      <w:r>
        <w:rPr>
          <w:rStyle w:val="21"/>
          <w:rFonts w:hint="eastAsia" w:ascii="仿宋" w:hAnsi="仿宋" w:eastAsia="仿宋" w:cs="仿宋"/>
          <w:sz w:val="30"/>
        </w:rPr>
        <w:t>附件</w:t>
      </w:r>
      <w:bookmarkEnd w:id="17"/>
      <w:bookmarkEnd w:id="18"/>
      <w:r>
        <w:rPr>
          <w:rStyle w:val="21"/>
          <w:rFonts w:hint="eastAsia" w:ascii="仿宋" w:hAnsi="仿宋" w:eastAsia="仿宋" w:cs="仿宋"/>
          <w:sz w:val="30"/>
        </w:rPr>
        <w:t>三</w:t>
      </w:r>
      <w:bookmarkEnd w:id="19"/>
    </w:p>
    <w:p w14:paraId="528F1991">
      <w:pPr>
        <w:snapToGrid w:val="0"/>
        <w:ind w:firstLine="1926" w:firstLineChars="600"/>
        <w:jc w:val="left"/>
        <w:rPr>
          <w:rFonts w:hint="eastAsia" w:ascii="仿宋" w:hAnsi="仿宋" w:eastAsia="仿宋" w:cs="仿宋"/>
          <w:b/>
          <w:spacing w:val="40"/>
          <w:sz w:val="24"/>
          <w:szCs w:val="24"/>
        </w:rPr>
      </w:pPr>
    </w:p>
    <w:p w14:paraId="39416B3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03F0BD6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248B2561">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#2布袋除尘器净气室隔板、支撑板及加强件、连接件、支撑件和布袋花板与侧板折角处喷砂除锈防腐项目</w:t>
      </w:r>
      <w:r>
        <w:rPr>
          <w:rFonts w:hint="eastAsia" w:ascii="仿宋" w:hAnsi="仿宋" w:eastAsia="仿宋" w:cs="仿宋"/>
          <w:sz w:val="28"/>
          <w:szCs w:val="28"/>
        </w:rPr>
        <w:t>询价采购，并作如下承诺：</w:t>
      </w:r>
    </w:p>
    <w:p w14:paraId="775EE76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65891C6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1E8D934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45AFAFBE">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7EF7992A">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50FCEF2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2531AC1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364BF93">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p>
    <w:p w14:paraId="70C6EEBC">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34370D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1B4C888B">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6C0C48BE">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B5974">
    <w:pPr>
      <w:pStyle w:val="8"/>
      <w:framePr w:wrap="around" w:vAnchor="text" w:hAnchor="margin" w:xAlign="center" w:y="1"/>
      <w:rPr>
        <w:rStyle w:val="17"/>
      </w:rPr>
    </w:pPr>
    <w:r>
      <w:fldChar w:fldCharType="begin"/>
    </w:r>
    <w:r>
      <w:rPr>
        <w:rStyle w:val="17"/>
      </w:rPr>
      <w:instrText xml:space="preserve">PAGE  </w:instrText>
    </w:r>
    <w:r>
      <w:fldChar w:fldCharType="separate"/>
    </w:r>
    <w:r>
      <w:rPr>
        <w:rStyle w:val="17"/>
      </w:rPr>
      <w:t>10</w:t>
    </w:r>
    <w:r>
      <w:fldChar w:fldCharType="end"/>
    </w:r>
  </w:p>
  <w:p w14:paraId="0806776C">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ACADD0A"/>
    <w:multiLevelType w:val="singleLevel"/>
    <w:tmpl w:val="8ACADD0A"/>
    <w:lvl w:ilvl="0" w:tentative="0">
      <w:start w:val="1"/>
      <w:numFmt w:val="decimal"/>
      <w:suff w:val="nothing"/>
      <w:lvlText w:val="%1、"/>
      <w:lvlJc w:val="left"/>
    </w:lvl>
  </w:abstractNum>
  <w:abstractNum w:abstractNumId="2">
    <w:nsid w:val="8C79575F"/>
    <w:multiLevelType w:val="singleLevel"/>
    <w:tmpl w:val="8C79575F"/>
    <w:lvl w:ilvl="0" w:tentative="0">
      <w:start w:val="12"/>
      <w:numFmt w:val="chineseCounting"/>
      <w:suff w:val="space"/>
      <w:lvlText w:val="第%1条"/>
      <w:lvlJc w:val="left"/>
      <w:rPr>
        <w:rFonts w:hint="eastAsia"/>
      </w:rPr>
    </w:lvl>
  </w:abstractNum>
  <w:abstractNum w:abstractNumId="3">
    <w:nsid w:val="AF5134E0"/>
    <w:multiLevelType w:val="singleLevel"/>
    <w:tmpl w:val="AF5134E0"/>
    <w:lvl w:ilvl="0" w:tentative="0">
      <w:start w:val="1"/>
      <w:numFmt w:val="decimal"/>
      <w:suff w:val="nothing"/>
      <w:lvlText w:val="%1、"/>
      <w:lvlJc w:val="left"/>
    </w:lvl>
  </w:abstractNum>
  <w:abstractNum w:abstractNumId="4">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5">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5AF6242"/>
    <w:multiLevelType w:val="singleLevel"/>
    <w:tmpl w:val="05AF6242"/>
    <w:lvl w:ilvl="0" w:tentative="0">
      <w:start w:val="5"/>
      <w:numFmt w:val="chineseCounting"/>
      <w:suff w:val="space"/>
      <w:lvlText w:val="第%1条"/>
      <w:lvlJc w:val="left"/>
      <w:rPr>
        <w:rFonts w:hint="eastAsia"/>
      </w:rPr>
    </w:lvl>
  </w:abstractNum>
  <w:abstractNum w:abstractNumId="7">
    <w:nsid w:val="4CC8527C"/>
    <w:multiLevelType w:val="singleLevel"/>
    <w:tmpl w:val="4CC8527C"/>
    <w:lvl w:ilvl="0" w:tentative="0">
      <w:start w:val="6"/>
      <w:numFmt w:val="chineseCounting"/>
      <w:suff w:val="nothing"/>
      <w:lvlText w:val="%1、"/>
      <w:lvlJc w:val="left"/>
      <w:rPr>
        <w:rFonts w:hint="eastAsia"/>
      </w:rPr>
    </w:lvl>
  </w:abstractNum>
  <w:num w:numId="1">
    <w:abstractNumId w:val="5"/>
  </w:num>
  <w:num w:numId="2">
    <w:abstractNumId w:val="7"/>
  </w:num>
  <w:num w:numId="3">
    <w:abstractNumId w:val="4"/>
  </w:num>
  <w:num w:numId="4">
    <w:abstractNumId w:val="6"/>
  </w:num>
  <w:num w:numId="5">
    <w:abstractNumId w:val="0"/>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ZDFhNTA3NTBkYjYwNzBmOWEzNGQxZTA1ZTZlYTEifQ=="/>
    <w:docVar w:name="KSO_WPS_MARK_KEY" w:val="54ff61b0-739e-42aa-8a2e-a4bc9060d795"/>
  </w:docVars>
  <w:rsids>
    <w:rsidRoot w:val="1297576D"/>
    <w:rsid w:val="0029396E"/>
    <w:rsid w:val="003A657B"/>
    <w:rsid w:val="00517D5D"/>
    <w:rsid w:val="005926A3"/>
    <w:rsid w:val="008746A5"/>
    <w:rsid w:val="00B574EC"/>
    <w:rsid w:val="00F65E12"/>
    <w:rsid w:val="01D22213"/>
    <w:rsid w:val="02834D04"/>
    <w:rsid w:val="031428FF"/>
    <w:rsid w:val="032842D1"/>
    <w:rsid w:val="038D5656"/>
    <w:rsid w:val="03F95A31"/>
    <w:rsid w:val="04605697"/>
    <w:rsid w:val="05D22118"/>
    <w:rsid w:val="05D355DF"/>
    <w:rsid w:val="06057AB3"/>
    <w:rsid w:val="062B00FD"/>
    <w:rsid w:val="067A3460"/>
    <w:rsid w:val="06840217"/>
    <w:rsid w:val="076328DA"/>
    <w:rsid w:val="07A76692"/>
    <w:rsid w:val="08186607"/>
    <w:rsid w:val="083A3947"/>
    <w:rsid w:val="08F93082"/>
    <w:rsid w:val="097479E0"/>
    <w:rsid w:val="09B7226A"/>
    <w:rsid w:val="0A0C6ADD"/>
    <w:rsid w:val="0A32752C"/>
    <w:rsid w:val="0A9D29B8"/>
    <w:rsid w:val="0B200AE7"/>
    <w:rsid w:val="0B2C6C02"/>
    <w:rsid w:val="0B8E6D39"/>
    <w:rsid w:val="0BC12699"/>
    <w:rsid w:val="0BCC31F9"/>
    <w:rsid w:val="0C5A16A4"/>
    <w:rsid w:val="0DC35837"/>
    <w:rsid w:val="0DE61498"/>
    <w:rsid w:val="110C39D4"/>
    <w:rsid w:val="1297576D"/>
    <w:rsid w:val="12BF4C87"/>
    <w:rsid w:val="12E70A09"/>
    <w:rsid w:val="1325794A"/>
    <w:rsid w:val="15341747"/>
    <w:rsid w:val="164F6705"/>
    <w:rsid w:val="16646293"/>
    <w:rsid w:val="16FE5921"/>
    <w:rsid w:val="17B042A1"/>
    <w:rsid w:val="18987177"/>
    <w:rsid w:val="1906629D"/>
    <w:rsid w:val="190D0CE8"/>
    <w:rsid w:val="198B334B"/>
    <w:rsid w:val="1A2B7D96"/>
    <w:rsid w:val="1BD33B78"/>
    <w:rsid w:val="1BE0140E"/>
    <w:rsid w:val="1BEC2FB3"/>
    <w:rsid w:val="1CE262BC"/>
    <w:rsid w:val="1D6D770B"/>
    <w:rsid w:val="1D94296D"/>
    <w:rsid w:val="1E191157"/>
    <w:rsid w:val="1E1A21EF"/>
    <w:rsid w:val="203B090D"/>
    <w:rsid w:val="206F2E6D"/>
    <w:rsid w:val="21135480"/>
    <w:rsid w:val="211D7593"/>
    <w:rsid w:val="212C3971"/>
    <w:rsid w:val="214D7086"/>
    <w:rsid w:val="21820C38"/>
    <w:rsid w:val="21BA7E4E"/>
    <w:rsid w:val="22DF5956"/>
    <w:rsid w:val="22ED7F5E"/>
    <w:rsid w:val="24130D0C"/>
    <w:rsid w:val="259E2C64"/>
    <w:rsid w:val="26F76768"/>
    <w:rsid w:val="27AC61A6"/>
    <w:rsid w:val="27FE02E6"/>
    <w:rsid w:val="28C57566"/>
    <w:rsid w:val="29084622"/>
    <w:rsid w:val="29F704EF"/>
    <w:rsid w:val="2A0049E3"/>
    <w:rsid w:val="2AC220DE"/>
    <w:rsid w:val="2ADB5E21"/>
    <w:rsid w:val="2ADF08BA"/>
    <w:rsid w:val="2B603075"/>
    <w:rsid w:val="2C305EB2"/>
    <w:rsid w:val="2C980D1B"/>
    <w:rsid w:val="2CD9238D"/>
    <w:rsid w:val="2D023CA7"/>
    <w:rsid w:val="2E003054"/>
    <w:rsid w:val="2EB2531B"/>
    <w:rsid w:val="2F3D045F"/>
    <w:rsid w:val="2F6F3EAC"/>
    <w:rsid w:val="2F7D3F84"/>
    <w:rsid w:val="2F844FB7"/>
    <w:rsid w:val="30256074"/>
    <w:rsid w:val="302C4175"/>
    <w:rsid w:val="30890978"/>
    <w:rsid w:val="30A52DD9"/>
    <w:rsid w:val="31713FF6"/>
    <w:rsid w:val="32B04D2F"/>
    <w:rsid w:val="33A35EAC"/>
    <w:rsid w:val="3464504B"/>
    <w:rsid w:val="34E00D83"/>
    <w:rsid w:val="34E40873"/>
    <w:rsid w:val="355F7D2E"/>
    <w:rsid w:val="36216F0D"/>
    <w:rsid w:val="36316A75"/>
    <w:rsid w:val="3667119D"/>
    <w:rsid w:val="36ED02B2"/>
    <w:rsid w:val="37DB73A7"/>
    <w:rsid w:val="389D7311"/>
    <w:rsid w:val="398E418A"/>
    <w:rsid w:val="3996009B"/>
    <w:rsid w:val="3997709B"/>
    <w:rsid w:val="39A55AE7"/>
    <w:rsid w:val="3A351BE0"/>
    <w:rsid w:val="3B0953A4"/>
    <w:rsid w:val="3BAA1BC1"/>
    <w:rsid w:val="3C302F1C"/>
    <w:rsid w:val="3C8719BD"/>
    <w:rsid w:val="3CE46170"/>
    <w:rsid w:val="3D7933CA"/>
    <w:rsid w:val="3DAC3CC7"/>
    <w:rsid w:val="3E16524F"/>
    <w:rsid w:val="3EA30F9B"/>
    <w:rsid w:val="3F2D02B4"/>
    <w:rsid w:val="3F7C50B1"/>
    <w:rsid w:val="3F996DE7"/>
    <w:rsid w:val="3FAE19C2"/>
    <w:rsid w:val="406B2371"/>
    <w:rsid w:val="407E15A7"/>
    <w:rsid w:val="40AA3B81"/>
    <w:rsid w:val="411C5733"/>
    <w:rsid w:val="417112FA"/>
    <w:rsid w:val="42D57A4D"/>
    <w:rsid w:val="436A096E"/>
    <w:rsid w:val="43985971"/>
    <w:rsid w:val="43A970E7"/>
    <w:rsid w:val="43BA0460"/>
    <w:rsid w:val="44322CE6"/>
    <w:rsid w:val="44544A76"/>
    <w:rsid w:val="449544C5"/>
    <w:rsid w:val="44A55070"/>
    <w:rsid w:val="45530393"/>
    <w:rsid w:val="469F7AF8"/>
    <w:rsid w:val="471B5F3A"/>
    <w:rsid w:val="475812CD"/>
    <w:rsid w:val="475D1115"/>
    <w:rsid w:val="478F3581"/>
    <w:rsid w:val="47B96D86"/>
    <w:rsid w:val="47D615F1"/>
    <w:rsid w:val="47D93555"/>
    <w:rsid w:val="48034DA7"/>
    <w:rsid w:val="486F4BB5"/>
    <w:rsid w:val="48A60514"/>
    <w:rsid w:val="48E14418"/>
    <w:rsid w:val="491635D4"/>
    <w:rsid w:val="49E7480F"/>
    <w:rsid w:val="4AE97537"/>
    <w:rsid w:val="4AF173EE"/>
    <w:rsid w:val="4C2F1B9C"/>
    <w:rsid w:val="4C870D35"/>
    <w:rsid w:val="4D2832EB"/>
    <w:rsid w:val="4DB81983"/>
    <w:rsid w:val="4DF66F25"/>
    <w:rsid w:val="4E376DB9"/>
    <w:rsid w:val="4E716394"/>
    <w:rsid w:val="4ECC39F8"/>
    <w:rsid w:val="4F0A3ECF"/>
    <w:rsid w:val="4F595384"/>
    <w:rsid w:val="4F72433C"/>
    <w:rsid w:val="4F7F3CCA"/>
    <w:rsid w:val="4FE50BFA"/>
    <w:rsid w:val="502844C8"/>
    <w:rsid w:val="50752D24"/>
    <w:rsid w:val="51131CCB"/>
    <w:rsid w:val="51D845E4"/>
    <w:rsid w:val="52341DDD"/>
    <w:rsid w:val="531111FC"/>
    <w:rsid w:val="533444FB"/>
    <w:rsid w:val="55C54FE9"/>
    <w:rsid w:val="55E07717"/>
    <w:rsid w:val="56397366"/>
    <w:rsid w:val="58080247"/>
    <w:rsid w:val="586824B1"/>
    <w:rsid w:val="5950112B"/>
    <w:rsid w:val="59C3293C"/>
    <w:rsid w:val="5A1C766A"/>
    <w:rsid w:val="5B3710B2"/>
    <w:rsid w:val="5CF528AB"/>
    <w:rsid w:val="5D132301"/>
    <w:rsid w:val="5E970206"/>
    <w:rsid w:val="5ED1360A"/>
    <w:rsid w:val="5F1E1E73"/>
    <w:rsid w:val="612A3DEE"/>
    <w:rsid w:val="614D7B82"/>
    <w:rsid w:val="62B67083"/>
    <w:rsid w:val="64787E17"/>
    <w:rsid w:val="649C599A"/>
    <w:rsid w:val="66B027B6"/>
    <w:rsid w:val="671A2875"/>
    <w:rsid w:val="67966EFB"/>
    <w:rsid w:val="67B628F5"/>
    <w:rsid w:val="682119CD"/>
    <w:rsid w:val="69A94E0C"/>
    <w:rsid w:val="6B656B47"/>
    <w:rsid w:val="6B7E1643"/>
    <w:rsid w:val="6C714475"/>
    <w:rsid w:val="6CDB032D"/>
    <w:rsid w:val="6DB2110D"/>
    <w:rsid w:val="6DBD736C"/>
    <w:rsid w:val="6DF45A5A"/>
    <w:rsid w:val="6E5526FF"/>
    <w:rsid w:val="6EB82DCE"/>
    <w:rsid w:val="6F2B1820"/>
    <w:rsid w:val="6F412F7A"/>
    <w:rsid w:val="707E74C2"/>
    <w:rsid w:val="70CC0A36"/>
    <w:rsid w:val="710D0440"/>
    <w:rsid w:val="71C5585F"/>
    <w:rsid w:val="720E79AF"/>
    <w:rsid w:val="73A1381E"/>
    <w:rsid w:val="740558BC"/>
    <w:rsid w:val="744B4FD8"/>
    <w:rsid w:val="7459468D"/>
    <w:rsid w:val="749131D7"/>
    <w:rsid w:val="756F240E"/>
    <w:rsid w:val="759D3BC6"/>
    <w:rsid w:val="779817DA"/>
    <w:rsid w:val="77D476E8"/>
    <w:rsid w:val="782A7918"/>
    <w:rsid w:val="79715756"/>
    <w:rsid w:val="7A500C84"/>
    <w:rsid w:val="7A7B08FF"/>
    <w:rsid w:val="7AE21E9E"/>
    <w:rsid w:val="7B027F4F"/>
    <w:rsid w:val="7B09318D"/>
    <w:rsid w:val="7B5F5943"/>
    <w:rsid w:val="7B6004E6"/>
    <w:rsid w:val="7BE14791"/>
    <w:rsid w:val="7C4C470C"/>
    <w:rsid w:val="7CD03426"/>
    <w:rsid w:val="7DDA7768"/>
    <w:rsid w:val="7DFA5FDE"/>
    <w:rsid w:val="7E0B3994"/>
    <w:rsid w:val="7ED236BD"/>
    <w:rsid w:val="7ED613D1"/>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6"/>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标书正文1"/>
    <w:basedOn w:val="1"/>
    <w:qFormat/>
    <w:uiPriority w:val="99"/>
    <w:pPr>
      <w:spacing w:line="520" w:lineRule="exact"/>
      <w:ind w:firstLine="640" w:firstLineChars="200"/>
    </w:pPr>
  </w:style>
  <w:style w:type="paragraph" w:styleId="4">
    <w:name w:val="annotation text"/>
    <w:basedOn w:val="1"/>
    <w:qFormat/>
    <w:uiPriority w:val="0"/>
    <w:pPr>
      <w:jc w:val="left"/>
    </w:pPr>
  </w:style>
  <w:style w:type="paragraph" w:styleId="5">
    <w:name w:val="Body Text"/>
    <w:basedOn w:val="1"/>
    <w:next w:val="1"/>
    <w:qFormat/>
    <w:uiPriority w:val="1"/>
    <w:pPr>
      <w:spacing w:after="120" w:afterLines="0"/>
    </w:p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5"/>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13">
    <w:name w:val="Body Text First Indent 2"/>
    <w:basedOn w:val="6"/>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qFormat/>
    <w:uiPriority w:val="99"/>
    <w:rPr>
      <w:color w:val="0000FF"/>
      <w:u w:val="single"/>
    </w:rPr>
  </w:style>
  <w:style w:type="character" w:styleId="19">
    <w:name w:val="annotation reference"/>
    <w:basedOn w:val="16"/>
    <w:qFormat/>
    <w:uiPriority w:val="0"/>
    <w:rPr>
      <w:sz w:val="21"/>
      <w:szCs w:val="21"/>
    </w:rPr>
  </w:style>
  <w:style w:type="paragraph" w:customStyle="1" w:styleId="20">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1">
    <w:name w:val="标题 1 Char Char"/>
    <w:qFormat/>
    <w:uiPriority w:val="0"/>
    <w:rPr>
      <w:rFonts w:eastAsia="宋体"/>
      <w:b/>
      <w:spacing w:val="-2"/>
      <w:sz w:val="24"/>
      <w:lang w:val="en-US" w:eastAsia="zh-CN"/>
    </w:rPr>
  </w:style>
  <w:style w:type="paragraph" w:customStyle="1" w:styleId="22">
    <w:name w:val="一、标题"/>
    <w:basedOn w:val="1"/>
    <w:qFormat/>
    <w:uiPriority w:val="0"/>
    <w:rPr>
      <w:b/>
      <w:sz w:val="28"/>
    </w:rPr>
  </w:style>
  <w:style w:type="paragraph" w:styleId="23">
    <w:name w:val="List Paragraph"/>
    <w:basedOn w:val="1"/>
    <w:qFormat/>
    <w:uiPriority w:val="34"/>
    <w:pPr>
      <w:ind w:firstLine="420" w:firstLineChars="200"/>
    </w:pPr>
  </w:style>
  <w:style w:type="character" w:customStyle="1" w:styleId="24">
    <w:name w:val="页眉 Char"/>
    <w:basedOn w:val="16"/>
    <w:link w:val="9"/>
    <w:qFormat/>
    <w:uiPriority w:val="0"/>
    <w:rPr>
      <w:kern w:val="2"/>
      <w:sz w:val="18"/>
      <w:szCs w:val="18"/>
    </w:rPr>
  </w:style>
  <w:style w:type="character" w:customStyle="1" w:styleId="25">
    <w:name w:val="批注框文本 Char"/>
    <w:basedOn w:val="16"/>
    <w:link w:val="7"/>
    <w:qFormat/>
    <w:uiPriority w:val="0"/>
    <w:rPr>
      <w:kern w:val="2"/>
      <w:sz w:val="18"/>
      <w:szCs w:val="18"/>
    </w:rPr>
  </w:style>
  <w:style w:type="character" w:customStyle="1" w:styleId="26">
    <w:name w:val="font31"/>
    <w:basedOn w:val="16"/>
    <w:qFormat/>
    <w:uiPriority w:val="0"/>
    <w:rPr>
      <w:rFonts w:hint="eastAsia" w:ascii="宋体" w:hAnsi="宋体" w:eastAsia="宋体" w:cs="宋体"/>
      <w:color w:val="000000"/>
      <w:sz w:val="22"/>
      <w:szCs w:val="22"/>
      <w:u w:val="none"/>
    </w:rPr>
  </w:style>
  <w:style w:type="character" w:customStyle="1" w:styleId="27">
    <w:name w:val="font51"/>
    <w:basedOn w:val="16"/>
    <w:qFormat/>
    <w:uiPriority w:val="0"/>
    <w:rPr>
      <w:rFonts w:hint="default" w:ascii="Times New Roman" w:hAnsi="Times New Roman" w:cs="Times New Roman"/>
      <w:color w:val="000000"/>
      <w:sz w:val="22"/>
      <w:szCs w:val="22"/>
      <w:u w:val="none"/>
    </w:rPr>
  </w:style>
  <w:style w:type="character" w:customStyle="1" w:styleId="28">
    <w:name w:val="font41"/>
    <w:basedOn w:val="16"/>
    <w:qFormat/>
    <w:uiPriority w:val="0"/>
    <w:rPr>
      <w:rFonts w:ascii="仿宋_GB2312" w:eastAsia="仿宋_GB2312" w:cs="仿宋_GB2312"/>
      <w:color w:val="000000"/>
      <w:sz w:val="22"/>
      <w:szCs w:val="22"/>
      <w:u w:val="none"/>
    </w:rPr>
  </w:style>
  <w:style w:type="character" w:customStyle="1" w:styleId="29">
    <w:name w:val="font21"/>
    <w:basedOn w:val="16"/>
    <w:qFormat/>
    <w:uiPriority w:val="0"/>
    <w:rPr>
      <w:rFonts w:hint="eastAsia" w:ascii="宋体" w:hAnsi="宋体" w:eastAsia="宋体" w:cs="宋体"/>
      <w:color w:val="000000"/>
      <w:sz w:val="22"/>
      <w:szCs w:val="22"/>
      <w:u w:val="none"/>
      <w:vertAlign w:val="superscript"/>
    </w:rPr>
  </w:style>
  <w:style w:type="character" w:customStyle="1" w:styleId="30">
    <w:name w:val="font01"/>
    <w:basedOn w:val="16"/>
    <w:qFormat/>
    <w:uiPriority w:val="0"/>
    <w:rPr>
      <w:rFonts w:hint="eastAsia" w:ascii="宋体" w:hAnsi="宋体" w:eastAsia="宋体" w:cs="宋体"/>
      <w:color w:val="000000"/>
      <w:sz w:val="22"/>
      <w:szCs w:val="22"/>
      <w:u w:val="none"/>
    </w:rPr>
  </w:style>
  <w:style w:type="character" w:customStyle="1" w:styleId="31">
    <w:name w:val="font11"/>
    <w:basedOn w:val="16"/>
    <w:qFormat/>
    <w:uiPriority w:val="0"/>
    <w:rPr>
      <w:rFonts w:hint="eastAsia" w:ascii="宋体" w:hAnsi="宋体" w:eastAsia="宋体" w:cs="宋体"/>
      <w:color w:val="000000"/>
      <w:sz w:val="24"/>
      <w:szCs w:val="24"/>
      <w:u w:val="none"/>
    </w:rPr>
  </w:style>
  <w:style w:type="paragraph" w:customStyle="1" w:styleId="3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3">
    <w:name w:val="font81"/>
    <w:basedOn w:val="16"/>
    <w:qFormat/>
    <w:uiPriority w:val="0"/>
    <w:rPr>
      <w:rFonts w:ascii="宋体" w:hAnsi="宋体" w:eastAsia="宋体" w:cs="宋体"/>
      <w:color w:val="000000"/>
      <w:sz w:val="20"/>
      <w:szCs w:val="20"/>
      <w:u w:val="none"/>
    </w:rPr>
  </w:style>
  <w:style w:type="character" w:customStyle="1" w:styleId="34">
    <w:name w:val="font71"/>
    <w:basedOn w:val="16"/>
    <w:qFormat/>
    <w:uiPriority w:val="0"/>
    <w:rPr>
      <w:rFonts w:hint="eastAsia" w:ascii="仿宋" w:hAnsi="仿宋" w:eastAsia="仿宋" w:cs="仿宋"/>
      <w:color w:val="000000"/>
      <w:sz w:val="22"/>
      <w:szCs w:val="22"/>
      <w:u w:val="none"/>
    </w:rPr>
  </w:style>
  <w:style w:type="paragraph" w:customStyle="1" w:styleId="35">
    <w:name w:val="样式1"/>
    <w:basedOn w:val="1"/>
    <w:qFormat/>
    <w:uiPriority w:val="0"/>
    <w:pPr>
      <w:spacing w:line="240" w:lineRule="exact"/>
    </w:pPr>
    <w:rPr>
      <w:rFonts w:ascii="宋体" w:hAnsi="宋体" w:eastAsia="宋体"/>
      <w:sz w:val="24"/>
      <w:szCs w:val="24"/>
    </w:rPr>
  </w:style>
  <w:style w:type="character" w:customStyle="1" w:styleId="36">
    <w:name w:val="标题 1 Char"/>
    <w:link w:val="3"/>
    <w:qFormat/>
    <w:uiPriority w:val="0"/>
    <w:rPr>
      <w:rFonts w:ascii="宋体" w:hAnsi="Arial" w:eastAsia="黑体"/>
      <w:b/>
      <w:color w:val="000000"/>
      <w:kern w:val="44"/>
      <w:sz w:val="36"/>
    </w:rPr>
  </w:style>
  <w:style w:type="paragraph" w:customStyle="1" w:styleId="37">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40</Pages>
  <Words>17504</Words>
  <Characters>18655</Characters>
  <Lines>53</Lines>
  <Paragraphs>15</Paragraphs>
  <TotalTime>39</TotalTime>
  <ScaleCrop>false</ScaleCrop>
  <LinksUpToDate>false</LinksUpToDate>
  <CharactersWithSpaces>20044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2025-06-16T02:26:00Z</cp:lastPrinted>
  <dcterms:modified xsi:type="dcterms:W3CDTF">2026-01-30T05:35:53Z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104801DA5BD94C3DA46C19FC4053DF8F_13</vt:lpwstr>
  </property>
  <property fmtid="{D5CDD505-2E9C-101B-9397-08002B2CF9AE}" pid="4" name="KSOTemplateDocerSaveRecord">
    <vt:lpwstr>eyJoZGlkIjoiYzUwZDFhNTA3NTBkYjYwNzBmOWEzNGQxZTA1ZTZlYTEiLCJ1c2VySWQiOiI0MTkyNjk4ODkifQ==</vt:lpwstr>
  </property>
</Properties>
</file>