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highlight w:val="none"/>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1月份仪器仪表采购项目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CG-YQ-2601012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1月份仪器仪表采购项目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17</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17</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1月份仪器仪表采购项目进行招标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SX-CG-YQ-2601012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571" w:type="pct"/>
        <w:jc w:val="center"/>
        <w:tblLayout w:type="fixed"/>
        <w:tblCellMar>
          <w:top w:w="0" w:type="dxa"/>
          <w:left w:w="108" w:type="dxa"/>
          <w:bottom w:w="0" w:type="dxa"/>
          <w:right w:w="108" w:type="dxa"/>
        </w:tblCellMar>
      </w:tblPr>
      <w:tblGrid>
        <w:gridCol w:w="672"/>
        <w:gridCol w:w="2145"/>
        <w:gridCol w:w="2598"/>
        <w:gridCol w:w="915"/>
        <w:gridCol w:w="932"/>
        <w:gridCol w:w="1229"/>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万用表</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FLUKE福禄克F17B</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B240BF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B34367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绝缘电阻测试仪</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VC60D+ 500/1000/2500V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5BD64F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71C40F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EPS电源</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YDC3315 15kVA工频输入380V，输出380VDC384 单主机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科士达或山特</w:t>
            </w:r>
          </w:p>
        </w:tc>
      </w:tr>
      <w:tr w14:paraId="3F021AA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E4D5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插入式流量传感器</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P51530-P0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865CE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美国GF</w:t>
            </w:r>
          </w:p>
        </w:tc>
      </w:tr>
      <w:tr w14:paraId="79F7BC3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79CE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插入式流量传感器</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P51530-P1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15B95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美国GF</w:t>
            </w:r>
          </w:p>
        </w:tc>
      </w:tr>
      <w:tr w14:paraId="6CCDDFD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3B1AB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一体式温度变送器</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TM131-AABBACC1BB2AGBB0AA1AA1-NQSATA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FCD95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E+H</w:t>
            </w:r>
          </w:p>
        </w:tc>
      </w:tr>
      <w:tr w14:paraId="146E2ED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80715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电源模块</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SDR-960-24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CB0A1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台湾明纬</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人民币3.9</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yellow"/>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23057"/>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2月4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1月30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bookmarkStart w:id="21" w:name="_GoBack"/>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w:t>
      </w:r>
      <w:bookmarkEnd w:id="21"/>
      <w:r>
        <w:rPr>
          <w:rFonts w:hint="eastAsia" w:ascii="仿宋_GB2312" w:hAnsi="宋体" w:eastAsia="仿宋_GB2312"/>
          <w:sz w:val="30"/>
          <w:szCs w:val="30"/>
        </w:rPr>
        <w:t>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0AC075C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1.供应商必须满足采购人售后服务要求。如产品使用过程发生问题，供应商须在接到</w:t>
      </w:r>
      <w:r>
        <w:rPr>
          <w:rFonts w:hint="eastAsia" w:ascii="仿宋" w:hAnsi="仿宋" w:eastAsia="仿宋" w:cs="仿宋"/>
          <w:color w:val="auto"/>
          <w:kern w:val="2"/>
          <w:sz w:val="30"/>
          <w:szCs w:val="30"/>
          <w:highlight w:val="none"/>
          <w:lang w:val="en-US" w:eastAsia="zh-CN"/>
        </w:rPr>
        <w:t>采购人</w:t>
      </w:r>
      <w:r>
        <w:rPr>
          <w:rFonts w:hint="eastAsia" w:ascii="仿宋" w:hAnsi="仿宋" w:eastAsia="仿宋" w:cs="仿宋"/>
          <w:color w:val="auto"/>
          <w:kern w:val="2"/>
          <w:sz w:val="30"/>
          <w:szCs w:val="30"/>
          <w:highlight w:val="none"/>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highlight w:val="none"/>
        </w:rPr>
      </w:pPr>
      <w:bookmarkStart w:id="13" w:name="_Toc530583924"/>
      <w:r>
        <w:rPr>
          <w:rFonts w:hint="eastAsia" w:ascii="仿宋" w:hAnsi="仿宋" w:eastAsia="仿宋" w:cs="仿宋"/>
          <w:snapToGrid w:val="0"/>
          <w:sz w:val="30"/>
          <w:szCs w:val="30"/>
          <w:highlight w:val="none"/>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4" w:name="_Toc30277"/>
      <w:r>
        <w:rPr>
          <w:rFonts w:hint="eastAsia" w:ascii="仿宋" w:hAnsi="仿宋" w:eastAsia="仿宋" w:cs="仿宋"/>
          <w:snapToGrid w:val="0"/>
          <w:sz w:val="44"/>
          <w:szCs w:val="44"/>
          <w:highlight w:val="none"/>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物资名称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数量</w:t>
            </w:r>
          </w:p>
        </w:tc>
        <w:tc>
          <w:tcPr>
            <w:tcW w:w="992"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eastAsia" w:ascii="Times New Roman" w:hAnsi="Times New Roman" w:eastAsia="方正仿宋_GBK" w:cs="Times New Roman"/>
                <w:b/>
                <w:bCs/>
                <w:sz w:val="24"/>
                <w:szCs w:val="24"/>
                <w:highlight w:val="none"/>
                <w:lang w:val="en-US" w:eastAsia="zh-CN"/>
              </w:rPr>
            </w:pPr>
            <w:r>
              <w:rPr>
                <w:rFonts w:hint="eastAsia" w:eastAsia="方正仿宋_GBK" w:cs="Times New Roman"/>
                <w:b/>
                <w:bCs/>
                <w:sz w:val="24"/>
                <w:szCs w:val="24"/>
                <w:highlight w:val="none"/>
                <w:lang w:val="en-US" w:eastAsia="zh-CN"/>
              </w:rPr>
              <w:t>品牌</w:t>
            </w:r>
          </w:p>
        </w:tc>
        <w:tc>
          <w:tcPr>
            <w:tcW w:w="1633" w:type="dxa"/>
            <w:tcBorders>
              <w:top w:val="single" w:color="auto" w:sz="4" w:space="0"/>
              <w:left w:val="nil"/>
              <w:bottom w:val="single" w:color="auto" w:sz="4" w:space="0"/>
              <w:right w:val="single" w:color="auto" w:sz="4" w:space="0"/>
            </w:tcBorders>
            <w:noWrap w:val="0"/>
            <w:vAlign w:val="center"/>
          </w:tcPr>
          <w:p w14:paraId="3303E6DE">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单价</w:t>
            </w:r>
          </w:p>
          <w:p w14:paraId="17D6909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627" w:type="dxa"/>
            <w:tcBorders>
              <w:top w:val="single" w:color="auto" w:sz="4" w:space="0"/>
              <w:left w:val="nil"/>
              <w:bottom w:val="single" w:color="auto" w:sz="4" w:space="0"/>
              <w:right w:val="single" w:color="auto" w:sz="4" w:space="0"/>
            </w:tcBorders>
            <w:noWrap w:val="0"/>
            <w:vAlign w:val="center"/>
          </w:tcPr>
          <w:p w14:paraId="738D81A5">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181001F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highlight w:val="none"/>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highlight w:val="none"/>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highlight w:val="none"/>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highlight w:val="none"/>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highlight w:val="none"/>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本项目为单次供货项目，根据采购人实际要求供货期进行供货。供货方接到采购人送货通知后，3个工作日内将货物如数送至采购人指定地点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保证产品是原厂原装的全新合格的正品，质量符合国家标准或生产技术规范（以要求高者为准），备件符合</w:t>
      </w:r>
      <w:r>
        <w:rPr>
          <w:rFonts w:hint="eastAsia" w:ascii="方正仿宋_GBK" w:hAnsi="方正仿宋_GBK" w:eastAsia="方正仿宋_GBK" w:cs="方正仿宋_GBK"/>
          <w:sz w:val="28"/>
          <w:szCs w:val="28"/>
          <w:highlight w:val="none"/>
          <w:lang w:val="en-US" w:eastAsia="zh-CN"/>
        </w:rPr>
        <w:t>采购人</w:t>
      </w:r>
      <w:r>
        <w:rPr>
          <w:rFonts w:hint="eastAsia" w:ascii="方正仿宋_GBK" w:hAnsi="方正仿宋_GBK" w:eastAsia="方正仿宋_GBK" w:cs="方正仿宋_GBK"/>
          <w:sz w:val="28"/>
          <w:szCs w:val="28"/>
          <w:highlight w:val="none"/>
        </w:rPr>
        <w:t>使用或安装要求，并提供相关出厂报告及合格证明。</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36BC2F7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highlight w:val="none"/>
        </w:rPr>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若发现质量不合格者，采购方有权拒收，并视为材料并未到场。供方应无条件将不合格货品运出现场，由此产生的相关费用及给采购方造成的一切损失由供货方承担。</w:t>
      </w:r>
      <w:r>
        <w:rPr>
          <w:rFonts w:hint="eastAsia"/>
          <w:highlight w:val="none"/>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highlight w:val="none"/>
        </w:rPr>
      </w:pPr>
      <w:r>
        <w:rPr>
          <w:rFonts w:hint="eastAsia" w:ascii="黑体" w:hAnsi="黑体" w:eastAsia="黑体" w:cs="黑体"/>
          <w:kern w:val="2"/>
          <w:sz w:val="28"/>
          <w:szCs w:val="28"/>
          <w:highlight w:val="none"/>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rPr>
          <w:highlight w:val="none"/>
        </w:rPr>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highlight w:val="none"/>
          <w:lang w:eastAsia="zh-CN"/>
        </w:rPr>
        <w:t>更换</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4C468D7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1月份仪器仪表采购项目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1月份仪器仪表采购项目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SX-CG-YQ-2601012</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2A76296B">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22901"/>
      <w:bookmarkStart w:id="17" w:name="_Toc20355"/>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1月份仪器仪表采购 </w:t>
      </w:r>
      <w:r>
        <w:rPr>
          <w:rFonts w:hint="eastAsia" w:ascii="仿宋" w:hAnsi="仿宋" w:eastAsia="仿宋" w:cs="仿宋"/>
          <w:sz w:val="30"/>
          <w:szCs w:val="30"/>
          <w:u w:val="none"/>
          <w:lang w:val="en-US" w:eastAsia="zh-CN"/>
        </w:rPr>
        <w:t>项目。</w:t>
      </w:r>
    </w:p>
    <w:tbl>
      <w:tblPr>
        <w:tblStyle w:val="13"/>
        <w:tblW w:w="4572" w:type="pct"/>
        <w:jc w:val="center"/>
        <w:tblLayout w:type="fixed"/>
        <w:tblCellMar>
          <w:top w:w="0" w:type="dxa"/>
          <w:left w:w="108" w:type="dxa"/>
          <w:bottom w:w="0" w:type="dxa"/>
          <w:right w:w="108" w:type="dxa"/>
        </w:tblCellMar>
      </w:tblPr>
      <w:tblGrid>
        <w:gridCol w:w="672"/>
        <w:gridCol w:w="2146"/>
        <w:gridCol w:w="2599"/>
        <w:gridCol w:w="915"/>
        <w:gridCol w:w="932"/>
        <w:gridCol w:w="1229"/>
      </w:tblGrid>
      <w:tr w14:paraId="3000C847">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958CC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0B1965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45846BF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B7274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1A95A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4AB5B9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投标品牌</w:t>
            </w:r>
          </w:p>
        </w:tc>
      </w:tr>
      <w:tr w14:paraId="5D11339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5084A2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13FAB9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万用表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60E90E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FLUKE福禄克F17B</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01E92C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04C981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46DB02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BB3F1B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BF5095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D1848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绝缘电阻测试仪</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3EFEB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VC60D+ 500/1000/2500V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7622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D22E0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371DBE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E1D7F8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FA5933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41746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EPS电源</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7D15A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YDC3315 15kVA工频输入380V，输出380VDC384 单主机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B1B8C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D07F2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3EC44A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科士达或山特</w:t>
            </w:r>
          </w:p>
        </w:tc>
      </w:tr>
      <w:tr w14:paraId="724905D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6B5698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B3807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插入式流量传感器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444CF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P51530-P0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A813A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11A5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C4C587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美国GF</w:t>
            </w:r>
          </w:p>
        </w:tc>
      </w:tr>
      <w:tr w14:paraId="11128C9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A33992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50BB3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插入式流量传感器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E5B21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P51530-P1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2C3C1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71A04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3FE4C3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美国GF</w:t>
            </w:r>
          </w:p>
        </w:tc>
      </w:tr>
      <w:tr w14:paraId="4E3C3F6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B2A02A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52620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一体式温度变送器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63628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TM131-AABBACC1BB2AGBB0AA1AA1-NQSATA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2EAAA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2DC8A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2D33DC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E+H</w:t>
            </w:r>
          </w:p>
        </w:tc>
      </w:tr>
      <w:tr w14:paraId="3EEE556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2CB306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FE296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电源模块</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4C1AF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SDR-960-24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D41F8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D88F7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54271E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台湾明纬</w:t>
            </w:r>
          </w:p>
        </w:tc>
      </w:tr>
    </w:tbl>
    <w:p w14:paraId="311E2A60">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2、需对每项产品的品牌进行明确标注，招标文件已明确的品牌不得擅自修改。</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3、此附表需单独包装，与报价文件共同递交至绍兴市再生能源发展有限公司综合楼一楼投标箱。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2E373FF3">
      <w:pPr>
        <w:snapToGrid w:val="0"/>
        <w:ind w:firstLine="480" w:firstLineChars="200"/>
        <w:jc w:val="right"/>
        <w:rPr>
          <w:rStyle w:val="20"/>
          <w:rFonts w:hint="eastAsia" w:ascii="仿宋" w:hAnsi="仿宋" w:eastAsia="仿宋" w:cs="仿宋"/>
          <w:sz w:val="30"/>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F035BEB">
      <w:pPr>
        <w:jc w:val="left"/>
        <w:outlineLvl w:val="0"/>
        <w:rPr>
          <w:rStyle w:val="20"/>
          <w:rFonts w:hint="eastAsia" w:ascii="仿宋" w:hAnsi="仿宋" w:eastAsia="仿宋" w:cs="仿宋"/>
          <w:sz w:val="30"/>
        </w:rPr>
      </w:pPr>
    </w:p>
    <w:p w14:paraId="13235AF4">
      <w:pPr>
        <w:jc w:val="left"/>
        <w:outlineLvl w:val="0"/>
        <w:rPr>
          <w:rStyle w:val="20"/>
          <w:rFonts w:hint="eastAsia" w:ascii="仿宋" w:hAnsi="仿宋" w:eastAsia="仿宋" w:cs="仿宋"/>
          <w:sz w:val="30"/>
        </w:rPr>
      </w:pPr>
    </w:p>
    <w:p w14:paraId="3E27D213">
      <w:pPr>
        <w:jc w:val="left"/>
        <w:outlineLvl w:val="0"/>
        <w:rPr>
          <w:rStyle w:val="20"/>
          <w:rFonts w:hint="eastAsia" w:ascii="仿宋" w:hAnsi="仿宋" w:eastAsia="仿宋" w:cs="仿宋"/>
          <w:sz w:val="30"/>
        </w:rPr>
      </w:pPr>
    </w:p>
    <w:p w14:paraId="1BE15ADD">
      <w:pPr>
        <w:jc w:val="left"/>
        <w:outlineLvl w:val="0"/>
        <w:rPr>
          <w:rStyle w:val="20"/>
          <w:rFonts w:hint="eastAsia" w:ascii="仿宋" w:hAnsi="仿宋" w:eastAsia="仿宋" w:cs="仿宋"/>
          <w:sz w:val="30"/>
        </w:rPr>
      </w:pPr>
    </w:p>
    <w:p w14:paraId="4369E25A">
      <w:pPr>
        <w:jc w:val="left"/>
        <w:outlineLvl w:val="0"/>
        <w:rPr>
          <w:rStyle w:val="20"/>
          <w:rFonts w:hint="eastAsia" w:ascii="仿宋" w:hAnsi="仿宋" w:eastAsia="仿宋" w:cs="仿宋"/>
          <w:sz w:val="30"/>
        </w:rPr>
      </w:pPr>
    </w:p>
    <w:p w14:paraId="24F44DD1">
      <w:pPr>
        <w:jc w:val="left"/>
        <w:outlineLvl w:val="0"/>
        <w:rPr>
          <w:rStyle w:val="20"/>
          <w:rFonts w:hint="eastAsia" w:ascii="仿宋" w:hAnsi="仿宋" w:eastAsia="仿宋" w:cs="仿宋"/>
          <w:sz w:val="30"/>
        </w:rPr>
      </w:pPr>
    </w:p>
    <w:p w14:paraId="05C52850">
      <w:pPr>
        <w:jc w:val="left"/>
        <w:outlineLvl w:val="0"/>
        <w:rPr>
          <w:rStyle w:val="20"/>
          <w:rFonts w:hint="eastAsia" w:ascii="仿宋" w:hAnsi="仿宋" w:eastAsia="仿宋" w:cs="仿宋"/>
          <w:sz w:val="30"/>
        </w:rPr>
      </w:pPr>
    </w:p>
    <w:p w14:paraId="2019E17A">
      <w:pPr>
        <w:jc w:val="left"/>
        <w:outlineLvl w:val="0"/>
        <w:rPr>
          <w:rStyle w:val="20"/>
          <w:rFonts w:hint="eastAsia" w:ascii="仿宋" w:hAnsi="仿宋" w:eastAsia="仿宋" w:cs="仿宋"/>
          <w:sz w:val="30"/>
        </w:rPr>
      </w:pPr>
    </w:p>
    <w:p w14:paraId="39FFFF41">
      <w:pPr>
        <w:jc w:val="left"/>
        <w:outlineLvl w:val="0"/>
        <w:rPr>
          <w:rStyle w:val="20"/>
          <w:rFonts w:hint="eastAsia" w:ascii="仿宋" w:hAnsi="仿宋" w:eastAsia="仿宋" w:cs="仿宋"/>
          <w:sz w:val="30"/>
        </w:rPr>
      </w:pPr>
    </w:p>
    <w:p w14:paraId="51028C80">
      <w:pPr>
        <w:jc w:val="left"/>
        <w:outlineLvl w:val="0"/>
        <w:rPr>
          <w:rStyle w:val="20"/>
          <w:rFonts w:hint="eastAsia" w:ascii="仿宋" w:hAnsi="仿宋" w:eastAsia="仿宋" w:cs="仿宋"/>
          <w:sz w:val="30"/>
        </w:rPr>
      </w:pPr>
    </w:p>
    <w:p w14:paraId="21B7F7C9">
      <w:pPr>
        <w:jc w:val="left"/>
        <w:outlineLvl w:val="0"/>
        <w:rPr>
          <w:rStyle w:val="20"/>
          <w:rFonts w:hint="eastAsia" w:ascii="仿宋" w:hAnsi="仿宋" w:eastAsia="仿宋" w:cs="仿宋"/>
          <w:sz w:val="30"/>
        </w:rPr>
      </w:pPr>
    </w:p>
    <w:p w14:paraId="35B2207A">
      <w:pPr>
        <w:jc w:val="left"/>
        <w:outlineLvl w:val="0"/>
        <w:rPr>
          <w:rStyle w:val="20"/>
          <w:rFonts w:hint="eastAsia" w:ascii="仿宋" w:hAnsi="仿宋" w:eastAsia="仿宋" w:cs="仿宋"/>
          <w:sz w:val="30"/>
        </w:rPr>
      </w:pPr>
    </w:p>
    <w:p w14:paraId="45942976">
      <w:pPr>
        <w:jc w:val="left"/>
        <w:outlineLvl w:val="0"/>
        <w:rPr>
          <w:rStyle w:val="20"/>
          <w:rFonts w:hint="eastAsia" w:ascii="仿宋" w:hAnsi="仿宋" w:eastAsia="仿宋" w:cs="仿宋"/>
          <w:sz w:val="30"/>
        </w:rPr>
      </w:pPr>
    </w:p>
    <w:p w14:paraId="1AB3C4E7">
      <w:pPr>
        <w:jc w:val="left"/>
        <w:outlineLvl w:val="0"/>
        <w:rPr>
          <w:rStyle w:val="20"/>
          <w:rFonts w:hint="eastAsia" w:ascii="仿宋" w:hAnsi="仿宋" w:eastAsia="仿宋" w:cs="仿宋"/>
          <w:sz w:val="30"/>
        </w:rPr>
      </w:pPr>
    </w:p>
    <w:p w14:paraId="3ABD854E">
      <w:pPr>
        <w:jc w:val="left"/>
        <w:outlineLvl w:val="0"/>
        <w:rPr>
          <w:rStyle w:val="20"/>
          <w:rFonts w:hint="eastAsia" w:ascii="仿宋" w:hAnsi="仿宋" w:eastAsia="仿宋" w:cs="仿宋"/>
          <w:sz w:val="30"/>
        </w:rPr>
      </w:pPr>
    </w:p>
    <w:p w14:paraId="7FD76496">
      <w:pPr>
        <w:jc w:val="left"/>
        <w:outlineLvl w:val="0"/>
        <w:rPr>
          <w:rStyle w:val="20"/>
          <w:rFonts w:hint="eastAsia" w:ascii="仿宋" w:hAnsi="仿宋" w:eastAsia="仿宋" w:cs="仿宋"/>
          <w:sz w:val="30"/>
        </w:rPr>
      </w:pPr>
    </w:p>
    <w:p w14:paraId="4E5DCF58">
      <w:pPr>
        <w:jc w:val="left"/>
        <w:outlineLvl w:val="0"/>
        <w:rPr>
          <w:rStyle w:val="20"/>
          <w:rFonts w:hint="eastAsia" w:ascii="仿宋" w:hAnsi="仿宋" w:eastAsia="仿宋" w:cs="仿宋"/>
          <w:sz w:val="30"/>
        </w:rPr>
      </w:pPr>
    </w:p>
    <w:p w14:paraId="5EFE032C">
      <w:pPr>
        <w:jc w:val="left"/>
        <w:outlineLvl w:val="0"/>
        <w:rPr>
          <w:rStyle w:val="20"/>
          <w:rFonts w:hint="eastAsia" w:ascii="仿宋" w:hAnsi="仿宋" w:eastAsia="仿宋" w:cs="仿宋"/>
          <w:sz w:val="30"/>
        </w:rPr>
      </w:pPr>
    </w:p>
    <w:p w14:paraId="5A2A868C">
      <w:pPr>
        <w:jc w:val="left"/>
        <w:outlineLvl w:val="0"/>
        <w:rPr>
          <w:rStyle w:val="20"/>
          <w:rFonts w:hint="eastAsia" w:ascii="仿宋" w:hAnsi="仿宋" w:eastAsia="仿宋" w:cs="仿宋"/>
          <w:sz w:val="30"/>
        </w:rPr>
      </w:pPr>
    </w:p>
    <w:p w14:paraId="110A311D">
      <w:pPr>
        <w:jc w:val="left"/>
        <w:outlineLvl w:val="0"/>
        <w:rPr>
          <w:rStyle w:val="20"/>
          <w:rFonts w:hint="eastAsia" w:ascii="仿宋" w:hAnsi="仿宋" w:eastAsia="仿宋" w:cs="仿宋"/>
          <w:sz w:val="30"/>
        </w:rPr>
      </w:pPr>
    </w:p>
    <w:p w14:paraId="00BD2422">
      <w:pPr>
        <w:jc w:val="left"/>
        <w:outlineLvl w:val="0"/>
        <w:rPr>
          <w:rStyle w:val="20"/>
          <w:rFonts w:hint="eastAsia" w:ascii="仿宋" w:hAnsi="仿宋" w:eastAsia="仿宋" w:cs="仿宋"/>
          <w:sz w:val="30"/>
        </w:rPr>
      </w:pPr>
    </w:p>
    <w:p w14:paraId="5631088E">
      <w:pPr>
        <w:jc w:val="left"/>
        <w:outlineLvl w:val="0"/>
        <w:rPr>
          <w:rStyle w:val="20"/>
          <w:rFonts w:hint="eastAsia" w:ascii="仿宋" w:hAnsi="仿宋" w:eastAsia="仿宋" w:cs="仿宋"/>
          <w:sz w:val="30"/>
        </w:rPr>
      </w:pPr>
    </w:p>
    <w:p w14:paraId="5B771A91">
      <w:pPr>
        <w:jc w:val="left"/>
        <w:outlineLvl w:val="0"/>
        <w:rPr>
          <w:rStyle w:val="20"/>
          <w:rFonts w:hint="eastAsia" w:ascii="仿宋" w:hAnsi="仿宋" w:eastAsia="仿宋" w:cs="仿宋"/>
          <w:sz w:val="30"/>
        </w:rPr>
      </w:pPr>
    </w:p>
    <w:p w14:paraId="230C8B3B">
      <w:pPr>
        <w:jc w:val="left"/>
        <w:outlineLvl w:val="0"/>
        <w:rPr>
          <w:rStyle w:val="20"/>
          <w:rFonts w:hint="eastAsia" w:ascii="仿宋" w:hAnsi="仿宋" w:eastAsia="仿宋" w:cs="仿宋"/>
          <w:sz w:val="30"/>
        </w:rPr>
      </w:pPr>
    </w:p>
    <w:p w14:paraId="6C6440F2">
      <w:pPr>
        <w:jc w:val="left"/>
        <w:outlineLvl w:val="0"/>
        <w:rPr>
          <w:rStyle w:val="20"/>
          <w:rFonts w:hint="eastAsia" w:ascii="仿宋" w:hAnsi="仿宋" w:eastAsia="仿宋" w:cs="仿宋"/>
          <w:sz w:val="30"/>
        </w:rPr>
      </w:pPr>
    </w:p>
    <w:p w14:paraId="5861DD54">
      <w:pPr>
        <w:jc w:val="left"/>
        <w:outlineLvl w:val="0"/>
        <w:rPr>
          <w:rStyle w:val="20"/>
          <w:rFonts w:hint="eastAsia" w:ascii="仿宋" w:hAnsi="仿宋" w:eastAsia="仿宋" w:cs="仿宋"/>
          <w:sz w:val="30"/>
        </w:rPr>
      </w:pPr>
    </w:p>
    <w:p w14:paraId="72489545">
      <w:pPr>
        <w:jc w:val="left"/>
        <w:outlineLvl w:val="0"/>
        <w:rPr>
          <w:rStyle w:val="20"/>
          <w:rFonts w:hint="eastAsia" w:ascii="仿宋" w:hAnsi="仿宋" w:eastAsia="仿宋" w:cs="仿宋"/>
          <w:sz w:val="30"/>
        </w:rPr>
      </w:pPr>
    </w:p>
    <w:p w14:paraId="074D02B5">
      <w:pPr>
        <w:jc w:val="left"/>
        <w:outlineLvl w:val="0"/>
        <w:rPr>
          <w:rStyle w:val="20"/>
          <w:rFonts w:hint="eastAsia" w:ascii="仿宋" w:hAnsi="仿宋" w:eastAsia="仿宋" w:cs="仿宋"/>
          <w:sz w:val="30"/>
        </w:rPr>
      </w:pPr>
    </w:p>
    <w:p w14:paraId="096E7C1A">
      <w:pPr>
        <w:jc w:val="left"/>
        <w:outlineLvl w:val="0"/>
        <w:rPr>
          <w:rStyle w:val="20"/>
          <w:rFonts w:hint="eastAsia" w:ascii="仿宋" w:hAnsi="仿宋" w:eastAsia="仿宋" w:cs="仿宋"/>
          <w:sz w:val="30"/>
        </w:rPr>
      </w:pPr>
    </w:p>
    <w:p w14:paraId="24F6E03C">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1月份仪器仪表采购 </w:t>
      </w:r>
      <w:r>
        <w:rPr>
          <w:rFonts w:hint="eastAsia" w:ascii="仿宋" w:hAnsi="仿宋" w:eastAsia="仿宋" w:cs="仿宋"/>
          <w:sz w:val="30"/>
          <w:szCs w:val="30"/>
          <w:u w:val="none"/>
          <w:lang w:val="en-US" w:eastAsia="zh-CN"/>
        </w:rPr>
        <w:t>项目。</w:t>
      </w:r>
    </w:p>
    <w:tbl>
      <w:tblPr>
        <w:tblStyle w:val="13"/>
        <w:tblW w:w="5841" w:type="pct"/>
        <w:jc w:val="center"/>
        <w:tblLayout w:type="fixed"/>
        <w:tblCellMar>
          <w:top w:w="0" w:type="dxa"/>
          <w:left w:w="108" w:type="dxa"/>
          <w:bottom w:w="0" w:type="dxa"/>
          <w:right w:w="108" w:type="dxa"/>
        </w:tblCellMar>
      </w:tblPr>
      <w:tblGrid>
        <w:gridCol w:w="672"/>
        <w:gridCol w:w="2146"/>
        <w:gridCol w:w="2599"/>
        <w:gridCol w:w="915"/>
        <w:gridCol w:w="932"/>
        <w:gridCol w:w="1128"/>
        <w:gridCol w:w="1229"/>
        <w:gridCol w:w="1229"/>
      </w:tblGrid>
      <w:tr w14:paraId="2313B31A">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0474E6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08702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89F620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7FDA4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F2B00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BCF97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B118B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9889E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569DCE7D">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CE26328">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3863C37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万用表</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A6187C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FLUKE福禄克F17B</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51109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F48BA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2AA3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7950EE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653716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B7EDACF">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134BC77">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0C9003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绝缘电阻测试仪</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0C31E3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VC60D+ 500/1000/2500V</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5802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0DB7F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BE3D6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1F23D2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1780C9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EF127E">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546D89D">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1C439A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EPS电源</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44536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YDC3315 15kVA工频输入380V，输出380VDC384 单主机</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7106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B442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295BF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B0FF4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08C02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科士达或山特</w:t>
            </w:r>
          </w:p>
        </w:tc>
      </w:tr>
      <w:tr w14:paraId="47001DD8">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8FD2BF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23B10C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插入式流量传感器</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0B496E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P51530-P0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4BE6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EFE3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4D48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B49061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A67C2F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美国GF</w:t>
            </w:r>
          </w:p>
        </w:tc>
      </w:tr>
      <w:tr w14:paraId="610E594C">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53BFDEC2">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7D7101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插入式流量传感器</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6459B1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P51530-P1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FC0A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9AC95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842C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9B9F7B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A0FC86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美国GF</w:t>
            </w:r>
          </w:p>
        </w:tc>
      </w:tr>
      <w:tr w14:paraId="0874F52D">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35AF30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5272C5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一体式温度变送器</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432D51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TM131-AABBACC1BB2AGBB0AA1AA1-NQSATA</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93C58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DA77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B0CF2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78245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CCC246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E+H</w:t>
            </w:r>
          </w:p>
        </w:tc>
      </w:tr>
      <w:tr w14:paraId="4EEB01F7">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73A12BDD">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7F75F8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电源模块</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02169C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SDR-960-24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65591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6791F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A4AB4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6A917A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32905A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台湾明纬</w:t>
            </w:r>
          </w:p>
        </w:tc>
      </w:tr>
    </w:tbl>
    <w:p w14:paraId="50031064">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rPr>
        <w:t>报价如下</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总金额</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，税率为</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w:t>
      </w:r>
    </w:p>
    <w:p w14:paraId="1F5B39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付款方式：</w:t>
      </w:r>
      <w:r>
        <w:rPr>
          <w:rFonts w:hint="eastAsia" w:ascii="仿宋" w:hAnsi="仿宋" w:eastAsia="仿宋" w:cs="仿宋"/>
          <w:sz w:val="30"/>
          <w:szCs w:val="30"/>
          <w:highlight w:val="none"/>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履约保证金（合同价的5%）到时自动转为质保金，质保金于质保期满且无未决质量争议后无息退还，质保期从验收合格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币3.9</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1月份仪器仪表采购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023DC77E">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DFABA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EE66C0F">
        <w:tblPrEx>
          <w:tblCellMar>
            <w:top w:w="0" w:type="dxa"/>
            <w:left w:w="108" w:type="dxa"/>
            <w:bottom w:w="0" w:type="dxa"/>
            <w:right w:w="108" w:type="dxa"/>
          </w:tblCellMar>
        </w:tblPrEx>
        <w:trPr>
          <w:trHeight w:val="1008"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17E955B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0B74020B">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75D7C6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增值税专用发票，采购人自收到准确清单和发票且核对无误后，于次二月完成货款支付，若供货方未按时提供合规发票，采购人的付款期限可相应顺延且不视为违约。供货方需提供一年质保，其其履约保证金（合同价的5%）到时自动转为质保金，质保金于质保期满且无未决质量争议后无息退还，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2641E461">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1月份仪器仪表采购项目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97431EC9"/>
    <w:multiLevelType w:val="singleLevel"/>
    <w:tmpl w:val="97431EC9"/>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F17A2E47"/>
    <w:multiLevelType w:val="singleLevel"/>
    <w:tmpl w:val="F17A2E47"/>
    <w:lvl w:ilvl="0" w:tentative="0">
      <w:start w:val="1"/>
      <w:numFmt w:val="decimal"/>
      <w:suff w:val="nothing"/>
      <w:lvlText w:val="%1"/>
      <w:lvlJc w:val="left"/>
      <w:pPr>
        <w:ind w:left="635" w:leftChars="0" w:hanging="425" w:firstLineChars="0"/>
      </w:pPr>
      <w:rPr>
        <w:rFonts w:hint="default"/>
      </w:rPr>
    </w:lvl>
  </w:abstractNum>
  <w:abstractNum w:abstractNumId="5">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3"/>
  </w:num>
  <w:num w:numId="5">
    <w:abstractNumId w:val="6"/>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3221EC"/>
    <w:rsid w:val="2AC220DE"/>
    <w:rsid w:val="2ADB5E21"/>
    <w:rsid w:val="2ADF08BA"/>
    <w:rsid w:val="2B603075"/>
    <w:rsid w:val="2C305EB2"/>
    <w:rsid w:val="2C547C73"/>
    <w:rsid w:val="2CD9238D"/>
    <w:rsid w:val="2E003054"/>
    <w:rsid w:val="2E012585"/>
    <w:rsid w:val="2E46123B"/>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9E455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9D553DF"/>
    <w:rsid w:val="5A1C766A"/>
    <w:rsid w:val="5A3D45D1"/>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0963E4"/>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8901</Words>
  <Characters>9449</Characters>
  <Lines>53</Lines>
  <Paragraphs>15</Paragraphs>
  <TotalTime>0</TotalTime>
  <ScaleCrop>false</ScaleCrop>
  <LinksUpToDate>false</LinksUpToDate>
  <CharactersWithSpaces>10790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2026-01-30T05:51:55Z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7B1B7FADEB8642C9B44DE29CA2FECA91_13</vt:lpwstr>
  </property>
  <property fmtid="{D5CDD505-2E9C-101B-9397-08002B2CF9AE}" pid="4" name="KSOTemplateDocerSaveRecord">
    <vt:lpwstr>eyJoZGlkIjoiNTVkNzExMmNlZTllZmYzYjIzZDNlN2M3MDhjZjk3N2IiLCJ1c2VySWQiOiI0MTkyNjk4ODkifQ==</vt:lpwstr>
  </property>
</Properties>
</file>