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9FFB9E">
      <w:pPr>
        <w:jc w:val="center"/>
        <w:rPr>
          <w:rFonts w:hint="eastAsia" w:ascii="仿宋" w:hAnsi="仿宋" w:eastAsia="仿宋" w:cs="仿宋"/>
          <w:sz w:val="72"/>
        </w:rPr>
      </w:pPr>
    </w:p>
    <w:p w14:paraId="0D82242B">
      <w:pPr>
        <w:jc w:val="center"/>
        <w:rPr>
          <w:rFonts w:hint="eastAsia" w:ascii="仿宋" w:hAnsi="仿宋" w:eastAsia="仿宋" w:cs="仿宋"/>
          <w:sz w:val="72"/>
        </w:rPr>
      </w:pPr>
    </w:p>
    <w:p w14:paraId="3D57AF6B">
      <w:pPr>
        <w:jc w:val="center"/>
        <w:outlineLvl w:val="0"/>
        <w:rPr>
          <w:rFonts w:hint="eastAsia" w:ascii="仿宋_GB2312" w:hAnsi="宋体" w:eastAsia="仿宋_GB2312"/>
          <w:b/>
          <w:sz w:val="52"/>
          <w:szCs w:val="52"/>
        </w:rPr>
      </w:pPr>
      <w:bookmarkStart w:id="0" w:name="_Toc28009"/>
      <w:r>
        <w:rPr>
          <w:rFonts w:hint="eastAsia" w:ascii="仿宋_GB2312" w:hAnsi="宋体" w:eastAsia="仿宋_GB2312"/>
          <w:b/>
          <w:sz w:val="52"/>
          <w:szCs w:val="52"/>
          <w:lang w:eastAsia="zh-CN"/>
        </w:rPr>
        <w:t>绍兴市再生能源发展有限公司</w:t>
      </w:r>
      <w:bookmarkEnd w:id="0"/>
    </w:p>
    <w:p w14:paraId="2A157F01">
      <w:pPr>
        <w:pStyle w:val="11"/>
        <w:rPr>
          <w:highlight w:val="none"/>
        </w:rPr>
      </w:pPr>
    </w:p>
    <w:p w14:paraId="76AAFC3D">
      <w:pPr>
        <w:jc w:val="center"/>
        <w:rPr>
          <w:rFonts w:hint="eastAsia" w:ascii="仿宋_GB2312" w:hAnsi="宋体" w:eastAsia="仿宋_GB2312"/>
          <w:b/>
          <w:sz w:val="52"/>
          <w:szCs w:val="52"/>
          <w:highlight w:val="none"/>
          <w:lang w:eastAsia="zh-CN"/>
        </w:rPr>
      </w:pPr>
      <w:r>
        <w:rPr>
          <w:rFonts w:hint="eastAsia" w:ascii="仿宋_GB2312" w:hAnsi="宋体" w:eastAsia="仿宋_GB2312"/>
          <w:b/>
          <w:sz w:val="52"/>
          <w:szCs w:val="52"/>
          <w:highlight w:val="none"/>
          <w:lang w:val="en-US" w:eastAsia="zh-CN"/>
        </w:rPr>
        <w:t>3#焚烧炉落差墙修复</w:t>
      </w:r>
      <w:r>
        <w:rPr>
          <w:rFonts w:hint="eastAsia" w:ascii="仿宋_GB2312" w:hAnsi="宋体" w:eastAsia="仿宋_GB2312"/>
          <w:b/>
          <w:sz w:val="52"/>
          <w:szCs w:val="52"/>
          <w:highlight w:val="none"/>
          <w:lang w:eastAsia="zh-CN"/>
        </w:rPr>
        <w:t>项目</w:t>
      </w:r>
    </w:p>
    <w:p w14:paraId="50280FFA">
      <w:pPr>
        <w:jc w:val="center"/>
        <w:rPr>
          <w:rFonts w:hint="eastAsia" w:ascii="仿宋_GB2312" w:hAnsi="宋体" w:eastAsia="仿宋_GB2312"/>
          <w:b/>
          <w:sz w:val="52"/>
          <w:szCs w:val="52"/>
          <w:lang w:eastAsia="zh-CN"/>
        </w:rPr>
      </w:pPr>
      <w:r>
        <w:rPr>
          <w:rFonts w:hint="eastAsia" w:ascii="仿宋_GB2312" w:hAnsi="宋体" w:eastAsia="仿宋_GB2312"/>
          <w:b/>
          <w:sz w:val="52"/>
          <w:szCs w:val="52"/>
          <w:lang w:eastAsia="zh-CN"/>
        </w:rPr>
        <w:t>挂网</w:t>
      </w:r>
      <w:r>
        <w:rPr>
          <w:rFonts w:hint="eastAsia" w:ascii="仿宋_GB2312" w:hAnsi="宋体" w:eastAsia="仿宋_GB2312"/>
          <w:b/>
          <w:sz w:val="52"/>
          <w:szCs w:val="52"/>
        </w:rPr>
        <w:t>文件</w:t>
      </w:r>
    </w:p>
    <w:p w14:paraId="32A479A4">
      <w:pPr>
        <w:jc w:val="center"/>
        <w:rPr>
          <w:rFonts w:hint="eastAsia" w:ascii="仿宋" w:hAnsi="仿宋" w:eastAsia="仿宋" w:cs="仿宋"/>
          <w:b/>
          <w:sz w:val="48"/>
          <w:szCs w:val="48"/>
        </w:rPr>
      </w:pPr>
    </w:p>
    <w:p w14:paraId="727D4EBE">
      <w:pPr>
        <w:spacing w:line="360" w:lineRule="auto"/>
        <w:rPr>
          <w:rFonts w:hint="eastAsia" w:ascii="仿宋" w:hAnsi="仿宋" w:eastAsia="仿宋" w:cs="仿宋"/>
          <w:sz w:val="40"/>
          <w:szCs w:val="48"/>
        </w:rPr>
      </w:pPr>
    </w:p>
    <w:p w14:paraId="2566F134">
      <w:pPr>
        <w:spacing w:line="360" w:lineRule="auto"/>
        <w:rPr>
          <w:rFonts w:hint="eastAsia" w:ascii="仿宋" w:hAnsi="仿宋" w:eastAsia="仿宋" w:cs="仿宋"/>
          <w:sz w:val="40"/>
          <w:szCs w:val="48"/>
        </w:rPr>
      </w:pPr>
    </w:p>
    <w:p w14:paraId="7A50DD05">
      <w:pPr>
        <w:spacing w:line="360" w:lineRule="auto"/>
        <w:rPr>
          <w:rFonts w:hint="eastAsia" w:ascii="仿宋" w:hAnsi="仿宋" w:eastAsia="仿宋" w:cs="仿宋"/>
          <w:sz w:val="40"/>
          <w:szCs w:val="48"/>
          <w:highlight w:val="none"/>
        </w:rPr>
      </w:pPr>
    </w:p>
    <w:p w14:paraId="66DA15D6">
      <w:pPr>
        <w:spacing w:line="360" w:lineRule="auto"/>
        <w:jc w:val="center"/>
        <w:rPr>
          <w:rFonts w:hint="eastAsia" w:ascii="仿宋" w:hAnsi="仿宋" w:eastAsia="仿宋" w:cs="仿宋"/>
          <w:sz w:val="32"/>
          <w:szCs w:val="32"/>
          <w:highlight w:val="none"/>
          <w:u w:val="single"/>
          <w:lang w:val="en-US" w:eastAsia="zh-CN"/>
        </w:rPr>
      </w:pPr>
      <w:r>
        <w:rPr>
          <w:rFonts w:hint="eastAsia" w:ascii="仿宋" w:hAnsi="仿宋" w:eastAsia="仿宋" w:cs="仿宋"/>
          <w:sz w:val="32"/>
          <w:szCs w:val="32"/>
          <w:highlight w:val="none"/>
        </w:rPr>
        <w:t>采购编号：</w:t>
      </w:r>
      <w:r>
        <w:rPr>
          <w:rFonts w:hint="eastAsia" w:ascii="仿宋" w:hAnsi="仿宋" w:eastAsia="仿宋" w:cs="仿宋"/>
          <w:sz w:val="32"/>
          <w:szCs w:val="32"/>
          <w:highlight w:val="none"/>
          <w:u w:val="single"/>
          <w:lang w:val="en-US" w:eastAsia="zh-CN"/>
        </w:rPr>
        <w:t xml:space="preserve"> </w:t>
      </w:r>
      <w:bookmarkStart w:id="1" w:name="OLE_LINK1"/>
      <w:r>
        <w:rPr>
          <w:rFonts w:hint="eastAsia" w:ascii="仿宋" w:hAnsi="仿宋" w:eastAsia="仿宋" w:cs="仿宋"/>
          <w:sz w:val="32"/>
          <w:szCs w:val="32"/>
          <w:highlight w:val="none"/>
          <w:u w:val="single"/>
          <w:lang w:val="en-US" w:eastAsia="zh-CN"/>
        </w:rPr>
        <w:t>SX-GC-XF-</w:t>
      </w:r>
      <w:bookmarkEnd w:id="1"/>
      <w:r>
        <w:rPr>
          <w:rFonts w:hint="eastAsia" w:ascii="仿宋" w:hAnsi="仿宋" w:eastAsia="仿宋" w:cs="仿宋"/>
          <w:sz w:val="32"/>
          <w:szCs w:val="32"/>
          <w:highlight w:val="none"/>
          <w:u w:val="single"/>
          <w:lang w:val="en-US" w:eastAsia="zh-CN"/>
        </w:rPr>
        <w:t xml:space="preserve">2601006  </w:t>
      </w:r>
    </w:p>
    <w:p w14:paraId="6D44E726">
      <w:pPr>
        <w:spacing w:line="360" w:lineRule="auto"/>
        <w:ind w:firstLine="80" w:firstLineChars="25"/>
        <w:jc w:val="center"/>
        <w:rPr>
          <w:rFonts w:hint="default" w:ascii="仿宋" w:hAnsi="仿宋" w:eastAsia="仿宋" w:cs="仿宋"/>
          <w:sz w:val="32"/>
          <w:szCs w:val="32"/>
          <w:u w:val="single"/>
          <w:lang w:val="en-US" w:eastAsia="zh-CN"/>
        </w:rPr>
      </w:pPr>
      <w:bookmarkStart w:id="2" w:name="OLE_LINK52"/>
      <w:bookmarkStart w:id="3" w:name="OLE_LINK53"/>
      <w:r>
        <w:rPr>
          <w:rFonts w:hint="eastAsia" w:ascii="仿宋" w:hAnsi="仿宋" w:eastAsia="仿宋" w:cs="仿宋"/>
          <w:sz w:val="32"/>
          <w:szCs w:val="32"/>
        </w:rPr>
        <w:t>项目名称：</w:t>
      </w:r>
      <w:bookmarkEnd w:id="2"/>
      <w:bookmarkEnd w:id="3"/>
      <w:r>
        <w:rPr>
          <w:rFonts w:hint="eastAsia" w:ascii="仿宋" w:hAnsi="仿宋" w:eastAsia="仿宋" w:cs="仿宋"/>
          <w:sz w:val="32"/>
          <w:szCs w:val="32"/>
          <w:u w:val="single"/>
          <w:lang w:val="en-US" w:eastAsia="zh-CN"/>
        </w:rPr>
        <w:t>3#焚烧炉落差墙修复项目</w:t>
      </w:r>
    </w:p>
    <w:p w14:paraId="66E005F2">
      <w:pPr>
        <w:rPr>
          <w:rFonts w:hint="eastAsia" w:ascii="仿宋" w:hAnsi="仿宋" w:eastAsia="仿宋" w:cs="仿宋"/>
          <w:sz w:val="84"/>
        </w:rPr>
      </w:pPr>
    </w:p>
    <w:p w14:paraId="500D7DBA">
      <w:pPr>
        <w:rPr>
          <w:rFonts w:hint="eastAsia" w:ascii="仿宋" w:hAnsi="仿宋" w:eastAsia="仿宋" w:cs="仿宋"/>
          <w:sz w:val="84"/>
        </w:rPr>
      </w:pPr>
    </w:p>
    <w:p w14:paraId="685ED436">
      <w:pPr>
        <w:rPr>
          <w:rFonts w:hint="eastAsia" w:ascii="仿宋" w:hAnsi="仿宋" w:eastAsia="仿宋" w:cs="仿宋"/>
          <w:sz w:val="84"/>
        </w:rPr>
      </w:pPr>
    </w:p>
    <w:p w14:paraId="2A86C37A">
      <w:pPr>
        <w:snapToGrid w:val="0"/>
        <w:spacing w:line="480" w:lineRule="auto"/>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绍兴市再生能源发展有限公司</w:t>
      </w:r>
    </w:p>
    <w:p w14:paraId="7DA2248E">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val="en-US" w:eastAsia="zh-CN"/>
        </w:rPr>
        <w:t>六</w:t>
      </w:r>
      <w:r>
        <w:rPr>
          <w:rFonts w:hint="eastAsia" w:ascii="仿宋" w:hAnsi="仿宋" w:eastAsia="仿宋" w:cs="仿宋"/>
          <w:sz w:val="32"/>
          <w:szCs w:val="32"/>
        </w:rPr>
        <w:t>年</w:t>
      </w:r>
      <w:r>
        <w:rPr>
          <w:rFonts w:hint="eastAsia" w:ascii="仿宋" w:hAnsi="仿宋" w:eastAsia="仿宋" w:cs="仿宋"/>
          <w:sz w:val="32"/>
          <w:szCs w:val="32"/>
          <w:lang w:val="en-US" w:eastAsia="zh-CN"/>
        </w:rPr>
        <w:t>一</w:t>
      </w:r>
      <w:r>
        <w:rPr>
          <w:rFonts w:hint="eastAsia" w:ascii="仿宋" w:hAnsi="仿宋" w:eastAsia="仿宋" w:cs="仿宋"/>
          <w:sz w:val="32"/>
          <w:szCs w:val="32"/>
        </w:rPr>
        <w:t>月</w:t>
      </w:r>
    </w:p>
    <w:p w14:paraId="3A402D53">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14:paraId="13FD4207">
      <w:pPr>
        <w:pStyle w:val="9"/>
        <w:tabs>
          <w:tab w:val="right" w:leader="dot" w:pos="9070"/>
        </w:tabs>
        <w:rPr>
          <w:b w:val="0"/>
          <w:bCs/>
          <w:sz w:val="32"/>
          <w:szCs w:val="28"/>
        </w:rPr>
      </w:pPr>
      <w:r>
        <w:rPr>
          <w:rFonts w:hint="eastAsia" w:ascii="仿宋" w:hAnsi="仿宋" w:eastAsia="仿宋" w:cs="仿宋"/>
          <w:b w:val="0"/>
          <w:bCs/>
          <w:sz w:val="52"/>
          <w:szCs w:val="28"/>
        </w:rPr>
        <w:fldChar w:fldCharType="begin"/>
      </w:r>
      <w:r>
        <w:rPr>
          <w:rFonts w:hint="eastAsia" w:ascii="仿宋" w:hAnsi="仿宋" w:eastAsia="仿宋" w:cs="仿宋"/>
          <w:b w:val="0"/>
          <w:bCs/>
          <w:sz w:val="52"/>
          <w:szCs w:val="28"/>
        </w:rPr>
        <w:instrText xml:space="preserve">TOC \o "1-1" \h \u </w:instrText>
      </w:r>
      <w:r>
        <w:rPr>
          <w:rFonts w:hint="eastAsia" w:ascii="仿宋" w:hAnsi="仿宋" w:eastAsia="仿宋" w:cs="仿宋"/>
          <w:b w:val="0"/>
          <w:bCs/>
          <w:sz w:val="52"/>
          <w:szCs w:val="28"/>
        </w:rPr>
        <w:fldChar w:fldCharType="separate"/>
      </w: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_Toc28009 </w:instrText>
      </w:r>
      <w:r>
        <w:rPr>
          <w:rFonts w:hint="eastAsia" w:ascii="仿宋" w:hAnsi="仿宋" w:eastAsia="仿宋" w:cs="仿宋"/>
          <w:b w:val="0"/>
          <w:bCs/>
          <w:sz w:val="32"/>
          <w:szCs w:val="28"/>
        </w:rPr>
        <w:fldChar w:fldCharType="separate"/>
      </w:r>
      <w:r>
        <w:rPr>
          <w:rFonts w:hint="eastAsia" w:ascii="仿宋_GB2312" w:hAnsi="宋体" w:eastAsia="仿宋_GB2312"/>
          <w:b w:val="0"/>
          <w:bCs/>
          <w:sz w:val="32"/>
          <w:szCs w:val="144"/>
          <w:lang w:eastAsia="zh-CN"/>
        </w:rPr>
        <w:t>绍兴市再生能源发展有限公司</w:t>
      </w:r>
      <w:r>
        <w:rPr>
          <w:b w:val="0"/>
          <w:bCs/>
          <w:sz w:val="32"/>
          <w:szCs w:val="28"/>
        </w:rPr>
        <w:tab/>
      </w:r>
      <w:r>
        <w:rPr>
          <w:b w:val="0"/>
          <w:bCs/>
          <w:sz w:val="32"/>
          <w:szCs w:val="28"/>
        </w:rPr>
        <w:fldChar w:fldCharType="begin"/>
      </w:r>
      <w:r>
        <w:rPr>
          <w:b w:val="0"/>
          <w:bCs/>
          <w:sz w:val="32"/>
          <w:szCs w:val="28"/>
        </w:rPr>
        <w:instrText xml:space="preserve"> PAGEREF _Toc28009 \h </w:instrText>
      </w:r>
      <w:r>
        <w:rPr>
          <w:b w:val="0"/>
          <w:bCs/>
          <w:sz w:val="32"/>
          <w:szCs w:val="28"/>
        </w:rPr>
        <w:fldChar w:fldCharType="separate"/>
      </w:r>
      <w:r>
        <w:rPr>
          <w:b w:val="0"/>
          <w:bCs/>
          <w:sz w:val="32"/>
          <w:szCs w:val="28"/>
        </w:rPr>
        <w:t>1</w:t>
      </w:r>
      <w:r>
        <w:rPr>
          <w:b w:val="0"/>
          <w:bCs/>
          <w:sz w:val="32"/>
          <w:szCs w:val="28"/>
        </w:rPr>
        <w:fldChar w:fldCharType="end"/>
      </w:r>
      <w:r>
        <w:rPr>
          <w:rFonts w:hint="eastAsia" w:ascii="仿宋" w:hAnsi="仿宋" w:eastAsia="仿宋" w:cs="仿宋"/>
          <w:b w:val="0"/>
          <w:bCs/>
          <w:sz w:val="32"/>
          <w:szCs w:val="28"/>
        </w:rPr>
        <w:fldChar w:fldCharType="end"/>
      </w:r>
    </w:p>
    <w:p w14:paraId="6E183F11">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_Toc6995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第一部分   询价公告</w:t>
      </w:r>
      <w:r>
        <w:rPr>
          <w:b w:val="0"/>
          <w:bCs/>
          <w:sz w:val="32"/>
          <w:szCs w:val="28"/>
        </w:rPr>
        <w:tab/>
      </w:r>
      <w:r>
        <w:rPr>
          <w:b w:val="0"/>
          <w:bCs/>
          <w:sz w:val="32"/>
          <w:szCs w:val="28"/>
        </w:rPr>
        <w:fldChar w:fldCharType="begin"/>
      </w:r>
      <w:r>
        <w:rPr>
          <w:b w:val="0"/>
          <w:bCs/>
          <w:sz w:val="32"/>
          <w:szCs w:val="28"/>
        </w:rPr>
        <w:instrText xml:space="preserve"> PAGEREF _Toc6995 \h </w:instrText>
      </w:r>
      <w:r>
        <w:rPr>
          <w:b w:val="0"/>
          <w:bCs/>
          <w:sz w:val="32"/>
          <w:szCs w:val="28"/>
        </w:rPr>
        <w:fldChar w:fldCharType="separate"/>
      </w:r>
      <w:r>
        <w:rPr>
          <w:b w:val="0"/>
          <w:bCs/>
          <w:sz w:val="32"/>
          <w:szCs w:val="28"/>
        </w:rPr>
        <w:t>3</w:t>
      </w:r>
      <w:r>
        <w:rPr>
          <w:b w:val="0"/>
          <w:bCs/>
          <w:sz w:val="32"/>
          <w:szCs w:val="28"/>
        </w:rPr>
        <w:fldChar w:fldCharType="end"/>
      </w:r>
      <w:r>
        <w:rPr>
          <w:rFonts w:hint="eastAsia" w:ascii="仿宋" w:hAnsi="仿宋" w:eastAsia="仿宋" w:cs="仿宋"/>
          <w:b w:val="0"/>
          <w:bCs/>
          <w:sz w:val="32"/>
          <w:szCs w:val="28"/>
        </w:rPr>
        <w:fldChar w:fldCharType="end"/>
      </w:r>
    </w:p>
    <w:p w14:paraId="27D8FBB1">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_Toc23057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第二部分   采购须知</w:t>
      </w:r>
      <w:r>
        <w:rPr>
          <w:b w:val="0"/>
          <w:bCs/>
          <w:sz w:val="32"/>
          <w:szCs w:val="28"/>
        </w:rPr>
        <w:tab/>
      </w:r>
      <w:r>
        <w:rPr>
          <w:b w:val="0"/>
          <w:bCs/>
          <w:sz w:val="32"/>
          <w:szCs w:val="28"/>
        </w:rPr>
        <w:fldChar w:fldCharType="begin"/>
      </w:r>
      <w:r>
        <w:rPr>
          <w:b w:val="0"/>
          <w:bCs/>
          <w:sz w:val="32"/>
          <w:szCs w:val="28"/>
        </w:rPr>
        <w:instrText xml:space="preserve"> PAGEREF _Toc23057 \h </w:instrText>
      </w:r>
      <w:r>
        <w:rPr>
          <w:b w:val="0"/>
          <w:bCs/>
          <w:sz w:val="32"/>
          <w:szCs w:val="28"/>
        </w:rPr>
        <w:fldChar w:fldCharType="separate"/>
      </w:r>
      <w:r>
        <w:rPr>
          <w:b w:val="0"/>
          <w:bCs/>
          <w:sz w:val="32"/>
          <w:szCs w:val="28"/>
        </w:rPr>
        <w:t>7</w:t>
      </w:r>
      <w:r>
        <w:rPr>
          <w:b w:val="0"/>
          <w:bCs/>
          <w:sz w:val="32"/>
          <w:szCs w:val="28"/>
        </w:rPr>
        <w:fldChar w:fldCharType="end"/>
      </w:r>
      <w:r>
        <w:rPr>
          <w:rFonts w:hint="eastAsia" w:ascii="仿宋" w:hAnsi="仿宋" w:eastAsia="仿宋" w:cs="仿宋"/>
          <w:b w:val="0"/>
          <w:bCs/>
          <w:sz w:val="32"/>
          <w:szCs w:val="28"/>
        </w:rPr>
        <w:fldChar w:fldCharType="end"/>
      </w:r>
    </w:p>
    <w:p w14:paraId="15EAC52C">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_Toc4053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第三部分   询价内容</w:t>
      </w:r>
      <w:r>
        <w:rPr>
          <w:b w:val="0"/>
          <w:bCs/>
          <w:sz w:val="32"/>
          <w:szCs w:val="28"/>
        </w:rPr>
        <w:tab/>
      </w:r>
      <w:r>
        <w:rPr>
          <w:b w:val="0"/>
          <w:bCs/>
          <w:sz w:val="32"/>
          <w:szCs w:val="28"/>
        </w:rPr>
        <w:fldChar w:fldCharType="begin"/>
      </w:r>
      <w:r>
        <w:rPr>
          <w:b w:val="0"/>
          <w:bCs/>
          <w:sz w:val="32"/>
          <w:szCs w:val="28"/>
        </w:rPr>
        <w:instrText xml:space="preserve"> PAGEREF _Toc4053 \h </w:instrText>
      </w:r>
      <w:r>
        <w:rPr>
          <w:b w:val="0"/>
          <w:bCs/>
          <w:sz w:val="32"/>
          <w:szCs w:val="28"/>
        </w:rPr>
        <w:fldChar w:fldCharType="separate"/>
      </w:r>
      <w:r>
        <w:rPr>
          <w:b w:val="0"/>
          <w:bCs/>
          <w:sz w:val="32"/>
          <w:szCs w:val="28"/>
        </w:rPr>
        <w:t>12</w:t>
      </w:r>
      <w:r>
        <w:rPr>
          <w:b w:val="0"/>
          <w:bCs/>
          <w:sz w:val="32"/>
          <w:szCs w:val="28"/>
        </w:rPr>
        <w:fldChar w:fldCharType="end"/>
      </w:r>
      <w:r>
        <w:rPr>
          <w:rFonts w:hint="eastAsia" w:ascii="仿宋" w:hAnsi="仿宋" w:eastAsia="仿宋" w:cs="仿宋"/>
          <w:b w:val="0"/>
          <w:bCs/>
          <w:sz w:val="32"/>
          <w:szCs w:val="28"/>
        </w:rPr>
        <w:fldChar w:fldCharType="end"/>
      </w:r>
    </w:p>
    <w:p w14:paraId="57CBB646">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_Toc30277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lang w:val="en-US" w:eastAsia="zh-CN"/>
        </w:rPr>
        <w:t>第四部分   合同主要条款</w:t>
      </w:r>
      <w:r>
        <w:rPr>
          <w:b w:val="0"/>
          <w:bCs/>
          <w:sz w:val="32"/>
          <w:szCs w:val="28"/>
        </w:rPr>
        <w:tab/>
      </w:r>
      <w:r>
        <w:rPr>
          <w:b w:val="0"/>
          <w:bCs/>
          <w:sz w:val="32"/>
          <w:szCs w:val="28"/>
        </w:rPr>
        <w:fldChar w:fldCharType="begin"/>
      </w:r>
      <w:r>
        <w:rPr>
          <w:b w:val="0"/>
          <w:bCs/>
          <w:sz w:val="32"/>
          <w:szCs w:val="28"/>
        </w:rPr>
        <w:instrText xml:space="preserve"> PAGEREF _Toc30277 \h </w:instrText>
      </w:r>
      <w:r>
        <w:rPr>
          <w:b w:val="0"/>
          <w:bCs/>
          <w:sz w:val="32"/>
          <w:szCs w:val="28"/>
        </w:rPr>
        <w:fldChar w:fldCharType="separate"/>
      </w:r>
      <w:r>
        <w:rPr>
          <w:b w:val="0"/>
          <w:bCs/>
          <w:sz w:val="32"/>
          <w:szCs w:val="28"/>
        </w:rPr>
        <w:t>13</w:t>
      </w:r>
      <w:r>
        <w:rPr>
          <w:b w:val="0"/>
          <w:bCs/>
          <w:sz w:val="32"/>
          <w:szCs w:val="28"/>
        </w:rPr>
        <w:fldChar w:fldCharType="end"/>
      </w:r>
      <w:r>
        <w:rPr>
          <w:rFonts w:hint="eastAsia" w:ascii="仿宋" w:hAnsi="仿宋" w:eastAsia="仿宋" w:cs="仿宋"/>
          <w:b w:val="0"/>
          <w:bCs/>
          <w:sz w:val="32"/>
          <w:szCs w:val="28"/>
        </w:rPr>
        <w:fldChar w:fldCharType="end"/>
      </w:r>
    </w:p>
    <w:p w14:paraId="3635E371">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_Toc21167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w:t>
      </w:r>
      <w:r>
        <w:rPr>
          <w:rFonts w:hint="eastAsia" w:ascii="仿宋" w:hAnsi="仿宋" w:eastAsia="仿宋" w:cs="仿宋"/>
          <w:b w:val="0"/>
          <w:bCs/>
          <w:snapToGrid w:val="0"/>
          <w:sz w:val="32"/>
          <w:szCs w:val="72"/>
          <w:lang w:eastAsia="zh-CN"/>
        </w:rPr>
        <w:t>五</w:t>
      </w:r>
      <w:r>
        <w:rPr>
          <w:rFonts w:hint="eastAsia" w:ascii="仿宋" w:hAnsi="仿宋" w:eastAsia="仿宋" w:cs="仿宋"/>
          <w:b w:val="0"/>
          <w:bCs/>
          <w:snapToGrid w:val="0"/>
          <w:sz w:val="32"/>
          <w:szCs w:val="72"/>
        </w:rPr>
        <w:t>部分   报价文件格式</w:t>
      </w:r>
      <w:r>
        <w:rPr>
          <w:b w:val="0"/>
          <w:bCs/>
          <w:sz w:val="32"/>
          <w:szCs w:val="28"/>
        </w:rPr>
        <w:tab/>
      </w:r>
      <w:r>
        <w:rPr>
          <w:b w:val="0"/>
          <w:bCs/>
          <w:sz w:val="32"/>
          <w:szCs w:val="28"/>
        </w:rPr>
        <w:fldChar w:fldCharType="begin"/>
      </w:r>
      <w:r>
        <w:rPr>
          <w:b w:val="0"/>
          <w:bCs/>
          <w:sz w:val="32"/>
          <w:szCs w:val="28"/>
        </w:rPr>
        <w:instrText xml:space="preserve"> PAGEREF _Toc21167 \h </w:instrText>
      </w:r>
      <w:r>
        <w:rPr>
          <w:b w:val="0"/>
          <w:bCs/>
          <w:sz w:val="32"/>
          <w:szCs w:val="28"/>
        </w:rPr>
        <w:fldChar w:fldCharType="separate"/>
      </w:r>
      <w:r>
        <w:rPr>
          <w:b w:val="0"/>
          <w:bCs/>
          <w:sz w:val="32"/>
          <w:szCs w:val="28"/>
        </w:rPr>
        <w:t>20</w:t>
      </w:r>
      <w:r>
        <w:rPr>
          <w:b w:val="0"/>
          <w:bCs/>
          <w:sz w:val="32"/>
          <w:szCs w:val="28"/>
        </w:rPr>
        <w:fldChar w:fldCharType="end"/>
      </w:r>
      <w:r>
        <w:rPr>
          <w:rFonts w:hint="eastAsia" w:ascii="仿宋" w:hAnsi="仿宋" w:eastAsia="仿宋" w:cs="仿宋"/>
          <w:b w:val="0"/>
          <w:bCs/>
          <w:sz w:val="32"/>
          <w:szCs w:val="28"/>
        </w:rPr>
        <w:fldChar w:fldCharType="end"/>
      </w:r>
    </w:p>
    <w:p w14:paraId="3E971D5B">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_Toc22901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附件一：</w:t>
      </w:r>
      <w:r>
        <w:rPr>
          <w:b w:val="0"/>
          <w:bCs/>
          <w:sz w:val="32"/>
          <w:szCs w:val="28"/>
        </w:rPr>
        <w:tab/>
      </w:r>
      <w:r>
        <w:rPr>
          <w:b w:val="0"/>
          <w:bCs/>
          <w:sz w:val="32"/>
          <w:szCs w:val="28"/>
        </w:rPr>
        <w:fldChar w:fldCharType="begin"/>
      </w:r>
      <w:r>
        <w:rPr>
          <w:b w:val="0"/>
          <w:bCs/>
          <w:sz w:val="32"/>
          <w:szCs w:val="28"/>
        </w:rPr>
        <w:instrText xml:space="preserve"> PAGEREF _Toc22901 \h </w:instrText>
      </w:r>
      <w:r>
        <w:rPr>
          <w:b w:val="0"/>
          <w:bCs/>
          <w:sz w:val="32"/>
          <w:szCs w:val="28"/>
        </w:rPr>
        <w:fldChar w:fldCharType="separate"/>
      </w:r>
      <w:r>
        <w:rPr>
          <w:b w:val="0"/>
          <w:bCs/>
          <w:sz w:val="32"/>
          <w:szCs w:val="28"/>
        </w:rPr>
        <w:t>20</w:t>
      </w:r>
      <w:r>
        <w:rPr>
          <w:b w:val="0"/>
          <w:bCs/>
          <w:sz w:val="32"/>
          <w:szCs w:val="28"/>
        </w:rPr>
        <w:fldChar w:fldCharType="end"/>
      </w:r>
      <w:r>
        <w:rPr>
          <w:rFonts w:hint="eastAsia" w:ascii="仿宋" w:hAnsi="仿宋" w:eastAsia="仿宋" w:cs="仿宋"/>
          <w:b w:val="0"/>
          <w:bCs/>
          <w:sz w:val="32"/>
          <w:szCs w:val="28"/>
        </w:rPr>
        <w:fldChar w:fldCharType="end"/>
      </w:r>
    </w:p>
    <w:p w14:paraId="73E70A35">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_Toc20355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附件二</w:t>
      </w:r>
      <w:r>
        <w:rPr>
          <w:b w:val="0"/>
          <w:bCs/>
          <w:sz w:val="32"/>
          <w:szCs w:val="28"/>
        </w:rPr>
        <w:tab/>
      </w:r>
      <w:r>
        <w:rPr>
          <w:b w:val="0"/>
          <w:bCs/>
          <w:sz w:val="32"/>
          <w:szCs w:val="28"/>
        </w:rPr>
        <w:fldChar w:fldCharType="begin"/>
      </w:r>
      <w:r>
        <w:rPr>
          <w:b w:val="0"/>
          <w:bCs/>
          <w:sz w:val="32"/>
          <w:szCs w:val="28"/>
        </w:rPr>
        <w:instrText xml:space="preserve"> PAGEREF _Toc20355 \h </w:instrText>
      </w:r>
      <w:r>
        <w:rPr>
          <w:b w:val="0"/>
          <w:bCs/>
          <w:sz w:val="32"/>
          <w:szCs w:val="28"/>
        </w:rPr>
        <w:fldChar w:fldCharType="separate"/>
      </w:r>
      <w:r>
        <w:rPr>
          <w:b w:val="0"/>
          <w:bCs/>
          <w:sz w:val="32"/>
          <w:szCs w:val="28"/>
        </w:rPr>
        <w:t>21</w:t>
      </w:r>
      <w:r>
        <w:rPr>
          <w:b w:val="0"/>
          <w:bCs/>
          <w:sz w:val="32"/>
          <w:szCs w:val="28"/>
        </w:rPr>
        <w:fldChar w:fldCharType="end"/>
      </w:r>
      <w:r>
        <w:rPr>
          <w:rFonts w:hint="eastAsia" w:ascii="仿宋" w:hAnsi="仿宋" w:eastAsia="仿宋" w:cs="仿宋"/>
          <w:b w:val="0"/>
          <w:bCs/>
          <w:sz w:val="32"/>
          <w:szCs w:val="28"/>
        </w:rPr>
        <w:fldChar w:fldCharType="end"/>
      </w:r>
    </w:p>
    <w:p w14:paraId="2DB13DDF">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_Toc29413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附件三</w:t>
      </w:r>
      <w:r>
        <w:rPr>
          <w:b w:val="0"/>
          <w:bCs/>
          <w:sz w:val="32"/>
          <w:szCs w:val="28"/>
        </w:rPr>
        <w:tab/>
      </w:r>
      <w:r>
        <w:rPr>
          <w:b w:val="0"/>
          <w:bCs/>
          <w:sz w:val="32"/>
          <w:szCs w:val="28"/>
        </w:rPr>
        <w:fldChar w:fldCharType="begin"/>
      </w:r>
      <w:r>
        <w:rPr>
          <w:b w:val="0"/>
          <w:bCs/>
          <w:sz w:val="32"/>
          <w:szCs w:val="28"/>
        </w:rPr>
        <w:instrText xml:space="preserve"> PAGEREF _Toc29413 \h </w:instrText>
      </w:r>
      <w:r>
        <w:rPr>
          <w:b w:val="0"/>
          <w:bCs/>
          <w:sz w:val="32"/>
          <w:szCs w:val="28"/>
        </w:rPr>
        <w:fldChar w:fldCharType="separate"/>
      </w:r>
      <w:r>
        <w:rPr>
          <w:b w:val="0"/>
          <w:bCs/>
          <w:sz w:val="32"/>
          <w:szCs w:val="28"/>
        </w:rPr>
        <w:t>23</w:t>
      </w:r>
      <w:r>
        <w:rPr>
          <w:b w:val="0"/>
          <w:bCs/>
          <w:sz w:val="32"/>
          <w:szCs w:val="28"/>
        </w:rPr>
        <w:fldChar w:fldCharType="end"/>
      </w:r>
      <w:r>
        <w:rPr>
          <w:rFonts w:hint="eastAsia" w:ascii="仿宋" w:hAnsi="仿宋" w:eastAsia="仿宋" w:cs="仿宋"/>
          <w:b w:val="0"/>
          <w:bCs/>
          <w:sz w:val="32"/>
          <w:szCs w:val="28"/>
        </w:rPr>
        <w:fldChar w:fldCharType="end"/>
      </w:r>
    </w:p>
    <w:p w14:paraId="6CB8FEBC">
      <w:pPr>
        <w:rPr>
          <w:rFonts w:hint="eastAsia" w:ascii="仿宋" w:hAnsi="仿宋" w:eastAsia="仿宋" w:cs="仿宋"/>
          <w:sz w:val="56"/>
          <w:szCs w:val="32"/>
        </w:rPr>
      </w:pPr>
      <w:r>
        <w:rPr>
          <w:rFonts w:hint="eastAsia" w:ascii="仿宋" w:hAnsi="仿宋" w:eastAsia="仿宋" w:cs="仿宋"/>
          <w:b w:val="0"/>
          <w:bCs/>
          <w:sz w:val="32"/>
          <w:szCs w:val="28"/>
        </w:rPr>
        <w:fldChar w:fldCharType="end"/>
      </w:r>
    </w:p>
    <w:p w14:paraId="3A7D2623">
      <w:pPr>
        <w:rPr>
          <w:rFonts w:hint="eastAsia" w:ascii="仿宋" w:hAnsi="仿宋" w:eastAsia="仿宋" w:cs="仿宋"/>
          <w:sz w:val="36"/>
        </w:rPr>
      </w:pPr>
    </w:p>
    <w:p w14:paraId="4A80940D">
      <w:pPr>
        <w:snapToGrid w:val="0"/>
        <w:jc w:val="center"/>
        <w:outlineLvl w:val="0"/>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878"/>
      <w:bookmarkStart w:id="5" w:name="_Toc6995"/>
      <w:bookmarkStart w:id="6" w:name="_Toc530583921"/>
      <w:r>
        <w:rPr>
          <w:rFonts w:hint="eastAsia" w:ascii="仿宋" w:hAnsi="仿宋" w:eastAsia="仿宋" w:cs="仿宋"/>
          <w:b/>
          <w:snapToGrid w:val="0"/>
          <w:color w:val="000000"/>
          <w:kern w:val="44"/>
          <w:sz w:val="44"/>
          <w:szCs w:val="44"/>
          <w:lang w:val="en-US" w:eastAsia="zh-CN" w:bidi="ar-SA"/>
        </w:rPr>
        <w:t>第一部分   询价公告</w:t>
      </w:r>
      <w:bookmarkEnd w:id="4"/>
      <w:bookmarkEnd w:id="5"/>
      <w:bookmarkEnd w:id="6"/>
    </w:p>
    <w:p w14:paraId="2F5D6C06">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w:t>
      </w:r>
      <w:r>
        <w:rPr>
          <w:rFonts w:hint="eastAsia" w:ascii="仿宋" w:hAnsi="仿宋" w:eastAsia="仿宋" w:cs="仿宋"/>
          <w:sz w:val="30"/>
          <w:szCs w:val="30"/>
          <w:lang w:eastAsia="zh-CN"/>
        </w:rPr>
        <w:t>对</w:t>
      </w:r>
      <w:r>
        <w:rPr>
          <w:rFonts w:hint="eastAsia" w:ascii="仿宋" w:hAnsi="仿宋" w:eastAsia="仿宋" w:cs="仿宋"/>
          <w:sz w:val="30"/>
          <w:szCs w:val="30"/>
          <w:lang w:val="en-US" w:eastAsia="zh-CN"/>
        </w:rPr>
        <w:t>3#焚烧炉落差墙修复项目</w:t>
      </w:r>
      <w:r>
        <w:rPr>
          <w:rFonts w:hint="eastAsia" w:ascii="仿宋" w:hAnsi="仿宋" w:eastAsia="仿宋" w:cs="仿宋"/>
          <w:sz w:val="30"/>
          <w:szCs w:val="30"/>
          <w:lang w:eastAsia="zh-CN"/>
        </w:rPr>
        <w:t>进行招标</w:t>
      </w:r>
      <w:r>
        <w:rPr>
          <w:rFonts w:hint="eastAsia" w:ascii="仿宋" w:hAnsi="仿宋" w:eastAsia="仿宋" w:cs="仿宋"/>
          <w:sz w:val="30"/>
          <w:szCs w:val="30"/>
        </w:rPr>
        <w:t>，欢迎符合要求的供应商积极参与。</w:t>
      </w:r>
    </w:p>
    <w:p w14:paraId="58CF13A3">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一、采购内容及相关说明。</w:t>
      </w:r>
    </w:p>
    <w:p w14:paraId="4983EC26">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SX-GC-XF-2601006  </w:t>
      </w:r>
    </w:p>
    <w:p w14:paraId="60090AA5">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2.内容：</w:t>
      </w:r>
    </w:p>
    <w:tbl>
      <w:tblPr>
        <w:tblStyle w:val="13"/>
        <w:tblW w:w="5669" w:type="pct"/>
        <w:jc w:val="center"/>
        <w:tblLayout w:type="fixed"/>
        <w:tblCellMar>
          <w:top w:w="0" w:type="dxa"/>
          <w:left w:w="108" w:type="dxa"/>
          <w:bottom w:w="0" w:type="dxa"/>
          <w:right w:w="108" w:type="dxa"/>
        </w:tblCellMar>
      </w:tblPr>
      <w:tblGrid>
        <w:gridCol w:w="399"/>
        <w:gridCol w:w="1230"/>
        <w:gridCol w:w="2220"/>
        <w:gridCol w:w="4995"/>
        <w:gridCol w:w="1687"/>
      </w:tblGrid>
      <w:tr w14:paraId="0423BB8D">
        <w:tblPrEx>
          <w:tblCellMar>
            <w:top w:w="0" w:type="dxa"/>
            <w:left w:w="108" w:type="dxa"/>
            <w:bottom w:w="0" w:type="dxa"/>
            <w:right w:w="108" w:type="dxa"/>
          </w:tblCellMar>
        </w:tblPrEx>
        <w:trPr>
          <w:trHeight w:val="467" w:hRule="atLeast"/>
          <w:jc w:val="center"/>
        </w:trPr>
        <w:tc>
          <w:tcPr>
            <w:tcW w:w="399" w:type="dxa"/>
            <w:tcBorders>
              <w:top w:val="single" w:color="000000" w:sz="4" w:space="0"/>
              <w:left w:val="single" w:color="000000" w:sz="4" w:space="0"/>
              <w:bottom w:val="single" w:color="000000" w:sz="4" w:space="0"/>
              <w:right w:val="single" w:color="000000" w:sz="4" w:space="0"/>
            </w:tcBorders>
            <w:noWrap/>
            <w:vAlign w:val="center"/>
          </w:tcPr>
          <w:p w14:paraId="7C73781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4989036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项目名称</w:t>
            </w:r>
          </w:p>
        </w:tc>
        <w:tc>
          <w:tcPr>
            <w:tcW w:w="2220" w:type="dxa"/>
            <w:tcBorders>
              <w:top w:val="single" w:color="000000" w:sz="4" w:space="0"/>
              <w:left w:val="single" w:color="000000" w:sz="4" w:space="0"/>
              <w:bottom w:val="single" w:color="000000" w:sz="4" w:space="0"/>
              <w:right w:val="single" w:color="000000" w:sz="4" w:space="0"/>
            </w:tcBorders>
            <w:noWrap/>
            <w:vAlign w:val="center"/>
          </w:tcPr>
          <w:p w14:paraId="3223A3A2">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内容</w:t>
            </w:r>
          </w:p>
        </w:tc>
        <w:tc>
          <w:tcPr>
            <w:tcW w:w="4995" w:type="dxa"/>
            <w:tcBorders>
              <w:top w:val="single" w:color="000000" w:sz="4" w:space="0"/>
              <w:left w:val="single" w:color="000000" w:sz="4" w:space="0"/>
              <w:bottom w:val="single" w:color="000000" w:sz="4" w:space="0"/>
              <w:right w:val="single" w:color="000000" w:sz="4" w:space="0"/>
            </w:tcBorders>
            <w:noWrap/>
            <w:vAlign w:val="center"/>
          </w:tcPr>
          <w:p w14:paraId="0439993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技术要求</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297E11B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备注</w:t>
            </w:r>
          </w:p>
        </w:tc>
      </w:tr>
      <w:tr w14:paraId="01B00BC5">
        <w:tblPrEx>
          <w:tblCellMar>
            <w:top w:w="0" w:type="dxa"/>
            <w:left w:w="108" w:type="dxa"/>
            <w:bottom w:w="0" w:type="dxa"/>
            <w:right w:w="108" w:type="dxa"/>
          </w:tblCellMar>
        </w:tblPrEx>
        <w:trPr>
          <w:trHeight w:val="532" w:hRule="atLeast"/>
          <w:jc w:val="center"/>
        </w:trPr>
        <w:tc>
          <w:tcPr>
            <w:tcW w:w="399" w:type="dxa"/>
            <w:tcBorders>
              <w:top w:val="single" w:color="000000" w:sz="4" w:space="0"/>
              <w:left w:val="single" w:color="000000" w:sz="4" w:space="0"/>
              <w:bottom w:val="single" w:color="000000" w:sz="4" w:space="0"/>
              <w:right w:val="single" w:color="000000" w:sz="4" w:space="0"/>
            </w:tcBorders>
            <w:noWrap/>
            <w:vAlign w:val="center"/>
          </w:tcPr>
          <w:p w14:paraId="3E2BF682">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7EB3CE3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仿宋" w:hAnsi="仿宋" w:eastAsia="仿宋" w:cs="仿宋"/>
                <w:i w:val="0"/>
                <w:iCs w:val="0"/>
                <w:color w:val="000000"/>
                <w:sz w:val="24"/>
                <w:szCs w:val="24"/>
                <w:highlight w:val="none"/>
                <w:u w:val="none"/>
                <w:lang w:eastAsia="zh-CN"/>
              </w:rPr>
              <w:t>3#焚烧炉落差墙修复</w:t>
            </w:r>
          </w:p>
        </w:tc>
        <w:tc>
          <w:tcPr>
            <w:tcW w:w="2220" w:type="dxa"/>
            <w:tcBorders>
              <w:top w:val="single" w:color="000000" w:sz="4" w:space="0"/>
              <w:left w:val="single" w:color="000000" w:sz="4" w:space="0"/>
              <w:bottom w:val="single" w:color="000000" w:sz="4" w:space="0"/>
              <w:right w:val="single" w:color="000000" w:sz="4" w:space="0"/>
            </w:tcBorders>
            <w:noWrap w:val="0"/>
            <w:vAlign w:val="center"/>
          </w:tcPr>
          <w:p w14:paraId="7AD49087">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default" w:ascii="仿宋" w:hAnsi="仿宋" w:eastAsia="仿宋" w:cs="仿宋"/>
                <w:i w:val="0"/>
                <w:iCs w:val="0"/>
                <w:color w:val="000000"/>
                <w:sz w:val="24"/>
                <w:szCs w:val="24"/>
                <w:highlight w:val="none"/>
                <w:u w:val="none"/>
                <w:lang w:val="en-US" w:eastAsia="zh-CN"/>
              </w:rPr>
              <w:t>拆除原落差墙浇注料，重新进行浇筑，焚烧炉落差墙长度13.8米，高度1米，修复面积约13.8平方米，修复方法按图施工（见图纸附件）</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413628A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1、材料性能必须满足设计要求（材料要求见图纸附件）；</w:t>
            </w:r>
          </w:p>
          <w:p w14:paraId="5E511B3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2、施工时，耐火层材料中添加纤维防爆剂；</w:t>
            </w:r>
          </w:p>
          <w:p w14:paraId="4FAB6B3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3、金属件焊接安装时，使用A302焊条，堆焊厚度不低于4mm，且满焊；</w:t>
            </w:r>
          </w:p>
          <w:p w14:paraId="70C640F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4、隔热层硅酸铝硬板铺设时接缝需错层覆盖；</w:t>
            </w:r>
          </w:p>
          <w:p w14:paraId="007AAB0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5、耐火层浇注时，模板支撑牢固，避免爆模，耐火层浇注时应振捣密实；</w:t>
            </w:r>
          </w:p>
          <w:p w14:paraId="1FC97F4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6、耐火层浇注时，Y型抓钉埋入耐火层部分需涂刷不低于1.5mm厚沥青漆；</w:t>
            </w:r>
          </w:p>
          <w:p w14:paraId="24A3195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7、浇注时，横向应按1200mm间距留设5mm宽膨胀缝，缝深70mm；</w:t>
            </w:r>
          </w:p>
          <w:p w14:paraId="3A5F5D8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8、耐火隔热层布置为，隔热层厚100mm，耐火层厚140mm；</w:t>
            </w:r>
          </w:p>
          <w:p w14:paraId="37DB438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9、施工时间待甲方通知，施工周期3天；</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14:paraId="241A981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包工包料，材料要求见图纸附件</w:t>
            </w:r>
          </w:p>
        </w:tc>
      </w:tr>
    </w:tbl>
    <w:p w14:paraId="1B91E59B">
      <w:pPr>
        <w:rPr>
          <w:rFonts w:hint="eastAsia"/>
        </w:rPr>
      </w:pPr>
    </w:p>
    <w:p w14:paraId="69179CB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3.技术要求及图纸：</w:t>
      </w:r>
    </w:p>
    <w:p w14:paraId="5144665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single"/>
          <w:lang w:val="en-US" w:eastAsia="zh-CN" w:bidi="ar-SA"/>
        </w:rPr>
      </w:pPr>
      <w:r>
        <w:rPr>
          <w:rFonts w:hint="eastAsia" w:ascii="仿宋" w:hAnsi="仿宋" w:eastAsia="仿宋" w:cs="仿宋"/>
          <w:kern w:val="2"/>
          <w:sz w:val="30"/>
          <w:szCs w:val="30"/>
          <w:u w:val="single"/>
          <w:lang w:val="en-US" w:eastAsia="zh-CN" w:bidi="ar-SA"/>
        </w:rPr>
        <w:t>3.1技术要求：</w:t>
      </w:r>
    </w:p>
    <w:p w14:paraId="2EE4BFE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（1）材料性能必须满足设计要求（材料要求见图纸附件）；</w:t>
      </w:r>
    </w:p>
    <w:p w14:paraId="119005A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（2）施工时，耐火层材料中添加纤维防爆剂；</w:t>
      </w:r>
    </w:p>
    <w:p w14:paraId="02DF651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（3）金属件焊接安装时，使用A302焊条，堆焊厚度不低于4mm，且满焊；</w:t>
      </w:r>
    </w:p>
    <w:p w14:paraId="39C59F4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（4）隔热层硅酸铝硬板铺设时接缝需错层覆盖；</w:t>
      </w:r>
    </w:p>
    <w:p w14:paraId="7D62972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（5）耐火层浇注时，模板支撑牢固，避免爆模，耐火层浇注时应振捣密实；</w:t>
      </w:r>
    </w:p>
    <w:p w14:paraId="0D66E9C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（6）耐火层浇注时，Y型抓钉埋入耐火层部分需涂刷不低于1.5mm厚沥青漆；</w:t>
      </w:r>
    </w:p>
    <w:p w14:paraId="06DA2FE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（7）浇注时，横向应按1200mm间距留设5mm宽膨胀缝，缝深70mm；</w:t>
      </w:r>
    </w:p>
    <w:p w14:paraId="2C28660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highlight w:val="none"/>
          <w:u w:val="none"/>
          <w:lang w:val="en-US" w:eastAsia="zh-CN" w:bidi="ar-SA"/>
        </w:rPr>
      </w:pPr>
      <w:r>
        <w:rPr>
          <w:rFonts w:hint="eastAsia" w:ascii="仿宋" w:hAnsi="仿宋" w:eastAsia="仿宋" w:cs="仿宋"/>
          <w:kern w:val="2"/>
          <w:sz w:val="30"/>
          <w:szCs w:val="30"/>
          <w:highlight w:val="none"/>
          <w:u w:val="none"/>
          <w:lang w:val="en-US" w:eastAsia="zh-CN" w:bidi="ar-SA"/>
        </w:rPr>
        <w:t>（8）耐火隔热层布置为，隔热层厚100mm，耐火层厚140mm。</w:t>
      </w:r>
    </w:p>
    <w:p w14:paraId="4294837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highlight w:val="none"/>
          <w:u w:val="none"/>
          <w:lang w:val="en-US" w:eastAsia="zh-CN" w:bidi="ar-SA"/>
        </w:rPr>
      </w:pPr>
      <w:r>
        <w:rPr>
          <w:rFonts w:hint="eastAsia" w:ascii="仿宋" w:hAnsi="仿宋" w:eastAsia="仿宋" w:cs="仿宋"/>
          <w:kern w:val="2"/>
          <w:sz w:val="30"/>
          <w:szCs w:val="30"/>
          <w:highlight w:val="none"/>
          <w:u w:val="single"/>
          <w:lang w:val="en-US" w:eastAsia="zh-CN" w:bidi="ar-SA"/>
        </w:rPr>
        <w:t>3.2图纸：</w:t>
      </w:r>
    </w:p>
    <w:p w14:paraId="4AD45A1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200"/>
        <w:jc w:val="left"/>
        <w:textAlignment w:val="auto"/>
        <w:rPr>
          <w:rFonts w:hint="default" w:ascii="仿宋" w:hAnsi="仿宋" w:eastAsia="仿宋" w:cs="仿宋"/>
          <w:kern w:val="2"/>
          <w:sz w:val="30"/>
          <w:szCs w:val="30"/>
          <w:highlight w:val="none"/>
          <w:u w:val="none"/>
          <w:lang w:val="en-US" w:eastAsia="zh-CN" w:bidi="ar-SA"/>
        </w:rPr>
      </w:pPr>
      <w:r>
        <w:drawing>
          <wp:inline distT="0" distB="0" distL="114300" distR="114300">
            <wp:extent cx="5753735" cy="3884295"/>
            <wp:effectExtent l="0" t="0" r="18415"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753735" cy="3884295"/>
                    </a:xfrm>
                    <a:prstGeom prst="rect">
                      <a:avLst/>
                    </a:prstGeom>
                    <a:noFill/>
                    <a:ln>
                      <a:noFill/>
                    </a:ln>
                  </pic:spPr>
                </pic:pic>
              </a:graphicData>
            </a:graphic>
          </wp:inline>
        </w:drawing>
      </w:r>
    </w:p>
    <w:p w14:paraId="0EED30FE">
      <w:pPr>
        <w:pStyle w:val="12"/>
        <w:snapToGrid/>
        <w:spacing w:line="360" w:lineRule="auto"/>
        <w:rPr>
          <w:rFonts w:hint="default" w:ascii="仿宋" w:hAnsi="仿宋" w:eastAsia="仿宋" w:cs="仿宋"/>
          <w:sz w:val="30"/>
          <w:szCs w:val="30"/>
          <w:lang w:val="en-US" w:eastAsia="zh-CN"/>
        </w:rPr>
      </w:pPr>
      <w:r>
        <w:rPr>
          <w:rFonts w:hint="eastAsia" w:ascii="仿宋" w:hAnsi="仿宋" w:eastAsia="仿宋" w:cs="仿宋"/>
          <w:sz w:val="30"/>
          <w:szCs w:val="30"/>
          <w:highlight w:val="none"/>
          <w:lang w:val="en-US" w:eastAsia="zh-CN"/>
        </w:rPr>
        <w:t>4.投标单位须具备具备安全生产许可证和冶金工程施工总承包资质三级及以上资质</w:t>
      </w:r>
      <w:r>
        <w:rPr>
          <w:rFonts w:hint="eastAsia" w:ascii="仿宋" w:hAnsi="仿宋" w:eastAsia="仿宋" w:cs="仿宋"/>
          <w:sz w:val="30"/>
          <w:szCs w:val="30"/>
          <w:lang w:val="en-US" w:eastAsia="zh-CN"/>
        </w:rPr>
        <w:t>。</w:t>
      </w:r>
    </w:p>
    <w:p w14:paraId="2D5C46DE">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w:t>
      </w:r>
      <w:r>
        <w:rPr>
          <w:rFonts w:hint="eastAsia" w:ascii="仿宋" w:hAnsi="仿宋" w:eastAsia="仿宋" w:cs="仿宋"/>
          <w:sz w:val="30"/>
          <w:szCs w:val="30"/>
        </w:rPr>
        <w:t>本项目总金额限价为</w:t>
      </w:r>
      <w:r>
        <w:rPr>
          <w:rFonts w:hint="eastAsia" w:ascii="仿宋" w:hAnsi="仿宋" w:eastAsia="仿宋" w:cs="仿宋"/>
          <w:sz w:val="30"/>
          <w:szCs w:val="30"/>
          <w:lang w:eastAsia="zh-CN"/>
        </w:rPr>
        <w:t>人民币8.64</w:t>
      </w:r>
      <w:r>
        <w:rPr>
          <w:rFonts w:hint="eastAsia" w:ascii="仿宋" w:hAnsi="仿宋" w:eastAsia="仿宋" w:cs="仿宋"/>
          <w:sz w:val="30"/>
          <w:szCs w:val="30"/>
          <w:lang w:val="en-US" w:eastAsia="zh-CN"/>
        </w:rPr>
        <w:t>万</w:t>
      </w:r>
      <w:r>
        <w:rPr>
          <w:rFonts w:hint="eastAsia" w:ascii="仿宋" w:hAnsi="仿宋" w:eastAsia="仿宋" w:cs="仿宋"/>
          <w:sz w:val="30"/>
          <w:szCs w:val="30"/>
        </w:rPr>
        <w:t>元</w:t>
      </w:r>
      <w:r>
        <w:rPr>
          <w:rFonts w:hint="eastAsia" w:ascii="仿宋" w:hAnsi="仿宋" w:eastAsia="仿宋" w:cs="仿宋"/>
          <w:sz w:val="30"/>
          <w:szCs w:val="30"/>
          <w:lang w:eastAsia="zh-CN"/>
        </w:rPr>
        <w:t>。</w:t>
      </w:r>
    </w:p>
    <w:p w14:paraId="6CF00822">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二、供应商要求。</w:t>
      </w:r>
    </w:p>
    <w:p w14:paraId="0428D8C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1.报价人必须是在中华</w:t>
      </w:r>
      <w:r>
        <w:rPr>
          <w:rFonts w:hint="eastAsia" w:ascii="仿宋" w:hAnsi="仿宋" w:eastAsia="仿宋" w:cs="仿宋"/>
          <w:sz w:val="30"/>
          <w:szCs w:val="30"/>
          <w:highlight w:val="none"/>
          <w:lang w:val="en-US" w:eastAsia="zh-CN"/>
        </w:rPr>
        <w:t>人民共和国境内注册，具有独立法人资格和独立承担民事责任的能力；投标人经营范围须包含相关资质。</w:t>
      </w:r>
    </w:p>
    <w:p w14:paraId="5863D6E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14:paraId="196E22F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14:paraId="1F80DDB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4.本项目不接受联合体报价，不接受分包。</w:t>
      </w:r>
    </w:p>
    <w:p w14:paraId="5F557B6D">
      <w:pPr>
        <w:pStyle w:val="12"/>
        <w:snapToGrid/>
        <w:spacing w:line="360" w:lineRule="auto"/>
        <w:rPr>
          <w:rFonts w:hint="default"/>
          <w:highlight w:val="none"/>
          <w:lang w:val="en-US" w:eastAsia="zh-CN"/>
        </w:rPr>
      </w:pPr>
      <w:r>
        <w:rPr>
          <w:rFonts w:hint="eastAsia" w:ascii="仿宋" w:hAnsi="仿宋" w:eastAsia="仿宋" w:cs="仿宋"/>
          <w:sz w:val="30"/>
          <w:szCs w:val="30"/>
          <w:highlight w:val="none"/>
          <w:lang w:val="en-US" w:eastAsia="zh-CN"/>
        </w:rPr>
        <w:t>5.</w:t>
      </w:r>
      <w:bookmarkStart w:id="7" w:name="OLE_LINK2"/>
      <w:r>
        <w:rPr>
          <w:rFonts w:hint="eastAsia" w:ascii="仿宋" w:hAnsi="仿宋" w:eastAsia="仿宋" w:cs="仿宋"/>
          <w:sz w:val="30"/>
          <w:szCs w:val="30"/>
          <w:highlight w:val="none"/>
          <w:lang w:val="en-US" w:eastAsia="zh-CN"/>
        </w:rPr>
        <w:t>供应商须</w:t>
      </w:r>
      <w:bookmarkEnd w:id="7"/>
      <w:r>
        <w:rPr>
          <w:rFonts w:hint="eastAsia" w:ascii="仿宋" w:hAnsi="仿宋" w:eastAsia="仿宋" w:cs="仿宋"/>
          <w:sz w:val="30"/>
          <w:szCs w:val="30"/>
          <w:highlight w:val="none"/>
          <w:lang w:val="en-US" w:eastAsia="zh-CN"/>
        </w:rPr>
        <w:t>具备具备安全生产许可证和冶金工程施工总承包资质三级及以上资质。</w:t>
      </w:r>
    </w:p>
    <w:p w14:paraId="675768A2">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highlight w:val="none"/>
        </w:rPr>
      </w:pPr>
      <w:bookmarkStart w:id="8" w:name="_Toc530583880"/>
      <w:bookmarkStart w:id="9" w:name="_Toc530583923"/>
      <w:r>
        <w:rPr>
          <w:rFonts w:hint="eastAsia" w:ascii="仿宋_GB2312" w:eastAsia="仿宋_GB2312"/>
          <w:b/>
          <w:bCs/>
          <w:sz w:val="30"/>
          <w:szCs w:val="30"/>
          <w:highlight w:val="none"/>
          <w:lang w:eastAsia="zh-CN"/>
        </w:rPr>
        <w:t>三</w:t>
      </w:r>
      <w:r>
        <w:rPr>
          <w:rFonts w:hint="eastAsia" w:ascii="仿宋_GB2312" w:eastAsia="仿宋_GB2312"/>
          <w:b/>
          <w:bCs/>
          <w:sz w:val="30"/>
          <w:szCs w:val="30"/>
          <w:highlight w:val="none"/>
        </w:rPr>
        <w:t>、</w:t>
      </w:r>
      <w:r>
        <w:rPr>
          <w:rFonts w:hint="eastAsia" w:ascii="仿宋_GB2312" w:eastAsia="仿宋_GB2312"/>
          <w:b/>
          <w:bCs/>
          <w:sz w:val="30"/>
          <w:szCs w:val="30"/>
          <w:highlight w:val="none"/>
          <w:lang w:eastAsia="zh-CN"/>
        </w:rPr>
        <w:t>开标</w:t>
      </w:r>
      <w:r>
        <w:rPr>
          <w:rFonts w:hint="eastAsia" w:ascii="仿宋_GB2312" w:eastAsia="仿宋_GB2312"/>
          <w:b/>
          <w:bCs/>
          <w:sz w:val="30"/>
          <w:szCs w:val="30"/>
          <w:highlight w:val="none"/>
        </w:rPr>
        <w:t>时间及递交方式。</w:t>
      </w:r>
    </w:p>
    <w:p w14:paraId="60B3D14A">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highlight w:val="none"/>
        </w:rPr>
      </w:pPr>
      <w:r>
        <w:rPr>
          <w:rFonts w:hint="eastAsia" w:ascii="仿宋_GB2312" w:eastAsia="仿宋_GB2312"/>
          <w:sz w:val="30"/>
          <w:szCs w:val="30"/>
          <w:highlight w:val="none"/>
        </w:rPr>
        <w:t>1.</w:t>
      </w:r>
      <w:r>
        <w:rPr>
          <w:rFonts w:hint="eastAsia" w:ascii="仿宋_GB2312" w:eastAsia="仿宋_GB2312"/>
          <w:sz w:val="30"/>
          <w:szCs w:val="30"/>
          <w:highlight w:val="none"/>
          <w:lang w:eastAsia="zh-CN"/>
        </w:rPr>
        <w:t>开标</w:t>
      </w:r>
      <w:r>
        <w:rPr>
          <w:rFonts w:hint="eastAsia" w:ascii="仿宋_GB2312" w:eastAsia="仿宋_GB2312"/>
          <w:sz w:val="30"/>
          <w:szCs w:val="30"/>
          <w:highlight w:val="none"/>
        </w:rPr>
        <w:t>时间：202</w:t>
      </w:r>
      <w:r>
        <w:rPr>
          <w:rFonts w:hint="eastAsia" w:ascii="仿宋_GB2312" w:eastAsia="仿宋_GB2312"/>
          <w:sz w:val="30"/>
          <w:szCs w:val="30"/>
          <w:highlight w:val="none"/>
          <w:lang w:val="en-US" w:eastAsia="zh-CN"/>
        </w:rPr>
        <w:t>6</w:t>
      </w:r>
      <w:r>
        <w:rPr>
          <w:rFonts w:hint="eastAsia" w:ascii="仿宋_GB2312" w:eastAsia="仿宋_GB2312"/>
          <w:sz w:val="30"/>
          <w:szCs w:val="30"/>
          <w:highlight w:val="none"/>
        </w:rPr>
        <w:t>年</w:t>
      </w:r>
      <w:r>
        <w:rPr>
          <w:rFonts w:hint="eastAsia" w:ascii="仿宋_GB2312" w:eastAsia="仿宋_GB2312"/>
          <w:sz w:val="30"/>
          <w:szCs w:val="30"/>
          <w:highlight w:val="none"/>
          <w:lang w:val="en-US" w:eastAsia="zh-CN"/>
        </w:rPr>
        <w:t>1月14</w:t>
      </w:r>
      <w:r>
        <w:rPr>
          <w:rFonts w:hint="eastAsia" w:ascii="仿宋_GB2312" w:eastAsia="仿宋_GB2312"/>
          <w:sz w:val="30"/>
          <w:szCs w:val="30"/>
          <w:highlight w:val="none"/>
        </w:rPr>
        <w:t>日。</w:t>
      </w:r>
    </w:p>
    <w:p w14:paraId="6770450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highlight w:val="none"/>
        </w:rPr>
      </w:pPr>
      <w:r>
        <w:rPr>
          <w:rFonts w:hint="eastAsia" w:ascii="仿宋_GB2312" w:eastAsia="仿宋_GB2312"/>
          <w:sz w:val="30"/>
          <w:szCs w:val="30"/>
          <w:highlight w:val="none"/>
        </w:rPr>
        <w:t>2.</w:t>
      </w:r>
      <w:r>
        <w:rPr>
          <w:rFonts w:hint="eastAsia" w:ascii="仿宋_GB2312" w:eastAsia="仿宋_GB2312"/>
          <w:sz w:val="30"/>
          <w:szCs w:val="30"/>
          <w:highlight w:val="none"/>
          <w:lang w:eastAsia="zh-CN"/>
        </w:rPr>
        <w:t>开标</w:t>
      </w:r>
      <w:r>
        <w:rPr>
          <w:rFonts w:hint="eastAsia" w:ascii="仿宋_GB2312" w:eastAsia="仿宋_GB2312"/>
          <w:sz w:val="30"/>
          <w:szCs w:val="30"/>
          <w:highlight w:val="none"/>
        </w:rPr>
        <w:t>地点：</w:t>
      </w:r>
      <w:r>
        <w:rPr>
          <w:rFonts w:hint="eastAsia" w:ascii="仿宋_GB2312" w:eastAsia="仿宋_GB2312"/>
          <w:sz w:val="30"/>
          <w:szCs w:val="30"/>
          <w:highlight w:val="none"/>
          <w:lang w:eastAsia="zh-CN"/>
        </w:rPr>
        <w:t>浙江省绍兴市柯桥区钱滨线二线海塘绍兴市再生能源发展有限公司。</w:t>
      </w:r>
    </w:p>
    <w:p w14:paraId="3E778899">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highlight w:val="none"/>
        </w:rPr>
      </w:pPr>
      <w:r>
        <w:rPr>
          <w:rFonts w:hint="eastAsia" w:ascii="仿宋_GB2312" w:eastAsia="仿宋_GB2312"/>
          <w:sz w:val="30"/>
          <w:szCs w:val="30"/>
          <w:highlight w:val="none"/>
        </w:rPr>
        <w:t>3.报价文件的递交：</w:t>
      </w:r>
    </w:p>
    <w:p w14:paraId="4D8BB380">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w:t>
      </w:r>
      <w:r>
        <w:rPr>
          <w:rFonts w:hint="eastAsia" w:ascii="仿宋_GB2312" w:eastAsia="仿宋_GB2312"/>
          <w:sz w:val="30"/>
          <w:szCs w:val="30"/>
          <w:lang w:val="en-US" w:eastAsia="zh-CN"/>
        </w:rPr>
        <w:t>下开标</w:t>
      </w:r>
      <w:r>
        <w:rPr>
          <w:rFonts w:hint="eastAsia" w:ascii="仿宋_GB2312" w:eastAsia="仿宋_GB2312"/>
          <w:sz w:val="30"/>
          <w:szCs w:val="30"/>
          <w:lang w:eastAsia="zh-CN"/>
        </w:rPr>
        <w:t>方式，报价人需在开标时间前将报价文件递交至绍兴市再生能源发展有限公司综合楼一楼投标箱。报价人可</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14:paraId="32FE7FD2">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邮寄地址：</w:t>
      </w:r>
      <w:r>
        <w:rPr>
          <w:rFonts w:hint="eastAsia" w:ascii="仿宋_GB2312" w:eastAsia="仿宋_GB2312"/>
          <w:sz w:val="30"/>
          <w:szCs w:val="30"/>
          <w:lang w:eastAsia="zh-CN"/>
        </w:rPr>
        <w:t>浙江省绍兴市柯桥区钱滨线二线海塘绍兴市再生能源发展有限公司</w:t>
      </w:r>
      <w:r>
        <w:rPr>
          <w:rFonts w:hint="eastAsia" w:ascii="仿宋_GB2312" w:eastAsia="仿宋_GB2312"/>
          <w:sz w:val="30"/>
          <w:szCs w:val="30"/>
        </w:rPr>
        <w:t>  </w:t>
      </w:r>
      <w:r>
        <w:rPr>
          <w:rFonts w:hint="eastAsia" w:ascii="仿宋_GB2312" w:eastAsia="仿宋_GB2312"/>
          <w:sz w:val="30"/>
          <w:szCs w:val="30"/>
          <w:lang w:eastAsia="zh-CN"/>
        </w:rPr>
        <w:t xml:space="preserve"> 采购供应部 </w:t>
      </w:r>
      <w:r>
        <w:rPr>
          <w:rFonts w:hint="eastAsia" w:ascii="仿宋_GB2312" w:eastAsia="仿宋_GB2312"/>
          <w:sz w:val="30"/>
          <w:szCs w:val="30"/>
          <w:lang w:val="en-US" w:eastAsia="zh-CN"/>
        </w:rPr>
        <w:t>0575-85791916</w:t>
      </w:r>
    </w:p>
    <w:p w14:paraId="441319CB">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p>
    <w:p w14:paraId="498518D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报价文件邮递递交截止时间：</w:t>
      </w:r>
      <w:r>
        <w:rPr>
          <w:rFonts w:hint="eastAsia" w:ascii="仿宋_GB2312" w:eastAsia="仿宋_GB2312"/>
          <w:color w:val="auto"/>
          <w:sz w:val="30"/>
          <w:szCs w:val="30"/>
        </w:rPr>
        <w:t>截至202</w:t>
      </w:r>
      <w:r>
        <w:rPr>
          <w:rFonts w:hint="eastAsia" w:ascii="仿宋_GB2312" w:eastAsia="仿宋_GB2312"/>
          <w:color w:val="auto"/>
          <w:sz w:val="30"/>
          <w:szCs w:val="30"/>
          <w:lang w:val="en-US" w:eastAsia="zh-CN"/>
        </w:rPr>
        <w:t>6</w:t>
      </w:r>
      <w:r>
        <w:rPr>
          <w:rFonts w:hint="eastAsia" w:ascii="仿宋_GB2312" w:eastAsia="仿宋_GB2312"/>
          <w:color w:val="auto"/>
          <w:sz w:val="30"/>
          <w:szCs w:val="30"/>
        </w:rPr>
        <w:t>年</w:t>
      </w:r>
      <w:r>
        <w:rPr>
          <w:rFonts w:hint="eastAsia" w:ascii="仿宋_GB2312" w:eastAsia="仿宋_GB2312"/>
          <w:color w:val="auto"/>
          <w:sz w:val="30"/>
          <w:szCs w:val="30"/>
          <w:lang w:val="en-US" w:eastAsia="zh-CN"/>
        </w:rPr>
        <w:t>1</w:t>
      </w:r>
      <w:r>
        <w:rPr>
          <w:rFonts w:hint="eastAsia" w:ascii="仿宋_GB2312" w:eastAsia="仿宋_GB2312"/>
          <w:color w:val="auto"/>
          <w:sz w:val="30"/>
          <w:szCs w:val="30"/>
        </w:rPr>
        <w:t>月</w:t>
      </w:r>
      <w:r>
        <w:rPr>
          <w:rFonts w:hint="eastAsia" w:ascii="仿宋_GB2312" w:eastAsia="仿宋_GB2312"/>
          <w:color w:val="auto"/>
          <w:sz w:val="30"/>
          <w:szCs w:val="30"/>
          <w:lang w:val="en-US" w:eastAsia="zh-CN"/>
        </w:rPr>
        <w:t>13</w:t>
      </w:r>
      <w:r>
        <w:rPr>
          <w:rFonts w:hint="eastAsia" w:ascii="仿宋_GB2312" w:eastAsia="仿宋_GB2312"/>
          <w:color w:val="auto"/>
          <w:sz w:val="30"/>
          <w:szCs w:val="30"/>
        </w:rPr>
        <w:t>日，</w:t>
      </w:r>
      <w:r>
        <w:rPr>
          <w:rFonts w:hint="eastAsia" w:ascii="仿宋_GB2312" w:eastAsia="仿宋_GB2312"/>
          <w:sz w:val="30"/>
          <w:szCs w:val="30"/>
        </w:rPr>
        <w:t>以邮寄签收时间为准，因邮寄原因导致报价文件不能如期送达等风险由供应商自行承担。</w:t>
      </w:r>
    </w:p>
    <w:p w14:paraId="6BC28CE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p>
    <w:p w14:paraId="49088E3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14:paraId="18742D2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2.联系人：</w:t>
      </w:r>
      <w:r>
        <w:rPr>
          <w:rFonts w:hint="eastAsia" w:ascii="仿宋_GB2312" w:eastAsia="仿宋_GB2312" w:cs="Times New Roman"/>
          <w:sz w:val="30"/>
          <w:szCs w:val="30"/>
          <w:lang w:val="en-US" w:eastAsia="zh-CN"/>
        </w:rPr>
        <w:t>杨</w:t>
      </w:r>
      <w:r>
        <w:rPr>
          <w:rFonts w:hint="eastAsia" w:ascii="仿宋_GB2312" w:hAnsi="Times New Roman" w:eastAsia="仿宋_GB2312" w:cs="Times New Roman"/>
          <w:sz w:val="30"/>
          <w:szCs w:val="30"/>
          <w:lang w:val="en-US" w:eastAsia="zh-CN"/>
        </w:rPr>
        <w:t>工    联系电话：18</w:t>
      </w:r>
      <w:r>
        <w:rPr>
          <w:rFonts w:hint="eastAsia" w:ascii="仿宋_GB2312" w:eastAsia="仿宋_GB2312" w:cs="Times New Roman"/>
          <w:sz w:val="30"/>
          <w:szCs w:val="30"/>
          <w:lang w:val="en-US" w:eastAsia="zh-CN"/>
        </w:rPr>
        <w:t>857591913</w:t>
      </w:r>
    </w:p>
    <w:p w14:paraId="0341035A">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14:paraId="5ED225C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w:t>
      </w:r>
      <w:r>
        <w:rPr>
          <w:rFonts w:hint="eastAsia" w:ascii="仿宋_GB2312" w:eastAsia="仿宋_GB2312"/>
          <w:sz w:val="30"/>
          <w:szCs w:val="30"/>
          <w:lang w:eastAsia="zh-CN"/>
        </w:rPr>
        <w:t>公告</w:t>
      </w:r>
      <w:r>
        <w:rPr>
          <w:rFonts w:hint="eastAsia" w:ascii="仿宋_GB2312" w:eastAsia="仿宋_GB2312"/>
          <w:sz w:val="30"/>
          <w:szCs w:val="30"/>
        </w:rPr>
        <w:t>之日起1日内以书面形式向采购人提出质疑。逾期视作无异议。</w:t>
      </w:r>
    </w:p>
    <w:p w14:paraId="2A94BDB8">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14:paraId="011A9B24">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14:paraId="219CC76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b/>
          <w:bCs/>
          <w:sz w:val="30"/>
          <w:szCs w:val="30"/>
          <w:lang w:val="en-US" w:eastAsia="zh-CN"/>
        </w:rPr>
        <w:t xml:space="preserve">  </w:t>
      </w:r>
      <w:r>
        <w:rPr>
          <w:rFonts w:hint="eastAsia" w:ascii="仿宋_GB2312" w:hAnsi="Times New Roman" w:eastAsia="仿宋_GB2312" w:cs="Times New Roman"/>
          <w:color w:val="auto"/>
          <w:sz w:val="30"/>
          <w:szCs w:val="30"/>
          <w:lang w:val="en-US" w:eastAsia="zh-CN"/>
        </w:rPr>
        <w:t>联系电话：</w:t>
      </w:r>
      <w:r>
        <w:rPr>
          <w:rFonts w:hint="eastAsia" w:ascii="仿宋_GB2312" w:eastAsia="仿宋_GB2312" w:cs="Times New Roman"/>
          <w:color w:val="auto"/>
          <w:sz w:val="30"/>
          <w:szCs w:val="30"/>
          <w:lang w:val="en-US" w:eastAsia="zh-CN"/>
        </w:rPr>
        <w:t>0575-85791900</w:t>
      </w:r>
    </w:p>
    <w:p w14:paraId="0F9C17AA">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14:paraId="3EA4F2AB">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2026</w:t>
      </w:r>
      <w:r>
        <w:rPr>
          <w:rFonts w:hint="default" w:ascii="仿宋_GB2312" w:eastAsia="仿宋_GB2312"/>
          <w:sz w:val="30"/>
          <w:szCs w:val="30"/>
          <w:lang w:val="en-US"/>
        </w:rPr>
        <w:t>年</w:t>
      </w:r>
      <w:r>
        <w:rPr>
          <w:rFonts w:hint="eastAsia" w:ascii="仿宋_GB2312" w:eastAsia="仿宋_GB2312"/>
          <w:sz w:val="30"/>
          <w:szCs w:val="30"/>
          <w:lang w:val="en-US" w:eastAsia="zh-CN"/>
        </w:rPr>
        <w:t>1月9</w:t>
      </w:r>
      <w:r>
        <w:rPr>
          <w:rFonts w:hint="eastAsia" w:ascii="仿宋_GB2312" w:eastAsia="仿宋_GB2312"/>
          <w:sz w:val="30"/>
          <w:szCs w:val="30"/>
        </w:rPr>
        <w:t>日</w:t>
      </w:r>
    </w:p>
    <w:p w14:paraId="086D0041">
      <w:pPr>
        <w:pageBreakBefore w:val="0"/>
        <w:kinsoku/>
        <w:wordWrap/>
        <w:topLinePunct w:val="0"/>
        <w:bidi w:val="0"/>
        <w:snapToGrid w:val="0"/>
        <w:spacing w:line="360" w:lineRule="auto"/>
        <w:ind w:firstLine="585"/>
        <w:jc w:val="center"/>
        <w:outlineLvl w:val="0"/>
        <w:rPr>
          <w:rFonts w:ascii="仿宋_GB2312" w:eastAsia="仿宋_GB2312"/>
          <w:snapToGrid w:val="0"/>
          <w:sz w:val="30"/>
          <w:szCs w:val="30"/>
        </w:rPr>
      </w:pPr>
      <w:r>
        <w:rPr>
          <w:rFonts w:hint="eastAsia" w:ascii="仿宋_GB2312" w:eastAsia="仿宋_GB2312"/>
          <w:sz w:val="30"/>
          <w:szCs w:val="30"/>
        </w:rPr>
        <w:br w:type="page"/>
      </w:r>
      <w:bookmarkStart w:id="10" w:name="_Toc530583922"/>
      <w:bookmarkStart w:id="11" w:name="_Toc23057"/>
      <w:bookmarkStart w:id="12" w:name="_Toc530583879"/>
      <w:r>
        <w:rPr>
          <w:rFonts w:hint="eastAsia" w:ascii="仿宋" w:hAnsi="仿宋" w:eastAsia="仿宋" w:cs="仿宋"/>
          <w:b/>
          <w:snapToGrid w:val="0"/>
          <w:color w:val="000000"/>
          <w:kern w:val="44"/>
          <w:sz w:val="44"/>
          <w:szCs w:val="44"/>
          <w:lang w:val="en-US" w:eastAsia="zh-CN" w:bidi="ar-SA"/>
        </w:rPr>
        <w:t>第二部分   采购须知</w:t>
      </w:r>
      <w:bookmarkEnd w:id="10"/>
      <w:bookmarkEnd w:id="11"/>
      <w:bookmarkEnd w:id="12"/>
    </w:p>
    <w:p w14:paraId="1EF84780">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一、适用范围。</w:t>
      </w:r>
    </w:p>
    <w:p w14:paraId="4F719299">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14:paraId="7F6957B4">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二、定义。</w:t>
      </w:r>
    </w:p>
    <w:p w14:paraId="096DCA7A">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14:paraId="5100C6A3">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14:paraId="3302F77B">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14:paraId="065CCAA4">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14:paraId="30569613">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三、采购报价。</w:t>
      </w:r>
    </w:p>
    <w:p w14:paraId="3B39FA1E">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14:paraId="6882BC27">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14:paraId="03AE99B4">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14:paraId="4EF042DD">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四、报价有效期。</w:t>
      </w:r>
    </w:p>
    <w:p w14:paraId="23964537">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14:paraId="30E104BA">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14:paraId="751296EA">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五、报价文件的组成。</w:t>
      </w:r>
    </w:p>
    <w:p w14:paraId="0200878C">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14:paraId="35BBD1B1">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lang w:val="en-US" w:eastAsia="zh-CN"/>
        </w:rPr>
        <w:t>2</w:t>
      </w:r>
      <w:r>
        <w:rPr>
          <w:rFonts w:hint="eastAsia" w:ascii="仿宋_GB2312" w:hAnsi="宋体" w:eastAsia="仿宋_GB2312"/>
          <w:sz w:val="30"/>
          <w:szCs w:val="30"/>
        </w:rPr>
        <w:t>.报价一览表（附件</w:t>
      </w:r>
      <w:r>
        <w:rPr>
          <w:rFonts w:hint="eastAsia" w:ascii="仿宋_GB2312" w:hAnsi="宋体" w:eastAsia="仿宋_GB2312"/>
          <w:sz w:val="30"/>
          <w:szCs w:val="30"/>
          <w:lang w:eastAsia="zh-CN"/>
        </w:rPr>
        <w:t>二</w:t>
      </w:r>
      <w:r>
        <w:rPr>
          <w:rFonts w:hint="eastAsia" w:ascii="仿宋_GB2312" w:hAnsi="宋体" w:eastAsia="仿宋_GB2312"/>
          <w:sz w:val="30"/>
          <w:szCs w:val="30"/>
        </w:rPr>
        <w:t>）；</w:t>
      </w:r>
    </w:p>
    <w:p w14:paraId="1E25B5C0">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lang w:val="en-US" w:eastAsia="zh-CN"/>
        </w:rPr>
        <w:t>3</w:t>
      </w:r>
      <w:r>
        <w:rPr>
          <w:rFonts w:hint="eastAsia" w:ascii="仿宋_GB2312" w:hAnsi="宋体" w:eastAsia="仿宋_GB2312"/>
          <w:sz w:val="30"/>
          <w:szCs w:val="30"/>
        </w:rPr>
        <w:t>.产品质量保证承诺函（附件</w:t>
      </w:r>
      <w:r>
        <w:rPr>
          <w:rFonts w:hint="eastAsia" w:ascii="仿宋_GB2312" w:hAnsi="宋体" w:eastAsia="仿宋_GB2312"/>
          <w:sz w:val="30"/>
          <w:szCs w:val="30"/>
          <w:lang w:eastAsia="zh-CN"/>
        </w:rPr>
        <w:t>三</w:t>
      </w:r>
      <w:r>
        <w:rPr>
          <w:rFonts w:hint="eastAsia" w:ascii="仿宋_GB2312" w:hAnsi="宋体" w:eastAsia="仿宋_GB2312"/>
          <w:sz w:val="30"/>
          <w:szCs w:val="30"/>
        </w:rPr>
        <w:t>）；</w:t>
      </w:r>
    </w:p>
    <w:p w14:paraId="64359113">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4</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14:paraId="0D76D76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六、报价文件的签署和份数。</w:t>
      </w:r>
    </w:p>
    <w:p w14:paraId="353FF415">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14:paraId="76FD404C">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14:paraId="1CEB3C86">
      <w:pPr>
        <w:pageBreakBefore w:val="0"/>
        <w:kinsoku/>
        <w:wordWrap/>
        <w:topLinePunct w:val="0"/>
        <w:bidi w:val="0"/>
        <w:snapToGrid w:val="0"/>
        <w:spacing w:line="360" w:lineRule="auto"/>
        <w:ind w:firstLine="615" w:firstLineChars="205"/>
        <w:jc w:val="left"/>
        <w:rPr>
          <w:rFonts w:hint="eastAsia" w:ascii="仿宋_GB2312" w:eastAsia="仿宋_GB2312"/>
          <w:sz w:val="30"/>
          <w:szCs w:val="30"/>
          <w:lang w:eastAsia="zh-CN"/>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w:t>
      </w:r>
      <w:r>
        <w:rPr>
          <w:rFonts w:hint="eastAsia" w:ascii="仿宋_GB2312" w:eastAsia="仿宋_GB2312"/>
          <w:sz w:val="30"/>
          <w:szCs w:val="30"/>
          <w:lang w:eastAsia="zh-CN"/>
        </w:rPr>
        <w:t>，副本</w:t>
      </w:r>
      <w:r>
        <w:rPr>
          <w:rFonts w:hint="eastAsia" w:ascii="仿宋_GB2312" w:eastAsia="仿宋_GB2312"/>
          <w:sz w:val="30"/>
          <w:szCs w:val="30"/>
          <w:lang w:val="en-US" w:eastAsia="zh-CN"/>
        </w:rPr>
        <w:t>4份</w:t>
      </w:r>
      <w:r>
        <w:rPr>
          <w:rFonts w:hint="eastAsia" w:ascii="仿宋_GB2312" w:eastAsia="仿宋_GB2312"/>
          <w:sz w:val="30"/>
          <w:szCs w:val="30"/>
          <w:lang w:eastAsia="zh-CN"/>
        </w:rPr>
        <w:t>。</w:t>
      </w:r>
    </w:p>
    <w:p w14:paraId="153C4717">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七、报价文件的递交。</w:t>
      </w:r>
    </w:p>
    <w:p w14:paraId="23F682D0">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14:paraId="11D513F8">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14:paraId="0FEC2E5F">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14:paraId="305A89B9">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14:paraId="0CFF1461">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14:paraId="1B544A02">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14:paraId="6A63BC02">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14:paraId="762CA117">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14:paraId="31D00ADC">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14:paraId="0E7CC9AF">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14:paraId="029914F8">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14:paraId="59617F8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14:paraId="639BB433">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九、询价过程。</w:t>
      </w:r>
    </w:p>
    <w:p w14:paraId="0EB0253A">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14:paraId="27719355">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14:paraId="4184F8C0">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开标</w:t>
      </w:r>
      <w:r>
        <w:rPr>
          <w:rFonts w:hint="eastAsia" w:ascii="仿宋_GB2312" w:eastAsia="仿宋_GB2312"/>
          <w:sz w:val="30"/>
          <w:szCs w:val="30"/>
        </w:rPr>
        <w:t>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14:paraId="769DBD97">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14:paraId="6ABCF41A">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14:paraId="4DDC6D14">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14:paraId="1A0067D9">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14:paraId="3DD012FF">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14:paraId="4A37821C">
      <w:pPr>
        <w:pageBreakBefore w:val="0"/>
        <w:kinsoku/>
        <w:wordWrap/>
        <w:topLinePunct w:val="0"/>
        <w:bidi w:val="0"/>
        <w:snapToGrid w:val="0"/>
        <w:spacing w:line="360" w:lineRule="auto"/>
        <w:ind w:firstLine="602" w:firstLineChars="200"/>
        <w:jc w:val="left"/>
        <w:outlineLvl w:val="1"/>
        <w:rPr>
          <w:rFonts w:ascii="仿宋_GB2312" w:eastAsia="仿宋_GB2312"/>
          <w:b/>
          <w:bCs/>
          <w:color w:val="auto"/>
          <w:sz w:val="30"/>
          <w:szCs w:val="30"/>
          <w:highlight w:val="none"/>
        </w:rPr>
      </w:pPr>
      <w:r>
        <w:rPr>
          <w:rFonts w:hint="eastAsia" w:ascii="仿宋_GB2312" w:eastAsia="仿宋_GB2312"/>
          <w:b/>
          <w:bCs/>
          <w:color w:val="auto"/>
          <w:sz w:val="30"/>
          <w:szCs w:val="30"/>
          <w:highlight w:val="none"/>
          <w:lang w:eastAsia="zh-CN"/>
        </w:rPr>
        <w:t>十一、</w:t>
      </w:r>
      <w:r>
        <w:rPr>
          <w:rFonts w:hint="eastAsia" w:ascii="仿宋_GB2312" w:eastAsia="仿宋_GB2312"/>
          <w:b/>
          <w:bCs/>
          <w:color w:val="auto"/>
          <w:sz w:val="30"/>
          <w:szCs w:val="30"/>
          <w:highlight w:val="none"/>
        </w:rPr>
        <w:t>成交原则与</w:t>
      </w:r>
      <w:r>
        <w:rPr>
          <w:rFonts w:hint="eastAsia" w:ascii="仿宋_GB2312" w:eastAsia="仿宋_GB2312"/>
          <w:b/>
          <w:bCs/>
          <w:color w:val="auto"/>
          <w:sz w:val="30"/>
          <w:szCs w:val="30"/>
          <w:highlight w:val="none"/>
          <w:lang w:val="en-US" w:eastAsia="zh-CN"/>
        </w:rPr>
        <w:t>二次报价</w:t>
      </w:r>
      <w:r>
        <w:rPr>
          <w:rFonts w:hint="eastAsia" w:ascii="仿宋_GB2312" w:eastAsia="仿宋_GB2312"/>
          <w:b/>
          <w:bCs/>
          <w:color w:val="auto"/>
          <w:sz w:val="30"/>
          <w:szCs w:val="30"/>
          <w:highlight w:val="none"/>
        </w:rPr>
        <w:t>。</w:t>
      </w:r>
    </w:p>
    <w:p w14:paraId="7C71127D">
      <w:pPr>
        <w:pageBreakBefore w:val="0"/>
        <w:kinsoku/>
        <w:wordWrap/>
        <w:topLinePunct w:val="0"/>
        <w:bidi w:val="0"/>
        <w:snapToGrid w:val="0"/>
        <w:spacing w:line="360" w:lineRule="auto"/>
        <w:ind w:firstLine="600" w:firstLineChars="200"/>
        <w:jc w:val="left"/>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rPr>
        <w:t>（一）为保障公司利益最大化，在初次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基础上，我司将开展二次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工作。</w:t>
      </w:r>
      <w:r>
        <w:rPr>
          <w:rFonts w:hint="eastAsia" w:ascii="仿宋_GB2312" w:eastAsia="仿宋_GB2312"/>
          <w:color w:val="auto"/>
          <w:sz w:val="30"/>
          <w:szCs w:val="30"/>
          <w:highlight w:val="none"/>
          <w:lang w:eastAsia="zh-CN"/>
        </w:rPr>
        <w:t>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将针对初次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中部分关键条款或价格存在调整空间的物资/服务，</w:t>
      </w:r>
      <w:r>
        <w:rPr>
          <w:rFonts w:hint="eastAsia" w:ascii="仿宋_GB2312" w:eastAsia="仿宋_GB2312"/>
          <w:color w:val="auto"/>
          <w:sz w:val="30"/>
          <w:szCs w:val="30"/>
          <w:highlight w:val="none"/>
          <w:lang w:val="en-US" w:eastAsia="zh-CN"/>
        </w:rPr>
        <w:t>遵循公平、公正、公开的原则进行。</w:t>
      </w:r>
      <w:r>
        <w:rPr>
          <w:rFonts w:hint="eastAsia" w:ascii="仿宋_GB2312" w:eastAsia="仿宋_GB2312"/>
          <w:color w:val="auto"/>
          <w:sz w:val="30"/>
          <w:szCs w:val="30"/>
          <w:highlight w:val="none"/>
          <w:lang w:eastAsia="zh-CN"/>
        </w:rPr>
        <w:t>参与二次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的供应商需严格按照</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lang w:eastAsia="zh-CN"/>
        </w:rPr>
        <w:t>提供的二次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文件要求，在规定的时间内提交详细且具有竞争力的报价及相关说明。报价应涵盖所有费用明细，确保清晰透明。供应商在二次报价时，除需提供更新后的价格信息外，还需对初次报价中的相关疑问或我司提出的特定要求做出明确回应，确保报价的完整性与准确性。</w:t>
      </w:r>
      <w:r>
        <w:rPr>
          <w:rFonts w:hint="eastAsia" w:ascii="仿宋_GB2312" w:eastAsia="仿宋_GB2312"/>
          <w:color w:val="auto"/>
          <w:sz w:val="30"/>
          <w:szCs w:val="30"/>
          <w:highlight w:val="none"/>
          <w:lang w:val="en-US" w:eastAsia="zh-CN"/>
        </w:rPr>
        <w:t>采购人将严格按照既定的招标流程和时间安排，向符合条件的供应商电话发出二次报价通知。供应商的二次报价一经提交，不得更改。采购人</w:t>
      </w:r>
      <w:r>
        <w:rPr>
          <w:rFonts w:hint="eastAsia" w:ascii="仿宋_GB2312" w:eastAsia="仿宋_GB2312"/>
          <w:color w:val="auto"/>
          <w:sz w:val="30"/>
          <w:szCs w:val="30"/>
          <w:highlight w:val="none"/>
        </w:rPr>
        <w:t>组织评审小组对各单位的</w:t>
      </w:r>
      <w:r>
        <w:rPr>
          <w:rFonts w:hint="eastAsia" w:ascii="仿宋_GB2312" w:eastAsia="仿宋_GB2312"/>
          <w:color w:val="auto"/>
          <w:sz w:val="30"/>
          <w:szCs w:val="30"/>
          <w:highlight w:val="none"/>
          <w:lang w:val="en-US" w:eastAsia="zh-CN"/>
        </w:rPr>
        <w:t>二次</w:t>
      </w:r>
      <w:r>
        <w:rPr>
          <w:rFonts w:hint="eastAsia" w:ascii="仿宋_GB2312" w:eastAsia="仿宋_GB2312"/>
          <w:color w:val="auto"/>
          <w:sz w:val="30"/>
          <w:szCs w:val="30"/>
          <w:highlight w:val="none"/>
        </w:rPr>
        <w:t>报价资料</w:t>
      </w:r>
      <w:r>
        <w:rPr>
          <w:rFonts w:hint="eastAsia" w:ascii="仿宋_GB2312" w:eastAsia="仿宋_GB2312"/>
          <w:color w:val="auto"/>
          <w:sz w:val="30"/>
          <w:szCs w:val="30"/>
          <w:highlight w:val="none"/>
          <w:lang w:val="en-US" w:eastAsia="zh-CN"/>
        </w:rPr>
        <w:t>当场</w:t>
      </w:r>
      <w:r>
        <w:rPr>
          <w:rFonts w:hint="eastAsia" w:ascii="仿宋_GB2312" w:eastAsia="仿宋_GB2312"/>
          <w:color w:val="auto"/>
          <w:sz w:val="30"/>
          <w:szCs w:val="30"/>
          <w:highlight w:val="none"/>
        </w:rPr>
        <w:t>进行审核，在满足</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要求的前提下，</w:t>
      </w:r>
      <w:r>
        <w:rPr>
          <w:rFonts w:hint="eastAsia" w:ascii="仿宋_GB2312" w:eastAsia="仿宋_GB2312"/>
          <w:color w:val="auto"/>
          <w:sz w:val="30"/>
          <w:szCs w:val="30"/>
          <w:highlight w:val="none"/>
          <w:lang w:eastAsia="zh-CN"/>
        </w:rPr>
        <w:t>以二次报价</w:t>
      </w:r>
      <w:r>
        <w:rPr>
          <w:rFonts w:hint="eastAsia" w:ascii="仿宋_GB2312" w:eastAsia="仿宋_GB2312"/>
          <w:color w:val="auto"/>
          <w:sz w:val="30"/>
          <w:szCs w:val="30"/>
          <w:highlight w:val="none"/>
        </w:rPr>
        <w:t>金额最低价成交的原则确定</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若出现税率不一致的情况，以除税</w:t>
      </w:r>
      <w:r>
        <w:rPr>
          <w:rFonts w:hint="eastAsia" w:ascii="仿宋_GB2312" w:eastAsia="仿宋_GB2312"/>
          <w:color w:val="auto"/>
          <w:sz w:val="30"/>
          <w:szCs w:val="30"/>
          <w:highlight w:val="none"/>
          <w:lang w:eastAsia="zh-CN"/>
        </w:rPr>
        <w:t>总金额</w:t>
      </w:r>
      <w:r>
        <w:rPr>
          <w:rFonts w:hint="eastAsia" w:ascii="仿宋_GB2312" w:eastAsia="仿宋_GB2312"/>
          <w:color w:val="auto"/>
          <w:sz w:val="30"/>
          <w:szCs w:val="30"/>
          <w:highlight w:val="none"/>
        </w:rPr>
        <w:t>相对比。如果出现相同总金额最低报价情况时，总金额最低报价相同的</w:t>
      </w:r>
      <w:r>
        <w:rPr>
          <w:rFonts w:hint="eastAsia" w:ascii="仿宋_GB2312" w:eastAsia="仿宋_GB2312"/>
          <w:color w:val="auto"/>
          <w:sz w:val="30"/>
          <w:szCs w:val="30"/>
          <w:highlight w:val="none"/>
          <w:lang w:val="en-US" w:eastAsia="zh-CN"/>
        </w:rPr>
        <w:t>报价人</w:t>
      </w:r>
      <w:r>
        <w:rPr>
          <w:rFonts w:hint="eastAsia" w:ascii="仿宋_GB2312" w:eastAsia="仿宋_GB2312"/>
          <w:color w:val="auto"/>
          <w:sz w:val="30"/>
          <w:szCs w:val="30"/>
          <w:highlight w:val="none"/>
        </w:rPr>
        <w:t>再进行一轮报价。如报价再相同，则由</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抽签决定</w:t>
      </w:r>
      <w:r>
        <w:rPr>
          <w:rFonts w:hint="eastAsia" w:ascii="仿宋_GB2312" w:eastAsia="仿宋_GB2312"/>
          <w:color w:val="auto"/>
          <w:sz w:val="30"/>
          <w:szCs w:val="30"/>
          <w:highlight w:val="none"/>
          <w:lang w:val="en-US" w:eastAsia="zh-CN"/>
        </w:rPr>
        <w:t>中标单位。</w:t>
      </w:r>
    </w:p>
    <w:p w14:paraId="0B2D6BC6">
      <w:pPr>
        <w:pStyle w:val="12"/>
        <w:snapToGrid/>
        <w:spacing w:line="360" w:lineRule="auto"/>
        <w:rPr>
          <w:rFonts w:hint="eastAsia"/>
          <w:color w:val="auto"/>
          <w:lang w:eastAsia="zh-CN"/>
        </w:rPr>
      </w:pP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二次报价流程仅限于采购总金额限价人民币10万元（含）以上的采购项目展开，若采购总金额限价低于人民币10万元（不含）则不进行二次报价，以初次递交报价文件为最终报价。</w:t>
      </w:r>
    </w:p>
    <w:p w14:paraId="1F340704">
      <w:pPr>
        <w:pStyle w:val="12"/>
        <w:snapToGrid/>
        <w:spacing w:line="360" w:lineRule="auto"/>
        <w:ind w:left="0" w:leftChars="0" w:firstLine="600" w:firstLineChars="0"/>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三）参与二次报价的供应商需在接到采购人电话通知后30分钟内将盖章后的二次报价文件电子版发至邮箱dzw@sxszsny.com。若超过30分钟采购人未收到准确有效的二次报价文件，则默认供应商保持原价。二次报价文件内容参照附件“二次报价一览表”。</w:t>
      </w:r>
    </w:p>
    <w:p w14:paraId="6A48C45C">
      <w:pPr>
        <w:pageBreakBefore w:val="0"/>
        <w:kinsoku/>
        <w:wordWrap/>
        <w:topLinePunct w:val="0"/>
        <w:bidi w:val="0"/>
        <w:snapToGrid w:val="0"/>
        <w:spacing w:line="360" w:lineRule="auto"/>
        <w:ind w:left="974" w:leftChars="64" w:hanging="840" w:hangingChars="280"/>
        <w:jc w:val="left"/>
        <w:rPr>
          <w:rFonts w:ascii="仿宋_GB2312" w:eastAsia="仿宋_GB2312"/>
          <w:color w:val="FF0000"/>
          <w:sz w:val="30"/>
          <w:szCs w:val="30"/>
        </w:rPr>
      </w:pPr>
      <w:r>
        <w:rPr>
          <w:rFonts w:hint="eastAsia" w:ascii="仿宋_GB2312" w:eastAsia="仿宋_GB2312"/>
          <w:color w:val="auto"/>
          <w:sz w:val="30"/>
          <w:szCs w:val="30"/>
          <w:highlight w:val="none"/>
        </w:rPr>
        <w:t xml:space="preserve">   （</w:t>
      </w:r>
      <w:r>
        <w:rPr>
          <w:rFonts w:hint="eastAsia" w:ascii="仿宋_GB2312" w:eastAsia="仿宋_GB2312"/>
          <w:color w:val="auto"/>
          <w:sz w:val="30"/>
          <w:szCs w:val="30"/>
          <w:highlight w:val="none"/>
          <w:lang w:val="en-US" w:eastAsia="zh-CN"/>
        </w:rPr>
        <w:t>四</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不向未</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解释未成交原因，不退还报价文件。</w:t>
      </w:r>
    </w:p>
    <w:p w14:paraId="6533DA04">
      <w:pPr>
        <w:pStyle w:val="19"/>
        <w:pageBreakBefore w:val="0"/>
        <w:widowControl w:val="0"/>
        <w:kinsoku/>
        <w:wordWrap/>
        <w:topLinePunct w:val="0"/>
        <w:bidi w:val="0"/>
        <w:snapToGrid w:val="0"/>
        <w:spacing w:line="360" w:lineRule="auto"/>
        <w:ind w:firstLine="601"/>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14:paraId="5FFD1E09">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lang w:eastAsia="zh-CN"/>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。合同履行期间，采购人可根据实际需要，按照成交价格，调整采购数量。</w:t>
      </w:r>
      <w:r>
        <w:rPr>
          <w:rFonts w:hint="eastAsia" w:ascii="仿宋_GB2312" w:hAnsi="Times New Roman" w:eastAsia="仿宋_GB2312" w:cs="Times New Roman"/>
          <w:sz w:val="30"/>
          <w:szCs w:val="30"/>
          <w:lang w:eastAsia="zh-CN"/>
        </w:rPr>
        <w:t>（成交价格及采购数量不得超过原合同的百分之十）</w:t>
      </w:r>
    </w:p>
    <w:p w14:paraId="405C3781">
      <w:pPr>
        <w:pageBreakBefore w:val="0"/>
        <w:kinsoku/>
        <w:wordWrap/>
        <w:topLinePunct w:val="0"/>
        <w:bidi w:val="0"/>
        <w:snapToGrid w:val="0"/>
        <w:spacing w:line="360" w:lineRule="auto"/>
        <w:ind w:firstLine="600" w:firstLineChars="200"/>
        <w:jc w:val="left"/>
        <w:rPr>
          <w:rFonts w:hint="eastAsia"/>
        </w:rPr>
      </w:pPr>
      <w:r>
        <w:rPr>
          <w:rFonts w:hint="eastAsia" w:ascii="仿宋_GB2312" w:eastAsia="仿宋_GB2312"/>
          <w:sz w:val="30"/>
          <w:szCs w:val="30"/>
          <w:lang w:eastAsia="zh-CN"/>
        </w:rPr>
        <w:t>标书内合同主要条款为拟定条款，具体合同条款在签订合同时由双方协商后确定。</w:t>
      </w:r>
    </w:p>
    <w:p w14:paraId="614ED959">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14:paraId="11BD788B">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14:paraId="6271FED6">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14:paraId="4B1BD19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14:paraId="771E694F">
      <w:pPr>
        <w:pStyle w:val="2"/>
        <w:numPr>
          <w:ilvl w:val="0"/>
          <w:numId w:val="0"/>
        </w:numPr>
        <w:jc w:val="center"/>
        <w:outlineLvl w:val="9"/>
        <w:rPr>
          <w:rFonts w:hint="eastAsia" w:ascii="仿宋" w:hAnsi="仿宋" w:eastAsia="仿宋" w:cs="仿宋"/>
          <w:snapToGrid w:val="0"/>
          <w:sz w:val="44"/>
          <w:szCs w:val="44"/>
        </w:rPr>
      </w:pPr>
    </w:p>
    <w:p w14:paraId="37AAEC2D">
      <w:pPr>
        <w:rPr>
          <w:rFonts w:hint="eastAsia" w:ascii="仿宋" w:hAnsi="仿宋" w:eastAsia="仿宋" w:cs="仿宋"/>
          <w:snapToGrid w:val="0"/>
          <w:sz w:val="44"/>
          <w:szCs w:val="44"/>
        </w:rPr>
      </w:pPr>
    </w:p>
    <w:p w14:paraId="232EB71A">
      <w:pPr>
        <w:pStyle w:val="4"/>
        <w:rPr>
          <w:rFonts w:hint="eastAsia" w:ascii="仿宋" w:hAnsi="仿宋" w:eastAsia="仿宋" w:cs="仿宋"/>
          <w:snapToGrid w:val="0"/>
          <w:sz w:val="44"/>
          <w:szCs w:val="44"/>
        </w:rPr>
      </w:pPr>
    </w:p>
    <w:p w14:paraId="1CB310D2">
      <w:pPr>
        <w:pStyle w:val="2"/>
        <w:numPr>
          <w:ilvl w:val="0"/>
          <w:numId w:val="0"/>
        </w:numPr>
        <w:jc w:val="both"/>
        <w:rPr>
          <w:rFonts w:hint="eastAsia" w:ascii="仿宋" w:hAnsi="仿宋" w:eastAsia="仿宋" w:cs="仿宋"/>
          <w:snapToGrid w:val="0"/>
          <w:sz w:val="44"/>
          <w:szCs w:val="44"/>
        </w:rPr>
      </w:pPr>
      <w:bookmarkStart w:id="13" w:name="_Toc4053"/>
    </w:p>
    <w:p w14:paraId="255BB6B6">
      <w:pPr>
        <w:rPr>
          <w:rFonts w:hint="eastAsia" w:ascii="仿宋" w:hAnsi="仿宋" w:eastAsia="仿宋" w:cs="仿宋"/>
          <w:snapToGrid w:val="0"/>
          <w:sz w:val="44"/>
          <w:szCs w:val="44"/>
        </w:rPr>
      </w:pPr>
    </w:p>
    <w:p w14:paraId="4B4E91A6">
      <w:pPr>
        <w:pStyle w:val="12"/>
        <w:rPr>
          <w:rFonts w:hint="eastAsia"/>
        </w:rPr>
      </w:pPr>
    </w:p>
    <w:p w14:paraId="3EBB21A5">
      <w:pPr>
        <w:pStyle w:val="12"/>
        <w:rPr>
          <w:rFonts w:hint="eastAsia"/>
        </w:rPr>
      </w:pPr>
    </w:p>
    <w:p w14:paraId="409C3F53">
      <w:pPr>
        <w:pStyle w:val="12"/>
        <w:rPr>
          <w:rFonts w:hint="eastAsia"/>
        </w:rPr>
      </w:pPr>
    </w:p>
    <w:p w14:paraId="6B1F2CE2">
      <w:pPr>
        <w:pStyle w:val="12"/>
        <w:rPr>
          <w:rFonts w:hint="eastAsia"/>
        </w:rPr>
      </w:pPr>
    </w:p>
    <w:p w14:paraId="6DD629C6">
      <w:pPr>
        <w:pStyle w:val="2"/>
        <w:numPr>
          <w:ilvl w:val="0"/>
          <w:numId w:val="0"/>
        </w:numPr>
        <w:jc w:val="center"/>
        <w:rPr>
          <w:rFonts w:hint="eastAsia" w:ascii="仿宋" w:hAnsi="仿宋" w:eastAsia="仿宋" w:cs="仿宋"/>
          <w:b w:val="0"/>
          <w:bCs/>
          <w:snapToGrid w:val="0"/>
          <w:sz w:val="44"/>
        </w:rPr>
      </w:pPr>
      <w:r>
        <w:rPr>
          <w:rFonts w:hint="eastAsia" w:ascii="仿宋" w:hAnsi="仿宋" w:eastAsia="仿宋" w:cs="仿宋"/>
          <w:snapToGrid w:val="0"/>
          <w:sz w:val="44"/>
          <w:szCs w:val="44"/>
        </w:rPr>
        <w:t>第三部分   询价内容</w:t>
      </w:r>
      <w:bookmarkEnd w:id="8"/>
      <w:bookmarkEnd w:id="9"/>
      <w:bookmarkEnd w:id="13"/>
    </w:p>
    <w:p w14:paraId="6BB5C9D1">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一、</w:t>
      </w:r>
      <w:r>
        <w:rPr>
          <w:rFonts w:hint="eastAsia" w:ascii="仿宋" w:hAnsi="仿宋" w:eastAsia="仿宋" w:cs="仿宋"/>
          <w:color w:val="auto"/>
          <w:kern w:val="2"/>
          <w:sz w:val="30"/>
          <w:szCs w:val="30"/>
        </w:rPr>
        <w:t>采购内容及相关说明</w:t>
      </w:r>
    </w:p>
    <w:p w14:paraId="2B2EFD68">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val="en-US" w:eastAsia="zh-CN"/>
        </w:rPr>
        <w:t>详见报价清单</w:t>
      </w:r>
    </w:p>
    <w:p w14:paraId="7F3BB305">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二、服务</w:t>
      </w:r>
      <w:r>
        <w:rPr>
          <w:rFonts w:hint="eastAsia" w:ascii="仿宋" w:hAnsi="仿宋" w:eastAsia="仿宋" w:cs="仿宋"/>
          <w:color w:val="auto"/>
          <w:kern w:val="2"/>
          <w:sz w:val="30"/>
          <w:szCs w:val="30"/>
        </w:rPr>
        <w:t>方式</w:t>
      </w:r>
      <w:bookmarkStart w:id="22" w:name="_GoBack"/>
      <w:bookmarkEnd w:id="22"/>
    </w:p>
    <w:p w14:paraId="393A21A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包工包料，施工时间待采购人通知，施工周期3天</w:t>
      </w:r>
      <w:r>
        <w:rPr>
          <w:rFonts w:hint="eastAsia" w:ascii="仿宋" w:hAnsi="仿宋" w:eastAsia="仿宋" w:cs="仿宋"/>
          <w:color w:val="auto"/>
          <w:kern w:val="2"/>
          <w:sz w:val="30"/>
          <w:szCs w:val="30"/>
          <w:highlight w:val="none"/>
        </w:rPr>
        <w:t>。</w:t>
      </w:r>
    </w:p>
    <w:p w14:paraId="2549B5B5">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rPr>
        <w:t>三、付款方式</w:t>
      </w:r>
    </w:p>
    <w:p w14:paraId="093621B5">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项目完成且经由采购人验收合格后，供货方提供经双方确认的送货清单及增值税专用发票，采购人自收到准确清单和发票后，于次二月完成货款支付。供货方需提供二年质保，其履约保证金（合同价的5%）到时自动转为质保金，于质保期到期后支付，质保期从验收合格之日起计算。</w:t>
      </w:r>
    </w:p>
    <w:p w14:paraId="3B2867B7">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14:paraId="54FC671D">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14:paraId="77605A68">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14:paraId="05EBF0DD">
      <w:pPr>
        <w:pStyle w:val="2"/>
        <w:numPr>
          <w:ilvl w:val="0"/>
          <w:numId w:val="0"/>
        </w:numPr>
        <w:jc w:val="center"/>
        <w:outlineLvl w:val="9"/>
        <w:rPr>
          <w:rFonts w:hint="eastAsia" w:ascii="仿宋" w:hAnsi="仿宋" w:eastAsia="仿宋" w:cs="仿宋"/>
          <w:snapToGrid w:val="0"/>
          <w:sz w:val="30"/>
          <w:szCs w:val="30"/>
        </w:rPr>
      </w:pPr>
      <w:bookmarkStart w:id="14" w:name="_Toc530583924"/>
      <w:r>
        <w:rPr>
          <w:rFonts w:hint="eastAsia" w:ascii="仿宋" w:hAnsi="仿宋" w:eastAsia="仿宋" w:cs="仿宋"/>
          <w:snapToGrid w:val="0"/>
          <w:sz w:val="30"/>
          <w:szCs w:val="30"/>
        </w:rPr>
        <w:br w:type="page"/>
      </w:r>
    </w:p>
    <w:p w14:paraId="56522A2F">
      <w:pPr>
        <w:pStyle w:val="2"/>
        <w:numPr>
          <w:ilvl w:val="0"/>
          <w:numId w:val="3"/>
        </w:numPr>
        <w:ind w:left="840" w:leftChars="0" w:firstLineChars="0"/>
        <w:jc w:val="center"/>
        <w:rPr>
          <w:rFonts w:hint="eastAsia" w:ascii="仿宋" w:hAnsi="仿宋" w:eastAsia="仿宋" w:cs="仿宋"/>
          <w:snapToGrid w:val="0"/>
          <w:sz w:val="44"/>
          <w:szCs w:val="44"/>
          <w:lang w:val="en-US" w:eastAsia="zh-CN"/>
        </w:rPr>
      </w:pPr>
      <w:r>
        <w:rPr>
          <w:rFonts w:hint="eastAsia" w:ascii="仿宋" w:hAnsi="仿宋" w:eastAsia="仿宋" w:cs="仿宋"/>
          <w:snapToGrid w:val="0"/>
          <w:sz w:val="44"/>
          <w:szCs w:val="44"/>
          <w:lang w:val="en-US" w:eastAsia="zh-CN"/>
        </w:rPr>
        <w:t xml:space="preserve">   </w:t>
      </w:r>
      <w:bookmarkStart w:id="15" w:name="_Toc30277"/>
      <w:r>
        <w:rPr>
          <w:rFonts w:hint="eastAsia" w:ascii="仿宋" w:hAnsi="仿宋" w:eastAsia="仿宋" w:cs="仿宋"/>
          <w:snapToGrid w:val="0"/>
          <w:sz w:val="44"/>
          <w:szCs w:val="44"/>
          <w:lang w:val="en-US" w:eastAsia="zh-CN"/>
        </w:rPr>
        <w:t>合同主要条款</w:t>
      </w:r>
      <w:bookmarkEnd w:id="15"/>
    </w:p>
    <w:p w14:paraId="02DD4D31">
      <w:pPr>
        <w:keepNext w:val="0"/>
        <w:keepLines w:val="0"/>
        <w:pageBreakBefore w:val="0"/>
        <w:widowControl/>
        <w:kinsoku/>
        <w:wordWrap/>
        <w:overflowPunct/>
        <w:topLinePunct w:val="0"/>
        <w:autoSpaceDE/>
        <w:autoSpaceDN/>
        <w:bidi w:val="0"/>
        <w:adjustRightInd w:val="0"/>
        <w:snapToGrid w:val="0"/>
        <w:spacing w:after="0" w:line="579" w:lineRule="exact"/>
        <w:ind w:firstLine="560" w:firstLineChars="200"/>
        <w:jc w:val="both"/>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采购方需采购以下供货范围设备/备件若干，经供需双方友好协商，一致同意签订本合同，以便遵照执行。</w:t>
      </w:r>
    </w:p>
    <w:p w14:paraId="7C95984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lang w:eastAsia="zh-CN"/>
        </w:rPr>
        <w:t>第一条</w:t>
      </w:r>
      <w:r>
        <w:rPr>
          <w:rFonts w:hint="eastAsia" w:ascii="黑体" w:hAnsi="黑体" w:eastAsia="黑体" w:cs="黑体"/>
          <w:sz w:val="28"/>
          <w:szCs w:val="28"/>
          <w:lang w:val="en-US" w:eastAsia="zh-CN"/>
        </w:rPr>
        <w:t xml:space="preserve"> 服务</w:t>
      </w:r>
      <w:r>
        <w:rPr>
          <w:rFonts w:hint="eastAsia" w:ascii="黑体" w:hAnsi="黑体" w:eastAsia="黑体" w:cs="黑体"/>
          <w:sz w:val="28"/>
          <w:szCs w:val="28"/>
        </w:rPr>
        <w:t>范围及价格</w:t>
      </w:r>
    </w:p>
    <w:tbl>
      <w:tblPr>
        <w:tblStyle w:val="13"/>
        <w:tblW w:w="9571" w:type="dxa"/>
        <w:jc w:val="center"/>
        <w:tblLayout w:type="fixed"/>
        <w:tblCellMar>
          <w:top w:w="0" w:type="dxa"/>
          <w:left w:w="108" w:type="dxa"/>
          <w:bottom w:w="0" w:type="dxa"/>
          <w:right w:w="108" w:type="dxa"/>
        </w:tblCellMar>
      </w:tblPr>
      <w:tblGrid>
        <w:gridCol w:w="751"/>
        <w:gridCol w:w="1439"/>
        <w:gridCol w:w="2016"/>
        <w:gridCol w:w="1554"/>
        <w:gridCol w:w="1514"/>
        <w:gridCol w:w="2297"/>
      </w:tblGrid>
      <w:tr w14:paraId="61FB989E">
        <w:tblPrEx>
          <w:tblCellMar>
            <w:top w:w="0" w:type="dxa"/>
            <w:left w:w="108" w:type="dxa"/>
            <w:bottom w:w="0" w:type="dxa"/>
            <w:right w:w="108" w:type="dxa"/>
          </w:tblCellMar>
        </w:tblPrEx>
        <w:trPr>
          <w:trHeight w:val="796"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14:paraId="361BCD54">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序号</w:t>
            </w:r>
          </w:p>
        </w:tc>
        <w:tc>
          <w:tcPr>
            <w:tcW w:w="1439" w:type="dxa"/>
            <w:tcBorders>
              <w:top w:val="single" w:color="auto" w:sz="4" w:space="0"/>
              <w:left w:val="nil"/>
              <w:bottom w:val="single" w:color="auto" w:sz="4" w:space="0"/>
              <w:right w:val="single" w:color="auto" w:sz="4" w:space="0"/>
            </w:tcBorders>
            <w:noWrap w:val="0"/>
            <w:vAlign w:val="center"/>
          </w:tcPr>
          <w:p w14:paraId="0828F0C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项目名称</w:t>
            </w:r>
          </w:p>
        </w:tc>
        <w:tc>
          <w:tcPr>
            <w:tcW w:w="2016" w:type="dxa"/>
            <w:tcBorders>
              <w:top w:val="single" w:color="auto" w:sz="4" w:space="0"/>
              <w:left w:val="nil"/>
              <w:bottom w:val="single" w:color="auto" w:sz="4" w:space="0"/>
              <w:right w:val="single" w:color="auto" w:sz="4" w:space="0"/>
            </w:tcBorders>
            <w:noWrap w:val="0"/>
            <w:vAlign w:val="center"/>
          </w:tcPr>
          <w:p w14:paraId="1054710A">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内容</w:t>
            </w:r>
          </w:p>
        </w:tc>
        <w:tc>
          <w:tcPr>
            <w:tcW w:w="1554" w:type="dxa"/>
            <w:tcBorders>
              <w:top w:val="single" w:color="auto" w:sz="4" w:space="0"/>
              <w:left w:val="nil"/>
              <w:bottom w:val="single" w:color="auto" w:sz="4" w:space="0"/>
              <w:right w:val="single" w:color="auto" w:sz="4" w:space="0"/>
            </w:tcBorders>
            <w:noWrap w:val="0"/>
            <w:vAlign w:val="center"/>
          </w:tcPr>
          <w:p w14:paraId="79AA7BD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技术要求</w:t>
            </w:r>
          </w:p>
        </w:tc>
        <w:tc>
          <w:tcPr>
            <w:tcW w:w="1514" w:type="dxa"/>
            <w:tcBorders>
              <w:top w:val="single" w:color="auto" w:sz="4" w:space="0"/>
              <w:left w:val="nil"/>
              <w:bottom w:val="single" w:color="auto" w:sz="4" w:space="0"/>
              <w:right w:val="single" w:color="auto" w:sz="4" w:space="0"/>
            </w:tcBorders>
            <w:noWrap w:val="0"/>
            <w:vAlign w:val="center"/>
          </w:tcPr>
          <w:p w14:paraId="351564F8">
            <w:pPr>
              <w:keepNext w:val="0"/>
              <w:keepLines w:val="0"/>
              <w:pageBreakBefore w:val="0"/>
              <w:widowControl/>
              <w:suppressLineNumbers w:val="0"/>
              <w:tabs>
                <w:tab w:val="left" w:pos="301"/>
              </w:tabs>
              <w:kinsoku/>
              <w:wordWrap/>
              <w:overflowPunct/>
              <w:topLinePunct w:val="0"/>
              <w:autoSpaceDE/>
              <w:autoSpaceDN/>
              <w:bidi w:val="0"/>
              <w:adjustRightInd/>
              <w:snapToGrid/>
              <w:jc w:val="left"/>
              <w:textAlignment w:val="center"/>
              <w:rPr>
                <w:rFonts w:hint="default" w:ascii="方正仿宋_GBK" w:hAnsi="方正仿宋_GBK" w:eastAsia="方正仿宋_GBK" w:cs="方正仿宋_GBK"/>
                <w:b/>
                <w:bCs/>
                <w:i w:val="0"/>
                <w:iCs w:val="0"/>
                <w:color w:val="000000"/>
                <w:kern w:val="0"/>
                <w:sz w:val="24"/>
                <w:szCs w:val="24"/>
                <w:highlight w:val="none"/>
                <w:u w:val="none"/>
                <w:lang w:val="en-US" w:eastAsia="zh-CN" w:bidi="ar"/>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ab/>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备注</w:t>
            </w:r>
          </w:p>
        </w:tc>
        <w:tc>
          <w:tcPr>
            <w:tcW w:w="2297" w:type="dxa"/>
            <w:tcBorders>
              <w:top w:val="single" w:color="auto" w:sz="4" w:space="0"/>
              <w:left w:val="nil"/>
              <w:bottom w:val="single" w:color="auto" w:sz="4" w:space="0"/>
              <w:right w:val="single" w:color="auto" w:sz="4" w:space="0"/>
            </w:tcBorders>
            <w:noWrap w:val="0"/>
            <w:vAlign w:val="center"/>
          </w:tcPr>
          <w:p w14:paraId="25F5365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金额（元）</w:t>
            </w:r>
          </w:p>
        </w:tc>
      </w:tr>
      <w:tr w14:paraId="37E61D2B">
        <w:tblPrEx>
          <w:tblCellMar>
            <w:top w:w="0" w:type="dxa"/>
            <w:left w:w="108" w:type="dxa"/>
            <w:bottom w:w="0" w:type="dxa"/>
            <w:right w:w="108" w:type="dxa"/>
          </w:tblCellMar>
        </w:tblPrEx>
        <w:trPr>
          <w:trHeight w:val="798" w:hRule="atLeast"/>
          <w:jc w:val="center"/>
        </w:trPr>
        <w:tc>
          <w:tcPr>
            <w:tcW w:w="751" w:type="dxa"/>
            <w:tcBorders>
              <w:top w:val="nil"/>
              <w:left w:val="single" w:color="auto" w:sz="4" w:space="0"/>
              <w:bottom w:val="single" w:color="auto" w:sz="4" w:space="0"/>
              <w:right w:val="single" w:color="auto" w:sz="4" w:space="0"/>
            </w:tcBorders>
            <w:shd w:val="clear" w:color="auto" w:fill="auto"/>
            <w:noWrap w:val="0"/>
            <w:vAlign w:val="center"/>
          </w:tcPr>
          <w:p w14:paraId="7F7D8106">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1</w:t>
            </w:r>
          </w:p>
        </w:tc>
        <w:tc>
          <w:tcPr>
            <w:tcW w:w="1439" w:type="dxa"/>
            <w:tcBorders>
              <w:top w:val="nil"/>
              <w:left w:val="nil"/>
              <w:bottom w:val="single" w:color="auto" w:sz="4" w:space="0"/>
              <w:right w:val="single" w:color="auto" w:sz="4" w:space="0"/>
            </w:tcBorders>
            <w:shd w:val="clear" w:color="000000" w:fill="FFFFFF"/>
            <w:noWrap w:val="0"/>
            <w:vAlign w:val="center"/>
          </w:tcPr>
          <w:p w14:paraId="5AB79DF4">
            <w:pPr>
              <w:adjustRightInd/>
              <w:snapToGrid/>
              <w:spacing w:after="0"/>
              <w:jc w:val="center"/>
              <w:rPr>
                <w:rFonts w:hint="eastAsia" w:ascii="Times New Roman" w:hAnsi="Times New Roman" w:eastAsia="方正仿宋_GBK" w:cs="Times New Roman"/>
                <w:b/>
                <w:bCs/>
                <w:sz w:val="24"/>
                <w:szCs w:val="24"/>
              </w:rPr>
            </w:pPr>
          </w:p>
        </w:tc>
        <w:tc>
          <w:tcPr>
            <w:tcW w:w="2016" w:type="dxa"/>
            <w:tcBorders>
              <w:top w:val="nil"/>
              <w:left w:val="nil"/>
              <w:bottom w:val="single" w:color="auto" w:sz="4" w:space="0"/>
              <w:right w:val="single" w:color="auto" w:sz="4" w:space="0"/>
            </w:tcBorders>
            <w:shd w:val="clear" w:color="000000" w:fill="FFFFFF"/>
            <w:noWrap w:val="0"/>
            <w:vAlign w:val="center"/>
          </w:tcPr>
          <w:p w14:paraId="3FA67EFB">
            <w:pPr>
              <w:adjustRightInd/>
              <w:snapToGrid/>
              <w:spacing w:after="0"/>
              <w:jc w:val="center"/>
              <w:rPr>
                <w:rFonts w:hint="default" w:ascii="Times New Roman" w:hAnsi="Times New Roman" w:eastAsia="方正仿宋_GBK" w:cs="Times New Roman"/>
                <w:b/>
                <w:bCs/>
                <w:sz w:val="24"/>
                <w:szCs w:val="24"/>
              </w:rPr>
            </w:pPr>
          </w:p>
        </w:tc>
        <w:tc>
          <w:tcPr>
            <w:tcW w:w="1554" w:type="dxa"/>
            <w:tcBorders>
              <w:top w:val="nil"/>
              <w:left w:val="nil"/>
              <w:bottom w:val="single" w:color="auto" w:sz="4" w:space="0"/>
              <w:right w:val="single" w:color="auto" w:sz="4" w:space="0"/>
            </w:tcBorders>
            <w:noWrap w:val="0"/>
            <w:vAlign w:val="center"/>
          </w:tcPr>
          <w:p w14:paraId="6E9BDD84">
            <w:pPr>
              <w:adjustRightInd/>
              <w:snapToGrid/>
              <w:spacing w:after="0"/>
              <w:jc w:val="center"/>
              <w:rPr>
                <w:rFonts w:hint="default" w:ascii="Times New Roman" w:hAnsi="Times New Roman" w:eastAsia="方正仿宋_GBK" w:cs="Times New Roman"/>
                <w:b/>
                <w:bCs/>
                <w:sz w:val="24"/>
                <w:szCs w:val="24"/>
              </w:rPr>
            </w:pPr>
          </w:p>
        </w:tc>
        <w:tc>
          <w:tcPr>
            <w:tcW w:w="1514" w:type="dxa"/>
            <w:tcBorders>
              <w:top w:val="nil"/>
              <w:left w:val="nil"/>
              <w:bottom w:val="single" w:color="auto" w:sz="4" w:space="0"/>
              <w:right w:val="single" w:color="auto" w:sz="4" w:space="0"/>
            </w:tcBorders>
            <w:noWrap w:val="0"/>
            <w:vAlign w:val="center"/>
          </w:tcPr>
          <w:p w14:paraId="468EFA8D">
            <w:pPr>
              <w:adjustRightInd/>
              <w:snapToGrid/>
              <w:spacing w:after="0"/>
              <w:jc w:val="center"/>
              <w:rPr>
                <w:rFonts w:hint="default" w:ascii="Times New Roman" w:hAnsi="Times New Roman" w:eastAsia="方正仿宋_GBK" w:cs="Times New Roman"/>
                <w:b/>
                <w:bCs/>
                <w:sz w:val="24"/>
                <w:szCs w:val="24"/>
              </w:rPr>
            </w:pPr>
          </w:p>
        </w:tc>
        <w:tc>
          <w:tcPr>
            <w:tcW w:w="2297" w:type="dxa"/>
            <w:tcBorders>
              <w:top w:val="nil"/>
              <w:left w:val="nil"/>
              <w:bottom w:val="single" w:color="auto" w:sz="4" w:space="0"/>
              <w:right w:val="single" w:color="auto" w:sz="4" w:space="0"/>
            </w:tcBorders>
            <w:noWrap w:val="0"/>
            <w:vAlign w:val="center"/>
          </w:tcPr>
          <w:p w14:paraId="6FEA7C73">
            <w:pPr>
              <w:adjustRightInd/>
              <w:snapToGrid/>
              <w:spacing w:after="0"/>
              <w:jc w:val="center"/>
              <w:rPr>
                <w:rFonts w:hint="eastAsia" w:ascii="Times New Roman" w:hAnsi="Times New Roman" w:eastAsia="方正仿宋_GBK" w:cs="Times New Roman"/>
                <w:b/>
                <w:bCs/>
                <w:sz w:val="24"/>
                <w:szCs w:val="24"/>
              </w:rPr>
            </w:pPr>
          </w:p>
        </w:tc>
      </w:tr>
      <w:tr w14:paraId="0C68DFC1">
        <w:tblPrEx>
          <w:tblCellMar>
            <w:top w:w="0" w:type="dxa"/>
            <w:left w:w="108" w:type="dxa"/>
            <w:bottom w:w="0" w:type="dxa"/>
            <w:right w:w="108" w:type="dxa"/>
          </w:tblCellMar>
        </w:tblPrEx>
        <w:trPr>
          <w:trHeight w:val="836" w:hRule="atLeast"/>
          <w:jc w:val="center"/>
        </w:trPr>
        <w:tc>
          <w:tcPr>
            <w:tcW w:w="7274" w:type="dxa"/>
            <w:gridSpan w:val="5"/>
            <w:tcBorders>
              <w:top w:val="nil"/>
              <w:left w:val="single" w:color="auto" w:sz="4" w:space="0"/>
              <w:bottom w:val="single" w:color="auto" w:sz="4" w:space="0"/>
              <w:right w:val="single" w:color="auto" w:sz="4" w:space="0"/>
            </w:tcBorders>
            <w:noWrap w:val="0"/>
            <w:vAlign w:val="center"/>
          </w:tcPr>
          <w:p w14:paraId="068FB2F8">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合同总金额人民币（大写）：</w:t>
            </w:r>
          </w:p>
        </w:tc>
        <w:tc>
          <w:tcPr>
            <w:tcW w:w="2297" w:type="dxa"/>
            <w:tcBorders>
              <w:top w:val="nil"/>
              <w:left w:val="single" w:color="auto" w:sz="4" w:space="0"/>
              <w:bottom w:val="single" w:color="auto" w:sz="4" w:space="0"/>
              <w:right w:val="single" w:color="auto" w:sz="4" w:space="0"/>
            </w:tcBorders>
            <w:noWrap w:val="0"/>
            <w:vAlign w:val="center"/>
          </w:tcPr>
          <w:p w14:paraId="3ADCA0A9">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w:t>
            </w:r>
          </w:p>
        </w:tc>
      </w:tr>
      <w:tr w14:paraId="2A2DA18B">
        <w:tblPrEx>
          <w:tblCellMar>
            <w:top w:w="0" w:type="dxa"/>
            <w:left w:w="108" w:type="dxa"/>
            <w:bottom w:w="0" w:type="dxa"/>
            <w:right w:w="108" w:type="dxa"/>
          </w:tblCellMar>
        </w:tblPrEx>
        <w:trPr>
          <w:trHeight w:val="716" w:hRule="atLeast"/>
          <w:jc w:val="center"/>
        </w:trPr>
        <w:tc>
          <w:tcPr>
            <w:tcW w:w="9571" w:type="dxa"/>
            <w:gridSpan w:val="6"/>
            <w:tcBorders>
              <w:top w:val="nil"/>
              <w:left w:val="single" w:color="auto" w:sz="4" w:space="0"/>
              <w:bottom w:val="single" w:color="auto" w:sz="4" w:space="0"/>
              <w:right w:val="single" w:color="auto" w:sz="4" w:space="0"/>
            </w:tcBorders>
            <w:noWrap w:val="0"/>
            <w:vAlign w:val="center"/>
          </w:tcPr>
          <w:p w14:paraId="3625AF78">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备注：以上金额含</w:t>
            </w:r>
            <w:r>
              <w:rPr>
                <w:rFonts w:hint="eastAsia" w:eastAsia="方正仿宋_GBK" w:cs="Times New Roman"/>
                <w:b/>
                <w:bCs/>
                <w:sz w:val="24"/>
                <w:szCs w:val="24"/>
                <w:lang w:val="en-US" w:eastAsia="zh-CN"/>
              </w:rPr>
              <w:t xml:space="preserve">  </w:t>
            </w:r>
            <w:r>
              <w:rPr>
                <w:rFonts w:hint="eastAsia" w:ascii="Times New Roman" w:hAnsi="Times New Roman" w:eastAsia="方正仿宋_GBK" w:cs="Times New Roman"/>
                <w:b/>
                <w:bCs/>
                <w:sz w:val="24"/>
                <w:szCs w:val="24"/>
              </w:rPr>
              <w:t>%增值税和运费</w:t>
            </w:r>
          </w:p>
        </w:tc>
      </w:tr>
    </w:tbl>
    <w:p w14:paraId="0FB9DFA4">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highlight w:val="none"/>
          <w:lang w:eastAsia="zh-CN"/>
        </w:rPr>
      </w:pPr>
      <w:r>
        <w:rPr>
          <w:rFonts w:hint="eastAsia" w:ascii="黑体" w:hAnsi="黑体" w:eastAsia="黑体" w:cs="黑体"/>
          <w:sz w:val="28"/>
          <w:szCs w:val="28"/>
          <w:highlight w:val="none"/>
        </w:rPr>
        <w:t xml:space="preserve">第二条  </w:t>
      </w:r>
      <w:r>
        <w:rPr>
          <w:rFonts w:hint="eastAsia" w:ascii="黑体" w:hAnsi="黑体" w:eastAsia="黑体" w:cs="黑体"/>
          <w:sz w:val="28"/>
          <w:szCs w:val="28"/>
          <w:highlight w:val="none"/>
          <w:lang w:val="en-US" w:eastAsia="zh-CN"/>
        </w:rPr>
        <w:t>服务</w:t>
      </w:r>
      <w:r>
        <w:rPr>
          <w:rFonts w:hint="eastAsia" w:ascii="黑体" w:hAnsi="黑体" w:eastAsia="黑体" w:cs="黑体"/>
          <w:sz w:val="28"/>
          <w:szCs w:val="28"/>
          <w:highlight w:val="none"/>
        </w:rPr>
        <w:t>时间、地点</w:t>
      </w:r>
      <w:r>
        <w:rPr>
          <w:rFonts w:hint="eastAsia" w:ascii="黑体" w:hAnsi="黑体" w:eastAsia="黑体" w:cs="黑体"/>
          <w:sz w:val="28"/>
          <w:szCs w:val="28"/>
          <w:highlight w:val="none"/>
          <w:lang w:eastAsia="zh-CN"/>
        </w:rPr>
        <w:t>、要求</w:t>
      </w:r>
    </w:p>
    <w:p w14:paraId="1E4E2527">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w:t>
      </w:r>
      <w:r>
        <w:rPr>
          <w:rFonts w:hint="eastAsia" w:ascii="方正仿宋_GBK" w:hAnsi="方正仿宋_GBK" w:eastAsia="方正仿宋_GBK" w:cs="方正仿宋_GBK"/>
          <w:sz w:val="28"/>
          <w:szCs w:val="28"/>
          <w:highlight w:val="none"/>
          <w:lang w:val="en-US" w:eastAsia="zh-CN"/>
        </w:rPr>
        <w:t>服务</w:t>
      </w:r>
      <w:r>
        <w:rPr>
          <w:rFonts w:hint="eastAsia" w:ascii="方正仿宋_GBK" w:hAnsi="方正仿宋_GBK" w:eastAsia="方正仿宋_GBK" w:cs="方正仿宋_GBK"/>
          <w:sz w:val="28"/>
          <w:szCs w:val="28"/>
          <w:highlight w:val="none"/>
        </w:rPr>
        <w:t>时间：包工包料，</w:t>
      </w:r>
      <w:r>
        <w:rPr>
          <w:rFonts w:hint="eastAsia" w:ascii="方正仿宋_GBK" w:hAnsi="方正仿宋_GBK" w:eastAsia="方正仿宋_GBK" w:cs="方正仿宋_GBK"/>
          <w:sz w:val="28"/>
          <w:szCs w:val="28"/>
          <w:highlight w:val="none"/>
          <w:lang w:val="en-US" w:eastAsia="zh-CN"/>
        </w:rPr>
        <w:t>施工时间待采购人通知，施工周期3天</w:t>
      </w:r>
      <w:r>
        <w:rPr>
          <w:rFonts w:hint="eastAsia" w:ascii="方正仿宋_GBK" w:hAnsi="方正仿宋_GBK" w:eastAsia="方正仿宋_GBK" w:cs="方正仿宋_GBK"/>
          <w:sz w:val="28"/>
          <w:szCs w:val="28"/>
          <w:highlight w:val="none"/>
        </w:rPr>
        <w:t>。</w:t>
      </w:r>
    </w:p>
    <w:p w14:paraId="480E9EDD">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lang w:val="en-US" w:eastAsia="zh-CN"/>
        </w:rPr>
        <w:t>服务</w:t>
      </w:r>
      <w:r>
        <w:rPr>
          <w:rFonts w:hint="eastAsia" w:ascii="方正仿宋_GBK" w:hAnsi="方正仿宋_GBK" w:eastAsia="方正仿宋_GBK" w:cs="方正仿宋_GBK"/>
          <w:sz w:val="28"/>
          <w:szCs w:val="28"/>
        </w:rPr>
        <w:t>地点：</w:t>
      </w:r>
      <w:r>
        <w:rPr>
          <w:rFonts w:hint="eastAsia" w:ascii="方正仿宋_GBK" w:hAnsi="方正仿宋_GBK" w:eastAsia="方正仿宋_GBK" w:cs="方正仿宋_GBK"/>
          <w:sz w:val="28"/>
          <w:szCs w:val="28"/>
          <w:lang w:eastAsia="zh-CN"/>
        </w:rPr>
        <w:t>浙江省绍兴市柯桥区钱滨线二线海塘绍兴市再生能源发展有限公司。</w:t>
      </w:r>
    </w:p>
    <w:p w14:paraId="6DE89810">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3、服务要求：交货时，应附有相应的装货清单、合格证及相关技术资料。（如有）</w:t>
      </w:r>
    </w:p>
    <w:p w14:paraId="74C8D758">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default" w:ascii="黑体" w:hAnsi="黑体" w:eastAsia="黑体" w:cs="黑体"/>
          <w:sz w:val="28"/>
          <w:szCs w:val="28"/>
          <w:lang w:val="en-US" w:eastAsia="zh-CN"/>
        </w:rPr>
      </w:pPr>
      <w:r>
        <w:rPr>
          <w:rFonts w:hint="eastAsia" w:ascii="黑体" w:hAnsi="黑体" w:eastAsia="黑体" w:cs="黑体"/>
          <w:sz w:val="28"/>
          <w:szCs w:val="28"/>
        </w:rPr>
        <w:t>第三条 技术要求</w:t>
      </w:r>
    </w:p>
    <w:p w14:paraId="1158EDBE">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1、材料性能必须满足设计要求（材料要求见图纸附件）；</w:t>
      </w:r>
    </w:p>
    <w:p w14:paraId="707A3DAB">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2、施工时，耐火层材料中添加纤维防爆剂；</w:t>
      </w:r>
    </w:p>
    <w:p w14:paraId="6F6C2C96">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3、金属件焊接安装时，使用A302焊条，堆焊厚度不低于4mm，且满焊；</w:t>
      </w:r>
    </w:p>
    <w:p w14:paraId="20A7A589">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4、隔热层硅酸铝硬板铺设时接缝需错层覆盖；</w:t>
      </w:r>
    </w:p>
    <w:p w14:paraId="16C86D2F">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5、耐火层浇注时，模板支撑牢固，避免爆模，耐火层浇注时应振捣密实；</w:t>
      </w:r>
    </w:p>
    <w:p w14:paraId="63791BA3">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6、耐火层浇注时，Y型抓钉埋入耐火层部分需涂刷不低于1.5mm厚沥青漆；</w:t>
      </w:r>
    </w:p>
    <w:p w14:paraId="482DFFAF">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7、浇注时，横向应按1200mm间距留设5mm宽膨胀缝，缝深70mm；</w:t>
      </w:r>
    </w:p>
    <w:p w14:paraId="2054422B">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yellow"/>
          <w:lang w:val="en-US" w:eastAsia="zh-CN"/>
        </w:rPr>
      </w:pPr>
      <w:r>
        <w:rPr>
          <w:rFonts w:hint="eastAsia" w:ascii="方正仿宋_GBK" w:hAnsi="方正仿宋_GBK" w:eastAsia="方正仿宋_GBK" w:cs="方正仿宋_GBK"/>
          <w:sz w:val="28"/>
          <w:szCs w:val="28"/>
          <w:lang w:val="en-US" w:eastAsia="zh-CN"/>
        </w:rPr>
        <w:t>8、耐火隔热层布置为，隔热层厚100mm，耐火层厚140mm。</w:t>
      </w:r>
    </w:p>
    <w:p w14:paraId="0EA0B714">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highlight w:val="none"/>
        </w:rPr>
      </w:pPr>
      <w:r>
        <w:rPr>
          <w:rFonts w:hint="eastAsia" w:ascii="黑体" w:hAnsi="黑体" w:eastAsia="黑体" w:cs="黑体"/>
          <w:sz w:val="28"/>
          <w:szCs w:val="28"/>
        </w:rPr>
        <w:t xml:space="preserve">第四条 合同价格   </w:t>
      </w:r>
    </w:p>
    <w:p w14:paraId="57C42B15">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highlight w:val="none"/>
        </w:rPr>
        <w:t>合同总金额人民币（大写）</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元整，本合同为固定</w:t>
      </w:r>
      <w:r>
        <w:rPr>
          <w:rFonts w:hint="eastAsia" w:ascii="方正仿宋_GBK" w:hAnsi="方正仿宋_GBK" w:eastAsia="方正仿宋_GBK" w:cs="方正仿宋_GBK"/>
          <w:sz w:val="28"/>
          <w:szCs w:val="28"/>
          <w:highlight w:val="none"/>
          <w:lang w:val="en-US" w:eastAsia="zh-CN"/>
        </w:rPr>
        <w:t>总价</w:t>
      </w:r>
      <w:r>
        <w:rPr>
          <w:rFonts w:hint="eastAsia" w:ascii="方正仿宋_GBK" w:hAnsi="方正仿宋_GBK" w:eastAsia="方正仿宋_GBK" w:cs="方正仿宋_GBK"/>
          <w:sz w:val="28"/>
          <w:szCs w:val="28"/>
          <w:highlight w:val="none"/>
        </w:rPr>
        <w:t>合同，金额包含包装费、运费、税金、保险费等， 供需双方不能因市场价格变</w:t>
      </w:r>
      <w:r>
        <w:rPr>
          <w:rFonts w:hint="eastAsia" w:ascii="方正仿宋_GBK" w:hAnsi="方正仿宋_GBK" w:eastAsia="方正仿宋_GBK" w:cs="方正仿宋_GBK"/>
          <w:sz w:val="28"/>
          <w:szCs w:val="28"/>
        </w:rPr>
        <w:t>化而调整合同价。</w:t>
      </w:r>
    </w:p>
    <w:p w14:paraId="0CE35C6C">
      <w:pPr>
        <w:pStyle w:val="34"/>
        <w:keepNext w:val="0"/>
        <w:keepLines w:val="0"/>
        <w:pageBreakBefore w:val="0"/>
        <w:numPr>
          <w:ilvl w:val="0"/>
          <w:numId w:val="4"/>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付款方式</w:t>
      </w:r>
    </w:p>
    <w:p w14:paraId="4D8B9D9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项目完成且经由采购人验收合格后，供货方提供经双方确认的送货清单及增值税专用发票，采购人自收到准确清单和发票后，于次二月完成货款支付。供货方需提供二年质保，其履约保证金（合同价的5%）到时自动转为质保金，于质保期到期后支付，质保期从验收合格之日起计算。</w:t>
      </w:r>
    </w:p>
    <w:p w14:paraId="1DAED00E">
      <w:pPr>
        <w:pStyle w:val="34"/>
        <w:keepNext w:val="0"/>
        <w:keepLines w:val="0"/>
        <w:pageBreakBefore w:val="0"/>
        <w:numPr>
          <w:ilvl w:val="0"/>
          <w:numId w:val="4"/>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验收标准</w:t>
      </w:r>
    </w:p>
    <w:p w14:paraId="66971CD6">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供方应提供相应的送货单，采购方</w:t>
      </w: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相关</w:t>
      </w:r>
      <w:r>
        <w:rPr>
          <w:rFonts w:hint="eastAsia" w:ascii="方正仿宋_GBK" w:hAnsi="方正仿宋_GBK" w:eastAsia="方正仿宋_GBK" w:cs="方正仿宋_GBK"/>
          <w:sz w:val="28"/>
          <w:szCs w:val="28"/>
        </w:rPr>
        <w:t>技术协议</w:t>
      </w:r>
      <w:r>
        <w:rPr>
          <w:rFonts w:hint="eastAsia" w:ascii="方正仿宋_GBK" w:hAnsi="方正仿宋_GBK" w:eastAsia="方正仿宋_GBK" w:cs="方正仿宋_GBK"/>
          <w:sz w:val="28"/>
          <w:szCs w:val="28"/>
          <w:lang w:eastAsia="zh-CN"/>
        </w:rPr>
        <w:t>、行业规范或</w:t>
      </w:r>
      <w:r>
        <w:rPr>
          <w:rFonts w:hint="eastAsia" w:ascii="方正仿宋_GBK" w:hAnsi="方正仿宋_GBK" w:eastAsia="方正仿宋_GBK" w:cs="方正仿宋_GBK"/>
          <w:sz w:val="28"/>
          <w:szCs w:val="28"/>
        </w:rPr>
        <w:t>国家标准</w:t>
      </w:r>
      <w:r>
        <w:rPr>
          <w:rFonts w:hint="eastAsia" w:ascii="方正仿宋_GBK" w:hAnsi="方正仿宋_GBK" w:eastAsia="方正仿宋_GBK" w:cs="方正仿宋_GBK"/>
          <w:sz w:val="28"/>
          <w:szCs w:val="28"/>
          <w:lang w:eastAsia="zh-CN"/>
        </w:rPr>
        <w:t>进行</w:t>
      </w:r>
      <w:r>
        <w:rPr>
          <w:rFonts w:hint="eastAsia" w:ascii="方正仿宋_GBK" w:hAnsi="方正仿宋_GBK" w:eastAsia="方正仿宋_GBK" w:cs="方正仿宋_GBK"/>
          <w:sz w:val="28"/>
          <w:szCs w:val="28"/>
        </w:rPr>
        <w:t>验收，</w:t>
      </w:r>
      <w:r>
        <w:rPr>
          <w:rFonts w:hint="eastAsia" w:ascii="方正仿宋_GBK" w:hAnsi="方正仿宋_GBK" w:eastAsia="方正仿宋_GBK" w:cs="方正仿宋_GBK"/>
          <w:sz w:val="28"/>
          <w:szCs w:val="28"/>
          <w:lang w:eastAsia="zh-CN"/>
        </w:rPr>
        <w:t>验收标准以严格者为基准，规格、质量等应符合相关质量标准。</w:t>
      </w:r>
      <w:r>
        <w:rPr>
          <w:rFonts w:hint="eastAsia" w:ascii="方正仿宋_GBK" w:hAnsi="方正仿宋_GBK" w:eastAsia="方正仿宋_GBK" w:cs="方正仿宋_GBK"/>
          <w:sz w:val="28"/>
          <w:szCs w:val="28"/>
        </w:rPr>
        <w:t xml:space="preserve">到厂验收，只能视为初步验收，即可合同要求予以接收，并不能视为供方对其产品在质保期内损坏所应负责任解除的凭据。  </w:t>
      </w:r>
    </w:p>
    <w:p w14:paraId="16639EA4">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若发现质量不合格者，采购方有权拒收，并视为材料并未到场。供方应无条件将不合格货品运出现场，由此产生的相关费用及给采购方造成的一切损失由供货方承担。</w:t>
      </w:r>
      <w:r>
        <w:rPr>
          <w:rFonts w:hint="eastAsia" w:ascii="方正仿宋_GBK" w:hAnsi="方正仿宋_GBK" w:eastAsia="方正仿宋_GBK" w:cs="方正仿宋_GBK"/>
          <w:sz w:val="28"/>
          <w:szCs w:val="28"/>
        </w:rPr>
        <w:t xml:space="preserve"> </w:t>
      </w:r>
      <w:r>
        <w:rPr>
          <w:rFonts w:hint="eastAsia"/>
        </w:rPr>
        <w:t xml:space="preserve">                                                                                                                                 </w:t>
      </w:r>
    </w:p>
    <w:p w14:paraId="4DF38F36">
      <w:pPr>
        <w:pStyle w:val="34"/>
        <w:keepNext w:val="0"/>
        <w:keepLines w:val="0"/>
        <w:pageBreakBefore w:val="0"/>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rPr>
      </w:pPr>
      <w:r>
        <w:rPr>
          <w:rFonts w:hint="eastAsia" w:ascii="黑体" w:hAnsi="黑体" w:eastAsia="黑体" w:cs="黑体"/>
          <w:kern w:val="2"/>
          <w:sz w:val="28"/>
          <w:szCs w:val="28"/>
          <w:lang w:val="en-US" w:eastAsia="zh-CN" w:bidi="ar-SA"/>
        </w:rPr>
        <w:t>第七条 包装标准、包装物的供应与回收</w:t>
      </w:r>
    </w:p>
    <w:p w14:paraId="799C063F">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lang w:val="en-US" w:eastAsia="zh-CN"/>
        </w:rPr>
        <w:t>供方所交付的货品必须包装完整，并采取防潮、防湿、防震、防锈、防腐蚀等措施，以保证在长途运输中经受多次搬运和装卸后，货物完好无损，安全到达目的地。由于采用不充分或不妥善的防护措施造成货物的任</w:t>
      </w:r>
      <w:r>
        <w:rPr>
          <w:rFonts w:hint="eastAsia" w:ascii="方正仿宋_GBK" w:hAnsi="方正仿宋_GBK" w:eastAsia="方正仿宋_GBK" w:cs="方正仿宋_GBK"/>
          <w:sz w:val="28"/>
          <w:szCs w:val="28"/>
          <w:highlight w:val="none"/>
          <w:lang w:val="en-US" w:eastAsia="zh-CN"/>
        </w:rPr>
        <w:t>何损坏、腐蚀或变形，供方应承担由此造成的一切损失。</w:t>
      </w:r>
    </w:p>
    <w:p w14:paraId="13561248">
      <w:pPr>
        <w:pStyle w:val="34"/>
        <w:keepNext w:val="0"/>
        <w:keepLines w:val="0"/>
        <w:pageBreakBefore w:val="0"/>
        <w:widowControl/>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第八条 质量保证</w:t>
      </w:r>
    </w:p>
    <w:p w14:paraId="2F49438F">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600" w:firstLineChars="200"/>
        <w:contextualSpacing/>
        <w:jc w:val="both"/>
        <w:textAlignment w:val="auto"/>
      </w:pPr>
      <w:r>
        <w:rPr>
          <w:rFonts w:hint="eastAsia" w:ascii="仿宋" w:hAnsi="仿宋" w:eastAsia="仿宋" w:cs="仿宋"/>
          <w:color w:val="auto"/>
          <w:kern w:val="2"/>
          <w:sz w:val="30"/>
          <w:szCs w:val="30"/>
          <w:highlight w:val="none"/>
          <w:lang w:eastAsia="zh-CN"/>
        </w:rPr>
        <w:t>质保期为</w:t>
      </w:r>
      <w:r>
        <w:rPr>
          <w:rFonts w:hint="eastAsia" w:ascii="仿宋" w:hAnsi="仿宋" w:eastAsia="仿宋" w:cs="仿宋"/>
          <w:color w:val="auto"/>
          <w:kern w:val="2"/>
          <w:sz w:val="30"/>
          <w:szCs w:val="30"/>
          <w:highlight w:val="none"/>
          <w:lang w:val="en-US" w:eastAsia="zh-CN"/>
        </w:rPr>
        <w:t>二</w:t>
      </w:r>
      <w:r>
        <w:rPr>
          <w:rFonts w:hint="eastAsia" w:ascii="仿宋" w:hAnsi="仿宋" w:eastAsia="仿宋" w:cs="仿宋"/>
          <w:color w:val="auto"/>
          <w:kern w:val="2"/>
          <w:sz w:val="30"/>
          <w:szCs w:val="30"/>
          <w:highlight w:val="none"/>
          <w:lang w:eastAsia="zh-CN"/>
        </w:rPr>
        <w:t>年，自验收</w:t>
      </w:r>
      <w:r>
        <w:rPr>
          <w:rFonts w:hint="eastAsia" w:ascii="仿宋" w:hAnsi="仿宋" w:eastAsia="仿宋" w:cs="仿宋"/>
          <w:color w:val="auto"/>
          <w:kern w:val="2"/>
          <w:sz w:val="30"/>
          <w:szCs w:val="30"/>
          <w:highlight w:val="none"/>
          <w:lang w:val="en-US" w:eastAsia="zh-CN"/>
        </w:rPr>
        <w:t>合格</w:t>
      </w:r>
      <w:r>
        <w:rPr>
          <w:rFonts w:hint="eastAsia" w:ascii="仿宋" w:hAnsi="仿宋" w:eastAsia="仿宋" w:cs="仿宋"/>
          <w:color w:val="auto"/>
          <w:kern w:val="2"/>
          <w:sz w:val="30"/>
          <w:szCs w:val="30"/>
          <w:highlight w:val="none"/>
          <w:lang w:eastAsia="zh-CN"/>
        </w:rPr>
        <w:t>之日起计算。</w:t>
      </w:r>
      <w:r>
        <w:rPr>
          <w:rFonts w:hint="eastAsia" w:ascii="方正仿宋_GBK" w:hAnsi="方正仿宋_GBK" w:eastAsia="方正仿宋_GBK" w:cs="方正仿宋_GBK"/>
          <w:sz w:val="28"/>
          <w:szCs w:val="28"/>
          <w:lang w:val="en-US" w:eastAsia="zh-CN"/>
        </w:rPr>
        <w:t>供</w:t>
      </w:r>
      <w:r>
        <w:rPr>
          <w:rFonts w:hint="eastAsia" w:ascii="方正仿宋_GBK" w:hAnsi="方正仿宋_GBK" w:eastAsia="方正仿宋_GBK" w:cs="方正仿宋_GBK"/>
          <w:sz w:val="28"/>
          <w:szCs w:val="28"/>
        </w:rPr>
        <w:t>方保证其供应的本合同标的是全新的，技术水平先进、成熟、质量优良、安全可靠、经济运行和易于维护。本合同下质量标准为国家标准及相关行业标准（不同标准之间如有冲突，比较严格者为准）。在正常使用过程中，如有产品质量问题，供货方需依据国家法律法规进行</w:t>
      </w:r>
      <w:r>
        <w:rPr>
          <w:rFonts w:hint="eastAsia" w:ascii="方正仿宋_GBK" w:hAnsi="方正仿宋_GBK" w:eastAsia="方正仿宋_GBK" w:cs="方正仿宋_GBK"/>
          <w:sz w:val="28"/>
          <w:szCs w:val="28"/>
          <w:lang w:eastAsia="zh-CN"/>
        </w:rPr>
        <w:t>维修</w:t>
      </w:r>
      <w:r>
        <w:rPr>
          <w:rFonts w:hint="eastAsia" w:ascii="方正仿宋_GBK" w:hAnsi="方正仿宋_GBK" w:eastAsia="方正仿宋_GBK" w:cs="方正仿宋_GBK"/>
          <w:sz w:val="28"/>
          <w:szCs w:val="28"/>
        </w:rPr>
        <w:t>或</w:t>
      </w:r>
      <w:r>
        <w:rPr>
          <w:rFonts w:hint="eastAsia" w:ascii="方正仿宋_GBK" w:hAnsi="方正仿宋_GBK" w:eastAsia="方正仿宋_GBK" w:cs="方正仿宋_GBK"/>
          <w:sz w:val="28"/>
          <w:szCs w:val="28"/>
          <w:lang w:eastAsia="zh-CN"/>
        </w:rPr>
        <w:t>更换</w:t>
      </w:r>
      <w:r>
        <w:rPr>
          <w:rFonts w:hint="eastAsia" w:ascii="方正仿宋_GBK" w:hAnsi="方正仿宋_GBK" w:eastAsia="方正仿宋_GBK" w:cs="方正仿宋_GBK"/>
          <w:sz w:val="28"/>
          <w:szCs w:val="28"/>
        </w:rPr>
        <w:t xml:space="preserve">。 </w:t>
      </w:r>
      <w:r>
        <w:rPr>
          <w:rFonts w:hint="eastAsia"/>
        </w:rPr>
        <w:t xml:space="preserve">                                                                                                                                                                                                                                                                                                                               </w:t>
      </w:r>
    </w:p>
    <w:p w14:paraId="7A3F8BD6">
      <w:pPr>
        <w:pStyle w:val="34"/>
        <w:keepNext w:val="0"/>
        <w:keepLines w:val="0"/>
        <w:pageBreakBefore w:val="0"/>
        <w:widowControl/>
        <w:numPr>
          <w:ilvl w:val="0"/>
          <w:numId w:val="5"/>
        </w:numPr>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运输方式及费用负担</w:t>
      </w:r>
    </w:p>
    <w:p w14:paraId="3F9AC7F6">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 xml:space="preserve">汽车运输到指定地点，运输费用由供货方承担。    </w:t>
      </w:r>
      <w:r>
        <w:rPr>
          <w:rFonts w:hint="eastAsia"/>
        </w:rPr>
        <w:t xml:space="preserve">                           </w:t>
      </w:r>
    </w:p>
    <w:p w14:paraId="70F4839B">
      <w:pPr>
        <w:pStyle w:val="34"/>
        <w:keepNext w:val="0"/>
        <w:keepLines w:val="0"/>
        <w:pageBreakBefore w:val="0"/>
        <w:widowControl/>
        <w:numPr>
          <w:ilvl w:val="0"/>
          <w:numId w:val="5"/>
        </w:numPr>
        <w:kinsoku/>
        <w:wordWrap/>
        <w:overflowPunct/>
        <w:topLinePunct w:val="0"/>
        <w:autoSpaceDE/>
        <w:autoSpaceDN/>
        <w:bidi w:val="0"/>
        <w:adjustRightInd w:val="0"/>
        <w:snapToGrid w:val="0"/>
        <w:spacing w:after="0" w:line="579" w:lineRule="exact"/>
        <w:ind w:left="0" w:leftChars="0" w:firstLine="0" w:firstLineChars="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本合同解除的条件</w:t>
      </w:r>
    </w:p>
    <w:p w14:paraId="1E3EAE5C">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采供双方的任何一方由于不可抗力的原因不能履行合同时，应及时向对方通报不能履行或不能完全履行的理由。在取得有关证明后，允许延期履行、部分履行或解除合同。</w:t>
      </w:r>
    </w:p>
    <w:p w14:paraId="38CB6205">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本合同在双方责任、义务履行完毕后终止。</w:t>
      </w:r>
      <w:r>
        <w:rPr>
          <w:rFonts w:hint="eastAsia"/>
        </w:rPr>
        <w:t xml:space="preserve">                                                                                                                                            </w:t>
      </w:r>
    </w:p>
    <w:p w14:paraId="3545C75B">
      <w:pPr>
        <w:pStyle w:val="34"/>
        <w:keepNext w:val="0"/>
        <w:keepLines w:val="0"/>
        <w:pageBreakBefore w:val="0"/>
        <w:widowControl/>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第十一条 违约责任</w:t>
      </w:r>
    </w:p>
    <w:p w14:paraId="40C898B0">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中华人民共和国民法典</w:t>
      </w:r>
      <w:r>
        <w:rPr>
          <w:rFonts w:hint="eastAsia" w:ascii="方正仿宋_GBK" w:hAnsi="方正仿宋_GBK" w:eastAsia="方正仿宋_GBK" w:cs="方正仿宋_GBK"/>
          <w:sz w:val="28"/>
          <w:szCs w:val="28"/>
        </w:rPr>
        <w:t xml:space="preserve">》相关条款 </w:t>
      </w:r>
      <w:r>
        <w:rPr>
          <w:rFonts w:hint="eastAsia"/>
        </w:rPr>
        <w:t xml:space="preserve">                                        </w:t>
      </w:r>
    </w:p>
    <w:p w14:paraId="09B65A2E">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合同争议的解决方式</w:t>
      </w:r>
    </w:p>
    <w:p w14:paraId="32950097">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本合同在履行过程中发生的争议，由双方当事人协商解决；也可由当地工商行政管理部门调解；协商或调解不成的，依法向采购方所在地人民法院起诉。   </w:t>
      </w:r>
    </w:p>
    <w:p w14:paraId="1B4A36BB">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lang w:eastAsia="zh-CN"/>
        </w:rPr>
        <w:t>售后要求</w:t>
      </w:r>
    </w:p>
    <w:p w14:paraId="48E8F7A9">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必须满足采购人售后服务要求。如产品使用过程发生问题，</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须在接到</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通知后24小时内做出书面答复并提供解决方案。若需要派遣技术人员，则应在接到</w:t>
      </w: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通知后48小时内派人员到达现场进行免费指导解决问题。</w:t>
      </w:r>
    </w:p>
    <w:p w14:paraId="7921C454">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不再对任何售后服务进行付费。</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的派遣人员产生的一切费用由</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承担。</w:t>
      </w:r>
    </w:p>
    <w:p w14:paraId="63AB3E67">
      <w:pPr>
        <w:rPr>
          <w:rFonts w:hint="eastAsia" w:ascii="方正仿宋_GBK" w:hAnsi="方正仿宋_GBK" w:eastAsia="方正仿宋_GBK" w:cs="方正仿宋_GBK"/>
          <w:sz w:val="28"/>
          <w:szCs w:val="28"/>
        </w:rPr>
      </w:pPr>
    </w:p>
    <w:p w14:paraId="244B82E8">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1F2319B9">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042A37D7">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20DEF1E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0B49F991">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581656DF">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7F0AC7A0">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0EAEEF61">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10068645">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59AAD4E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57F15145">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589B62C8">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3AF0CCA7">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4C80DF03">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0EB512B5">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1C402E0E">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29BA5ED4">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b/>
          <w:bCs/>
          <w:sz w:val="28"/>
          <w:szCs w:val="28"/>
          <w:highlight w:val="none"/>
          <w:lang w:val="en-US" w:eastAsia="zh-CN"/>
        </w:rPr>
        <w:t>附件：</w:t>
      </w:r>
    </w:p>
    <w:p w14:paraId="382FE262">
      <w:pPr>
        <w:keepNext w:val="0"/>
        <w:keepLines w:val="0"/>
        <w:pageBreakBefore w:val="0"/>
        <w:widowControl/>
        <w:kinsoku/>
        <w:wordWrap/>
        <w:overflowPunct/>
        <w:topLinePunct w:val="0"/>
        <w:autoSpaceDE/>
        <w:autoSpaceDN/>
        <w:bidi w:val="0"/>
        <w:adjustRightInd w:val="0"/>
        <w:snapToGrid w:val="0"/>
        <w:spacing w:after="0" w:line="579" w:lineRule="atLeast"/>
        <w:jc w:val="center"/>
        <w:textAlignment w:val="auto"/>
        <w:outlineLvl w:val="1"/>
        <w:rPr>
          <w:rFonts w:hint="eastAsia" w:ascii="宋体" w:hAnsi="宋体" w:cs="宋体"/>
          <w:color w:val="auto"/>
          <w:kern w:val="0"/>
          <w:sz w:val="36"/>
          <w:szCs w:val="36"/>
          <w:highlight w:val="none"/>
        </w:rPr>
      </w:pPr>
      <w:r>
        <w:rPr>
          <w:rFonts w:hint="eastAsia" w:ascii="Times New Roman" w:hAnsi="Times New Roman" w:eastAsia="方正小标宋_GBK" w:cs="Times New Roman"/>
          <w:b/>
          <w:sz w:val="36"/>
          <w:szCs w:val="36"/>
          <w:highlight w:val="none"/>
        </w:rPr>
        <w:t>廉政责任书</w:t>
      </w:r>
    </w:p>
    <w:p w14:paraId="73C68E0D">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宋体" w:hAnsi="宋体" w:cs="宋体"/>
          <w:b/>
          <w:color w:val="auto"/>
          <w:kern w:val="0"/>
          <w:sz w:val="24"/>
          <w:highlight w:val="none"/>
        </w:rPr>
      </w:pPr>
    </w:p>
    <w:p w14:paraId="5E612BB8">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项目名称：绍兴市再生能源发展有限公司</w:t>
      </w:r>
      <w:r>
        <w:rPr>
          <w:rFonts w:hint="eastAsia" w:ascii="方正仿宋_GBK" w:hAnsi="方正仿宋_GBK" w:eastAsia="方正仿宋_GBK" w:cs="方正仿宋_GBK"/>
          <w:b/>
          <w:bCs/>
          <w:sz w:val="24"/>
          <w:szCs w:val="24"/>
          <w:highlight w:val="none"/>
          <w:lang w:val="en-US" w:eastAsia="zh-CN"/>
        </w:rPr>
        <w:t>3#焚烧炉落差墙修复项目</w:t>
      </w:r>
    </w:p>
    <w:p w14:paraId="693E9C50">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甲方(全称)：绍兴市再生能源发展有限公司            （以下简称甲方）</w:t>
      </w:r>
    </w:p>
    <w:p w14:paraId="01F79D73">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乙方(全称)：</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（以下简称乙方）</w:t>
      </w:r>
    </w:p>
    <w:p w14:paraId="61D02BBB">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为加强项目实施过程中的廉政建设，规范项目承发包双方的各项活动，防止发生各种谋取不正当利益的违法违纪行为，保护国家、集体和当事人的合法权益，根据国家有关的法律法规和廉政建设责任制规定，特订立本廉政责任书。</w:t>
      </w:r>
    </w:p>
    <w:p w14:paraId="6CC1E85E">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第一条 甲、乙双方的责任</w:t>
      </w:r>
    </w:p>
    <w:p w14:paraId="59411583">
      <w:pPr>
        <w:pStyle w:val="34"/>
        <w:keepNext w:val="0"/>
        <w:keepLines w:val="0"/>
        <w:pageBreakBefore w:val="0"/>
        <w:widowControl/>
        <w:kinsoku/>
        <w:wordWrap/>
        <w:overflowPunct/>
        <w:topLinePunct w:val="0"/>
        <w:autoSpaceDE/>
        <w:autoSpaceDN/>
        <w:bidi w:val="0"/>
        <w:adjustRightInd w:val="0"/>
        <w:snapToGrid w:val="0"/>
        <w:spacing w:line="579" w:lineRule="atLeast"/>
        <w:ind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b w:val="0"/>
          <w:bCs w:val="0"/>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应严格遵守国家关于市场准入、项目招标投和市场活动等有关法律、法规，相关政策，以及廉政建设的各项规定。</w:t>
      </w:r>
    </w:p>
    <w:p w14:paraId="1ABD128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严格执行项目承发包合同文件，自觉按合同办事。</w:t>
      </w:r>
    </w:p>
    <w:p w14:paraId="64F45C9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业务活动必须坚持公开、公平、公正、诚信、透明的原则（除法律法规另有规定者外），不得为获取不正当的利益，损害国家、集体和对方利益，不得违反项目管理、施工安装的规章制度。</w:t>
      </w:r>
    </w:p>
    <w:p w14:paraId="0E650C44">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发现对方在业务活动中有违规、违纪、违法行为的，应及时提醒对方，情节严重的，应向其上级主管部门或纪检监察、司法等有关机关举报。</w:t>
      </w:r>
    </w:p>
    <w:p w14:paraId="565FB1B8">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第二条 甲方的责任</w:t>
      </w:r>
    </w:p>
    <w:p w14:paraId="520F043B">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甲方的领导和从事该项目管理的工作人员，在项目服务的事前、事中、事后应遵守以下规定：</w:t>
      </w:r>
    </w:p>
    <w:p w14:paraId="70F8D7F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不准向乙方和相关单位索要或接受回扣、礼金、有价证券、贵重物品和好处费、感谢费等。</w:t>
      </w:r>
    </w:p>
    <w:p w14:paraId="12F9C992">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不准在乙方和相关单位报销任何应由甲方或个人支付的费用。</w:t>
      </w:r>
    </w:p>
    <w:p w14:paraId="13CF646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不准要求、暗示和接受乙方和相关单位为个人装修住房、婚丧嫁娶、配偶子女的工作安排以及出国（境）、旅游等提供方便。</w:t>
      </w:r>
    </w:p>
    <w:p w14:paraId="46DC9ABC">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不准参加有可能影响公正执行公务的乙方和相关单位的宴请和健身、娱乐等活动。</w:t>
      </w:r>
    </w:p>
    <w:p w14:paraId="67053F6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（五）</w:t>
      </w:r>
      <w:r>
        <w:rPr>
          <w:rFonts w:hint="default" w:ascii="Times New Roman" w:hAnsi="Times New Roman" w:eastAsia="方正仿宋_GBK" w:cs="Times New Roman"/>
          <w:sz w:val="28"/>
          <w:szCs w:val="28"/>
          <w:highlight w:val="none"/>
          <w:lang w:val="en-US" w:eastAsia="zh-CN"/>
        </w:rPr>
        <w:t>不准向乙方介绍或为配偶、子女、亲属参与同甲方项目合同有关的设备、材料、工程分包、劳务等经济活动。不得以任何理由向乙方和相关单位推荐分包单位和要求乙方购买项目合同规定以外的材料、设备等。</w:t>
      </w:r>
    </w:p>
    <w:p w14:paraId="0B6E0AD2">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第三条 乙方的责任</w:t>
      </w:r>
    </w:p>
    <w:p w14:paraId="47CDD43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应与甲方保持正常的业务交往，按照有关法律法规和程序开展业务工作，严格执行项目的有关方针、政策，并遵守以下规定：</w:t>
      </w:r>
    </w:p>
    <w:p w14:paraId="4C7DDB38">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不准以任何理由向甲方、相关单位及其工作人员索要、接受或赠送礼金、有价证券、贵重物品和回扣、好处费、感谢费等。</w:t>
      </w:r>
    </w:p>
    <w:p w14:paraId="2660CA6B">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不准以任何理由为甲方和相关单位报销应由对方或个人支付的费用。</w:t>
      </w:r>
    </w:p>
    <w:p w14:paraId="7C43517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不准接受或暗示为甲方、相关单位或个人装修住房、婚丧嫁娶、配偶子女的工作安排以及出国（境）、旅游等提供方便。</w:t>
      </w:r>
    </w:p>
    <w:p w14:paraId="018BBFDB">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不准以任何理由为甲方、相关单位或个人组织有可能影响公正执行公务的宴请、健身、娱乐等活动。</w:t>
      </w:r>
    </w:p>
    <w:p w14:paraId="73EBDD9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第四条 违约责任</w:t>
      </w:r>
    </w:p>
    <w:p w14:paraId="0B6F3D0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甲方工作人员有违反本责任书第一、二条责任行为的，按照管理权限，依据有关法律法规和规定给予党纪、政纪处分或组织处理；涉嫌犯罪的，移交司法机关追究刑事责任；给乙方单位造成经济损失的，应予以赔偿。</w:t>
      </w:r>
    </w:p>
    <w:p w14:paraId="2E4A2B51">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乙方工作人员有违反本责任书第一、三条责任行为的，按照管理权限，依据有关法律法规和规定给予党纪、政纪处分或组织处理；涉嫌犯罪的，移交司法机关追究刑事责任；给甲方单位造成经济损失的，应予以赔偿；廉政建设风险抵押金不予返还。</w:t>
      </w:r>
    </w:p>
    <w:p w14:paraId="19A67112">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第五条</w:t>
      </w:r>
      <w:r>
        <w:rPr>
          <w:rFonts w:hint="default" w:ascii="Times New Roman" w:hAnsi="Times New Roman" w:eastAsia="方正仿宋_GBK" w:cs="Times New Roman"/>
          <w:sz w:val="28"/>
          <w:szCs w:val="28"/>
          <w:highlight w:val="none"/>
          <w:lang w:val="en-US" w:eastAsia="zh-CN"/>
        </w:rPr>
        <w:t xml:space="preserve">  本责任书作为服务合同的附件，与服务合同具有同等法律效力。经双方签署后立即生效。</w:t>
      </w:r>
    </w:p>
    <w:p w14:paraId="028B33C1">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第六条  </w:t>
      </w:r>
      <w:r>
        <w:rPr>
          <w:rFonts w:hint="default" w:ascii="Times New Roman" w:hAnsi="Times New Roman" w:eastAsia="方正仿宋_GBK" w:cs="Times New Roman"/>
          <w:sz w:val="28"/>
          <w:szCs w:val="28"/>
          <w:highlight w:val="none"/>
          <w:lang w:val="en-US" w:eastAsia="zh-CN"/>
        </w:rPr>
        <w:t>本责任书的有效期为双方签署之日起至该服务项目质保期结束时止。</w:t>
      </w:r>
    </w:p>
    <w:p w14:paraId="00743A36">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第七条  </w:t>
      </w:r>
      <w:r>
        <w:rPr>
          <w:rFonts w:hint="default" w:ascii="Times New Roman" w:hAnsi="Times New Roman" w:eastAsia="方正仿宋_GBK" w:cs="Times New Roman"/>
          <w:sz w:val="28"/>
          <w:szCs w:val="28"/>
          <w:highlight w:val="none"/>
          <w:lang w:val="en-US" w:eastAsia="zh-CN"/>
        </w:rPr>
        <w:t>本责任书一式陆份，</w:t>
      </w:r>
      <w:r>
        <w:rPr>
          <w:rFonts w:hint="eastAsia" w:ascii="Times New Roman" w:hAnsi="Times New Roman" w:eastAsia="方正仿宋_GBK" w:cs="Times New Roman"/>
          <w:sz w:val="28"/>
          <w:szCs w:val="28"/>
          <w:highlight w:val="none"/>
          <w:lang w:val="en-US" w:eastAsia="zh-CN"/>
        </w:rPr>
        <w:t>甲方</w:t>
      </w:r>
      <w:r>
        <w:rPr>
          <w:rFonts w:hint="default" w:ascii="Times New Roman" w:hAnsi="Times New Roman" w:eastAsia="方正仿宋_GBK" w:cs="Times New Roman"/>
          <w:sz w:val="28"/>
          <w:szCs w:val="28"/>
          <w:highlight w:val="none"/>
          <w:lang w:eastAsia="zh-CN"/>
        </w:rPr>
        <w:t>五份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乙方</w:t>
      </w:r>
      <w:r>
        <w:rPr>
          <w:rFonts w:hint="default" w:ascii="Times New Roman" w:hAnsi="Times New Roman" w:eastAsia="方正仿宋_GBK" w:cs="Times New Roman"/>
          <w:sz w:val="28"/>
          <w:szCs w:val="28"/>
          <w:highlight w:val="none"/>
          <w:lang w:eastAsia="zh-CN"/>
        </w:rPr>
        <w:t>一份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作为合同附件后附</w:t>
      </w:r>
      <w:r>
        <w:rPr>
          <w:rFonts w:hint="default" w:ascii="Times New Roman" w:hAnsi="Times New Roman" w:eastAsia="方正仿宋_GBK" w:cs="Times New Roman"/>
          <w:sz w:val="28"/>
          <w:szCs w:val="28"/>
          <w:highlight w:val="none"/>
          <w:lang w:val="en-US" w:eastAsia="zh-CN"/>
        </w:rPr>
        <w:t>。</w:t>
      </w:r>
    </w:p>
    <w:p w14:paraId="2B2BA76A">
      <w:pPr>
        <w:pStyle w:val="36"/>
        <w:keepNext w:val="0"/>
        <w:keepLines w:val="0"/>
        <w:pageBreakBefore w:val="0"/>
        <w:kinsoku/>
        <w:wordWrap/>
        <w:overflowPunct/>
        <w:topLinePunct w:val="0"/>
        <w:bidi w:val="0"/>
        <w:adjustRightInd w:val="0"/>
        <w:spacing w:line="579" w:lineRule="atLeast"/>
        <w:textAlignment w:val="auto"/>
        <w:rPr>
          <w:rFonts w:hint="default" w:ascii="Times New Roman" w:hAnsi="Times New Roman" w:eastAsia="方正仿宋_GBK" w:cs="Times New Roman"/>
          <w:color w:val="auto"/>
          <w:highlight w:val="none"/>
        </w:rPr>
      </w:pPr>
    </w:p>
    <w:p w14:paraId="760E2206">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甲方（盖章）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乙方（盖章）</w:t>
      </w:r>
      <w:r>
        <w:rPr>
          <w:rFonts w:hint="eastAsia" w:ascii="Times New Roman" w:hAnsi="Times New Roman" w:eastAsia="方正仿宋_GBK" w:cs="Times New Roman"/>
          <w:b/>
          <w:bCs/>
          <w:color w:val="auto"/>
          <w:kern w:val="0"/>
          <w:sz w:val="24"/>
          <w:highlight w:val="none"/>
          <w:lang w:val="en-US" w:eastAsia="zh-CN"/>
        </w:rPr>
        <w:t xml:space="preserve"> </w:t>
      </w:r>
    </w:p>
    <w:p w14:paraId="5E0E91D1">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法定代表人（签名或盖章）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法定代表人（签名或盖章）</w:t>
      </w:r>
    </w:p>
    <w:p w14:paraId="4C8A322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或委托代理人（签名）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 xml:space="preserve">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或委托代理人（签名）</w:t>
      </w:r>
    </w:p>
    <w:p w14:paraId="710EEFE7">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eastAsia" w:ascii="Times New Roman" w:hAnsi="Times New Roman" w:eastAsia="方正仿宋_GBK" w:cs="Times New Roman"/>
          <w:b/>
          <w:bCs/>
          <w:color w:val="auto"/>
          <w:kern w:val="0"/>
          <w:sz w:val="24"/>
          <w:highlight w:val="none"/>
          <w:lang w:val="en-US" w:eastAsia="zh-CN"/>
        </w:rPr>
      </w:pPr>
    </w:p>
    <w:p w14:paraId="69D2FEA1">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default" w:ascii="Times New Roman" w:hAnsi="Times New Roman" w:eastAsia="方正仿宋_GBK" w:cs="Times New Roman"/>
          <w:b/>
          <w:bCs/>
          <w:color w:val="auto"/>
          <w:kern w:val="0"/>
          <w:sz w:val="24"/>
          <w:highlight w:val="none"/>
          <w:lang w:val="en-US" w:eastAsia="zh-CN"/>
        </w:rPr>
      </w:pPr>
      <w:r>
        <w:rPr>
          <w:rFonts w:hint="eastAsia" w:ascii="Times New Roman" w:hAnsi="Times New Roman" w:eastAsia="方正仿宋_GBK" w:cs="Times New Roman"/>
          <w:b/>
          <w:bCs/>
          <w:color w:val="auto"/>
          <w:kern w:val="0"/>
          <w:sz w:val="24"/>
          <w:highlight w:val="none"/>
          <w:lang w:val="en-US" w:eastAsia="zh-CN"/>
        </w:rPr>
        <w:t xml:space="preserve">     </w:t>
      </w:r>
    </w:p>
    <w:p w14:paraId="19FF5EEA">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default" w:ascii="Times New Roman" w:hAnsi="Times New Roman" w:eastAsia="方正仿宋_GBK" w:cs="Times New Roman"/>
          <w:b/>
          <w:bCs/>
          <w:color w:val="auto"/>
          <w:kern w:val="0"/>
          <w:sz w:val="24"/>
          <w:highlight w:val="none"/>
        </w:rPr>
      </w:pP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年</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月</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日</w:t>
      </w:r>
    </w:p>
    <w:p w14:paraId="0B664410">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eastAsia" w:ascii="Times New Roman" w:hAnsi="Times New Roman" w:eastAsia="方正仿宋_GBK" w:cs="Times New Roman"/>
          <w:b/>
          <w:bCs/>
          <w:color w:val="auto"/>
          <w:kern w:val="0"/>
          <w:sz w:val="24"/>
          <w:highlight w:val="none"/>
        </w:rPr>
      </w:pPr>
    </w:p>
    <w:p w14:paraId="0FD9B568">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br w:type="page"/>
      </w:r>
    </w:p>
    <w:p w14:paraId="252A3C9B">
      <w:pPr>
        <w:pStyle w:val="2"/>
        <w:numPr>
          <w:ilvl w:val="0"/>
          <w:numId w:val="0"/>
        </w:numPr>
        <w:jc w:val="center"/>
        <w:rPr>
          <w:rFonts w:hint="eastAsia" w:ascii="仿宋" w:hAnsi="仿宋" w:eastAsia="仿宋" w:cs="仿宋"/>
          <w:snapToGrid w:val="0"/>
          <w:sz w:val="44"/>
          <w:szCs w:val="44"/>
        </w:rPr>
      </w:pPr>
      <w:bookmarkStart w:id="16" w:name="_Toc21167"/>
      <w:r>
        <w:rPr>
          <w:rFonts w:hint="eastAsia" w:ascii="仿宋" w:hAnsi="仿宋" w:eastAsia="仿宋" w:cs="仿宋"/>
          <w:snapToGrid w:val="0"/>
          <w:sz w:val="44"/>
          <w:szCs w:val="44"/>
        </w:rPr>
        <w:t>第</w:t>
      </w:r>
      <w:r>
        <w:rPr>
          <w:rFonts w:hint="eastAsia" w:ascii="仿宋" w:hAnsi="仿宋" w:eastAsia="仿宋" w:cs="仿宋"/>
          <w:snapToGrid w:val="0"/>
          <w:sz w:val="44"/>
          <w:szCs w:val="44"/>
          <w:lang w:eastAsia="zh-CN"/>
        </w:rPr>
        <w:t>五</w:t>
      </w:r>
      <w:r>
        <w:rPr>
          <w:rFonts w:hint="eastAsia" w:ascii="仿宋" w:hAnsi="仿宋" w:eastAsia="仿宋" w:cs="仿宋"/>
          <w:snapToGrid w:val="0"/>
          <w:sz w:val="44"/>
          <w:szCs w:val="44"/>
        </w:rPr>
        <w:t>部分    报价文件格式</w:t>
      </w:r>
      <w:bookmarkEnd w:id="14"/>
      <w:bookmarkEnd w:id="16"/>
    </w:p>
    <w:p w14:paraId="723923EC">
      <w:pPr>
        <w:jc w:val="left"/>
        <w:outlineLvl w:val="0"/>
        <w:rPr>
          <w:rStyle w:val="20"/>
          <w:rFonts w:hint="eastAsia" w:ascii="仿宋" w:hAnsi="仿宋" w:eastAsia="仿宋" w:cs="仿宋"/>
          <w:sz w:val="30"/>
        </w:rPr>
      </w:pPr>
      <w:bookmarkStart w:id="17" w:name="_Toc22901"/>
      <w:r>
        <w:rPr>
          <w:rStyle w:val="20"/>
          <w:rFonts w:hint="eastAsia" w:ascii="仿宋" w:hAnsi="仿宋" w:eastAsia="仿宋" w:cs="仿宋"/>
          <w:sz w:val="30"/>
        </w:rPr>
        <w:t>附件一：</w:t>
      </w:r>
      <w:bookmarkEnd w:id="17"/>
    </w:p>
    <w:p w14:paraId="44B3FCF8">
      <w:pPr>
        <w:spacing w:line="480" w:lineRule="auto"/>
        <w:jc w:val="right"/>
        <w:rPr>
          <w:rFonts w:hint="eastAsia" w:ascii="仿宋" w:hAnsi="仿宋" w:eastAsia="仿宋" w:cs="仿宋"/>
          <w:sz w:val="32"/>
        </w:rPr>
      </w:pPr>
    </w:p>
    <w:p w14:paraId="5A458B76">
      <w:pPr>
        <w:rPr>
          <w:rFonts w:hint="eastAsia" w:ascii="仿宋" w:hAnsi="仿宋" w:eastAsia="仿宋" w:cs="仿宋"/>
          <w:sz w:val="44"/>
        </w:rPr>
      </w:pPr>
    </w:p>
    <w:p w14:paraId="6AA8A8AC">
      <w:pPr>
        <w:spacing w:line="360" w:lineRule="auto"/>
        <w:jc w:val="center"/>
        <w:rPr>
          <w:rFonts w:hint="eastAsia" w:ascii="仿宋" w:hAnsi="仿宋" w:eastAsia="仿宋" w:cs="仿宋"/>
          <w:sz w:val="52"/>
          <w:lang w:val="en-US" w:eastAsia="zh-CN"/>
        </w:rPr>
      </w:pPr>
      <w:r>
        <w:rPr>
          <w:rFonts w:hint="eastAsia" w:ascii="仿宋" w:hAnsi="仿宋" w:eastAsia="仿宋" w:cs="仿宋"/>
          <w:sz w:val="52"/>
          <w:lang w:val="en-US" w:eastAsia="zh-CN"/>
        </w:rPr>
        <w:t>绍兴市再生能源发展有限公司</w:t>
      </w:r>
    </w:p>
    <w:p w14:paraId="5321720B">
      <w:pPr>
        <w:spacing w:line="360" w:lineRule="auto"/>
        <w:jc w:val="center"/>
        <w:rPr>
          <w:rFonts w:hint="eastAsia" w:ascii="仿宋" w:hAnsi="仿宋" w:eastAsia="仿宋" w:cs="仿宋"/>
          <w:sz w:val="52"/>
          <w:highlight w:val="none"/>
        </w:rPr>
      </w:pPr>
      <w:r>
        <w:rPr>
          <w:rFonts w:hint="eastAsia" w:ascii="仿宋" w:hAnsi="仿宋" w:eastAsia="仿宋" w:cs="仿宋"/>
          <w:sz w:val="52"/>
          <w:highlight w:val="none"/>
          <w:lang w:val="en-US" w:eastAsia="zh-CN"/>
        </w:rPr>
        <w:t>3#焚烧炉落差墙修复</w:t>
      </w:r>
      <w:r>
        <w:rPr>
          <w:rFonts w:hint="eastAsia" w:ascii="仿宋" w:hAnsi="仿宋" w:eastAsia="仿宋" w:cs="仿宋"/>
          <w:sz w:val="52"/>
          <w:highlight w:val="none"/>
        </w:rPr>
        <w:t>项目</w:t>
      </w:r>
    </w:p>
    <w:p w14:paraId="2B6E6A10">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SX-GC-XF-2601006</w:t>
      </w:r>
    </w:p>
    <w:p w14:paraId="20BB9CDA">
      <w:pPr>
        <w:rPr>
          <w:rFonts w:hint="eastAsia" w:ascii="仿宋" w:hAnsi="仿宋" w:eastAsia="仿宋" w:cs="仿宋"/>
          <w:sz w:val="44"/>
        </w:rPr>
      </w:pPr>
    </w:p>
    <w:p w14:paraId="64ABEBE3">
      <w:pPr>
        <w:rPr>
          <w:rFonts w:hint="eastAsia" w:ascii="仿宋" w:hAnsi="仿宋" w:eastAsia="仿宋" w:cs="仿宋"/>
          <w:sz w:val="44"/>
        </w:rPr>
      </w:pPr>
    </w:p>
    <w:p w14:paraId="2F435A45">
      <w:pPr>
        <w:rPr>
          <w:rFonts w:hint="eastAsia" w:ascii="仿宋" w:hAnsi="仿宋" w:eastAsia="仿宋" w:cs="仿宋"/>
          <w:sz w:val="84"/>
        </w:rPr>
      </w:pPr>
    </w:p>
    <w:p w14:paraId="2850AA73">
      <w:pPr>
        <w:jc w:val="center"/>
        <w:rPr>
          <w:rFonts w:hint="eastAsia" w:ascii="仿宋" w:hAnsi="仿宋" w:eastAsia="仿宋" w:cs="仿宋"/>
          <w:sz w:val="84"/>
        </w:rPr>
      </w:pPr>
      <w:r>
        <w:rPr>
          <w:rFonts w:hint="eastAsia" w:ascii="仿宋" w:hAnsi="仿宋" w:eastAsia="仿宋" w:cs="仿宋"/>
          <w:sz w:val="84"/>
        </w:rPr>
        <w:t>报价文件</w:t>
      </w:r>
    </w:p>
    <w:p w14:paraId="6DF3BC7A">
      <w:pPr>
        <w:jc w:val="center"/>
        <w:rPr>
          <w:rFonts w:hint="eastAsia" w:ascii="仿宋" w:hAnsi="仿宋" w:eastAsia="仿宋" w:cs="仿宋"/>
          <w:sz w:val="24"/>
        </w:rPr>
      </w:pPr>
    </w:p>
    <w:p w14:paraId="1ADE4FA0">
      <w:pPr>
        <w:jc w:val="center"/>
        <w:rPr>
          <w:rFonts w:hint="eastAsia" w:ascii="仿宋" w:hAnsi="仿宋" w:eastAsia="仿宋" w:cs="仿宋"/>
          <w:sz w:val="24"/>
        </w:rPr>
      </w:pPr>
    </w:p>
    <w:p w14:paraId="1AC6B8C1">
      <w:pPr>
        <w:spacing w:line="480" w:lineRule="auto"/>
        <w:jc w:val="center"/>
        <w:rPr>
          <w:rFonts w:hint="eastAsia" w:ascii="仿宋" w:hAnsi="仿宋" w:eastAsia="仿宋" w:cs="仿宋"/>
          <w:sz w:val="24"/>
        </w:rPr>
      </w:pPr>
    </w:p>
    <w:p w14:paraId="0865F8D5">
      <w:pPr>
        <w:spacing w:line="480" w:lineRule="auto"/>
        <w:jc w:val="center"/>
        <w:rPr>
          <w:rFonts w:hint="eastAsia" w:ascii="仿宋" w:hAnsi="仿宋" w:eastAsia="仿宋" w:cs="仿宋"/>
          <w:sz w:val="24"/>
        </w:rPr>
      </w:pPr>
    </w:p>
    <w:p w14:paraId="43346E03">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14:paraId="4BED6922">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w:t>
      </w:r>
      <w:r>
        <w:rPr>
          <w:rFonts w:hint="eastAsia" w:ascii="仿宋" w:hAnsi="仿宋" w:eastAsia="仿宋" w:cs="仿宋"/>
          <w:sz w:val="36"/>
          <w:lang w:val="en-US" w:eastAsia="zh-CN"/>
        </w:rPr>
        <w:t>6</w:t>
      </w:r>
      <w:r>
        <w:rPr>
          <w:rFonts w:hint="default" w:ascii="仿宋" w:hAnsi="仿宋" w:eastAsia="仿宋" w:cs="仿宋"/>
          <w:sz w:val="36"/>
          <w:lang w:val="en-US"/>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14:paraId="26E8C4F0">
      <w:pPr>
        <w:adjustRightInd w:val="0"/>
        <w:snapToGrid w:val="0"/>
        <w:spacing w:line="360" w:lineRule="auto"/>
        <w:ind w:right="480"/>
        <w:jc w:val="left"/>
        <w:rPr>
          <w:rFonts w:hint="eastAsia" w:ascii="仿宋" w:hAnsi="仿宋" w:eastAsia="仿宋" w:cs="仿宋"/>
          <w:sz w:val="30"/>
        </w:rPr>
      </w:pPr>
      <w:r>
        <w:rPr>
          <w:rStyle w:val="20"/>
          <w:rFonts w:hint="eastAsia" w:ascii="仿宋" w:hAnsi="仿宋" w:eastAsia="仿宋" w:cs="仿宋"/>
          <w:sz w:val="30"/>
        </w:rPr>
        <w:br w:type="page"/>
      </w:r>
    </w:p>
    <w:p w14:paraId="1AE1A664">
      <w:pPr>
        <w:adjustRightInd w:val="0"/>
        <w:snapToGrid w:val="0"/>
        <w:spacing w:line="360" w:lineRule="auto"/>
        <w:ind w:right="480"/>
        <w:jc w:val="left"/>
        <w:rPr>
          <w:rStyle w:val="20"/>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14:paraId="3F7B11BD">
      <w:pPr>
        <w:jc w:val="left"/>
        <w:outlineLvl w:val="0"/>
        <w:rPr>
          <w:rStyle w:val="20"/>
          <w:rFonts w:hint="eastAsia" w:ascii="仿宋" w:hAnsi="仿宋" w:eastAsia="仿宋" w:cs="仿宋"/>
          <w:sz w:val="30"/>
        </w:rPr>
      </w:pPr>
      <w:bookmarkStart w:id="18" w:name="_Toc20355"/>
      <w:r>
        <w:rPr>
          <w:rStyle w:val="20"/>
          <w:rFonts w:hint="eastAsia" w:ascii="仿宋" w:hAnsi="仿宋" w:eastAsia="仿宋" w:cs="仿宋"/>
          <w:sz w:val="30"/>
        </w:rPr>
        <w:t>附件二</w:t>
      </w:r>
      <w:bookmarkEnd w:id="18"/>
      <w:r>
        <w:rPr>
          <w:rStyle w:val="20"/>
          <w:rFonts w:hint="eastAsia" w:ascii="仿宋" w:hAnsi="仿宋" w:eastAsia="仿宋" w:cs="仿宋"/>
          <w:sz w:val="30"/>
        </w:rPr>
        <w:t xml:space="preserve">  </w:t>
      </w:r>
    </w:p>
    <w:p w14:paraId="03F68513">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14:paraId="560CF645">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2B1E0C0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3#焚烧炉落差墙修复 </w:t>
      </w:r>
      <w:r>
        <w:rPr>
          <w:rFonts w:hint="eastAsia" w:ascii="仿宋" w:hAnsi="仿宋" w:eastAsia="仿宋" w:cs="仿宋"/>
          <w:sz w:val="30"/>
          <w:szCs w:val="30"/>
          <w:u w:val="none"/>
          <w:lang w:val="en-US" w:eastAsia="zh-CN"/>
        </w:rPr>
        <w:t>项目。</w:t>
      </w:r>
    </w:p>
    <w:tbl>
      <w:tblPr>
        <w:tblStyle w:val="13"/>
        <w:tblW w:w="5669" w:type="pct"/>
        <w:jc w:val="center"/>
        <w:tblLayout w:type="fixed"/>
        <w:tblCellMar>
          <w:top w:w="0" w:type="dxa"/>
          <w:left w:w="108" w:type="dxa"/>
          <w:bottom w:w="0" w:type="dxa"/>
          <w:right w:w="108" w:type="dxa"/>
        </w:tblCellMar>
      </w:tblPr>
      <w:tblGrid>
        <w:gridCol w:w="399"/>
        <w:gridCol w:w="1230"/>
        <w:gridCol w:w="2220"/>
        <w:gridCol w:w="4995"/>
        <w:gridCol w:w="1687"/>
      </w:tblGrid>
      <w:tr w14:paraId="602218C1">
        <w:tblPrEx>
          <w:tblCellMar>
            <w:top w:w="0" w:type="dxa"/>
            <w:left w:w="108" w:type="dxa"/>
            <w:bottom w:w="0" w:type="dxa"/>
            <w:right w:w="108" w:type="dxa"/>
          </w:tblCellMar>
        </w:tblPrEx>
        <w:trPr>
          <w:trHeight w:val="467" w:hRule="atLeast"/>
          <w:jc w:val="center"/>
        </w:trPr>
        <w:tc>
          <w:tcPr>
            <w:tcW w:w="399" w:type="dxa"/>
            <w:tcBorders>
              <w:top w:val="single" w:color="000000" w:sz="4" w:space="0"/>
              <w:left w:val="single" w:color="000000" w:sz="4" w:space="0"/>
              <w:bottom w:val="single" w:color="000000" w:sz="4" w:space="0"/>
              <w:right w:val="single" w:color="000000" w:sz="4" w:space="0"/>
            </w:tcBorders>
            <w:noWrap/>
            <w:vAlign w:val="center"/>
          </w:tcPr>
          <w:p w14:paraId="5A43DC3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7B5916B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项目名称</w:t>
            </w:r>
          </w:p>
        </w:tc>
        <w:tc>
          <w:tcPr>
            <w:tcW w:w="2220" w:type="dxa"/>
            <w:tcBorders>
              <w:top w:val="single" w:color="000000" w:sz="4" w:space="0"/>
              <w:left w:val="single" w:color="000000" w:sz="4" w:space="0"/>
              <w:bottom w:val="single" w:color="000000" w:sz="4" w:space="0"/>
              <w:right w:val="single" w:color="000000" w:sz="4" w:space="0"/>
            </w:tcBorders>
            <w:noWrap/>
            <w:vAlign w:val="center"/>
          </w:tcPr>
          <w:p w14:paraId="5C71F303">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内容</w:t>
            </w:r>
          </w:p>
        </w:tc>
        <w:tc>
          <w:tcPr>
            <w:tcW w:w="4995" w:type="dxa"/>
            <w:tcBorders>
              <w:top w:val="single" w:color="000000" w:sz="4" w:space="0"/>
              <w:left w:val="single" w:color="000000" w:sz="4" w:space="0"/>
              <w:bottom w:val="single" w:color="000000" w:sz="4" w:space="0"/>
              <w:right w:val="single" w:color="000000" w:sz="4" w:space="0"/>
            </w:tcBorders>
            <w:noWrap/>
            <w:vAlign w:val="center"/>
          </w:tcPr>
          <w:p w14:paraId="082012C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技术要求</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678C38C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备注</w:t>
            </w:r>
          </w:p>
        </w:tc>
      </w:tr>
      <w:tr w14:paraId="1C95F460">
        <w:tblPrEx>
          <w:tblCellMar>
            <w:top w:w="0" w:type="dxa"/>
            <w:left w:w="108" w:type="dxa"/>
            <w:bottom w:w="0" w:type="dxa"/>
            <w:right w:w="108" w:type="dxa"/>
          </w:tblCellMar>
        </w:tblPrEx>
        <w:trPr>
          <w:trHeight w:val="532" w:hRule="atLeast"/>
          <w:jc w:val="center"/>
        </w:trPr>
        <w:tc>
          <w:tcPr>
            <w:tcW w:w="399" w:type="dxa"/>
            <w:tcBorders>
              <w:top w:val="single" w:color="000000" w:sz="4" w:space="0"/>
              <w:left w:val="single" w:color="000000" w:sz="4" w:space="0"/>
              <w:bottom w:val="single" w:color="000000" w:sz="4" w:space="0"/>
              <w:right w:val="single" w:color="000000" w:sz="4" w:space="0"/>
            </w:tcBorders>
            <w:noWrap/>
            <w:vAlign w:val="center"/>
          </w:tcPr>
          <w:p w14:paraId="4F4DFBD0">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0A19B38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仿宋" w:hAnsi="仿宋" w:eastAsia="仿宋" w:cs="仿宋"/>
                <w:i w:val="0"/>
                <w:iCs w:val="0"/>
                <w:color w:val="000000"/>
                <w:sz w:val="24"/>
                <w:szCs w:val="24"/>
                <w:highlight w:val="none"/>
                <w:u w:val="none"/>
                <w:lang w:eastAsia="zh-CN"/>
              </w:rPr>
              <w:t>3#焚烧炉落差墙修复</w:t>
            </w:r>
          </w:p>
        </w:tc>
        <w:tc>
          <w:tcPr>
            <w:tcW w:w="2220" w:type="dxa"/>
            <w:tcBorders>
              <w:top w:val="single" w:color="000000" w:sz="4" w:space="0"/>
              <w:left w:val="single" w:color="000000" w:sz="4" w:space="0"/>
              <w:bottom w:val="single" w:color="000000" w:sz="4" w:space="0"/>
              <w:right w:val="single" w:color="000000" w:sz="4" w:space="0"/>
            </w:tcBorders>
            <w:noWrap w:val="0"/>
            <w:vAlign w:val="center"/>
          </w:tcPr>
          <w:p w14:paraId="33925A06">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default" w:ascii="仿宋" w:hAnsi="仿宋" w:eastAsia="仿宋" w:cs="仿宋"/>
                <w:i w:val="0"/>
                <w:iCs w:val="0"/>
                <w:color w:val="000000"/>
                <w:sz w:val="24"/>
                <w:szCs w:val="24"/>
                <w:highlight w:val="none"/>
                <w:u w:val="none"/>
                <w:lang w:val="en-US" w:eastAsia="zh-CN"/>
              </w:rPr>
              <w:t>拆除原落差墙浇注料，重新进行浇筑，焚烧炉落差墙长度13.8米，高度1米，修复面积约13.8平方米，修复方法按图施工（见图纸附件）</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326FEC1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1、材料性能必须满足设计要求（材料要求见图纸附件）；</w:t>
            </w:r>
          </w:p>
          <w:p w14:paraId="3F318E3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2、施工时，耐火层材料中添加纤维防爆剂；</w:t>
            </w:r>
          </w:p>
          <w:p w14:paraId="1EA265B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3、金属件焊接安装时，使用A302焊条，堆焊厚度不低于4mm，且满焊；</w:t>
            </w:r>
          </w:p>
          <w:p w14:paraId="74DF283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4、隔热层硅酸铝硬板铺设时接缝需错层覆盖；</w:t>
            </w:r>
          </w:p>
          <w:p w14:paraId="26D398D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5、耐火层浇注时，模板支撑牢固，避免爆模，耐火层浇注时应振捣密实；</w:t>
            </w:r>
          </w:p>
          <w:p w14:paraId="7796EAB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6、耐火层浇注时，Y型抓钉埋入耐火层部分需涂刷不低于1.5mm厚沥青漆；</w:t>
            </w:r>
          </w:p>
          <w:p w14:paraId="0CCDBDF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7、浇注时，横向应按1200mm间距留设5mm宽膨胀缝，缝深70mm；</w:t>
            </w:r>
          </w:p>
          <w:p w14:paraId="50D8D57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8、耐火隔热层布置为，隔热层厚100mm，耐火层厚140mm；</w:t>
            </w:r>
          </w:p>
          <w:p w14:paraId="08E1F0C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9、施工时间待甲方通知，施工周期3天；</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14:paraId="64BF4C4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包工包料，材料要求见图纸附件</w:t>
            </w:r>
          </w:p>
        </w:tc>
      </w:tr>
    </w:tbl>
    <w:p w14:paraId="6AC830F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p>
    <w:p w14:paraId="5D4B9DA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报价如下：（</w:t>
      </w:r>
      <w:r>
        <w:rPr>
          <w:rFonts w:hint="eastAsia" w:ascii="仿宋" w:hAnsi="仿宋" w:eastAsia="仿宋" w:cs="仿宋"/>
          <w:sz w:val="30"/>
          <w:szCs w:val="30"/>
          <w:lang w:eastAsia="zh-CN"/>
        </w:rPr>
        <w:t>总金额</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元，税率为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w:t>
      </w:r>
    </w:p>
    <w:p w14:paraId="269AEBA3">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sz w:val="30"/>
          <w:szCs w:val="30"/>
          <w:lang w:val="en-US" w:eastAsia="zh-CN"/>
        </w:rPr>
      </w:pPr>
      <w:r>
        <w:rPr>
          <w:rFonts w:hint="eastAsia" w:ascii="仿宋" w:hAnsi="仿宋" w:eastAsia="仿宋" w:cs="仿宋"/>
          <w:sz w:val="30"/>
          <w:szCs w:val="30"/>
          <w:lang w:eastAsia="zh-CN"/>
        </w:rPr>
        <w:t>付款方式：</w:t>
      </w:r>
      <w:r>
        <w:rPr>
          <w:rFonts w:hint="eastAsia" w:ascii="仿宋" w:hAnsi="仿宋" w:eastAsia="仿宋" w:cs="仿宋"/>
          <w:sz w:val="30"/>
          <w:szCs w:val="30"/>
          <w:lang w:val="en-US" w:eastAsia="zh-CN"/>
        </w:rPr>
        <w:t>项目完成且经由采购人验收合格后，供货方提供经双方确认的送货清单及增值税专用发票，采购人自收到准确清单和发票后，于次二月完成货款支付。供货方需提供二年质保，其履约保证金（合同价的5%）到时自动转为质保金，于质保期到期后支付，质保期从验收合格之日起计算。</w:t>
      </w:r>
    </w:p>
    <w:p w14:paraId="7C5BCAA7">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_GB2312" w:eastAsia="仿宋_GB2312"/>
          <w:color w:val="auto"/>
          <w:kern w:val="2"/>
          <w:sz w:val="30"/>
          <w:szCs w:val="30"/>
          <w:highlight w:val="none"/>
          <w:lang w:eastAsia="zh-CN"/>
        </w:rPr>
        <w:t>【禁止擅自修改付款条件，未满足该条件则视为无效投标】</w:t>
      </w:r>
    </w:p>
    <w:p w14:paraId="47142B7E">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相关要求：</w:t>
      </w:r>
    </w:p>
    <w:p w14:paraId="67CC8822">
      <w:pPr>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rPr>
        <w:t>本项</w:t>
      </w:r>
      <w:r>
        <w:rPr>
          <w:rFonts w:hint="eastAsia" w:ascii="仿宋" w:hAnsi="仿宋" w:eastAsia="仿宋" w:cs="仿宋"/>
          <w:sz w:val="30"/>
          <w:szCs w:val="30"/>
          <w:lang w:eastAsia="zh-CN"/>
        </w:rPr>
        <w:t>目采购总金额限价人民币8.64</w:t>
      </w:r>
      <w:r>
        <w:rPr>
          <w:rFonts w:hint="eastAsia" w:ascii="仿宋" w:hAnsi="仿宋" w:eastAsia="仿宋" w:cs="仿宋"/>
          <w:sz w:val="30"/>
          <w:szCs w:val="30"/>
          <w:lang w:val="en-US" w:eastAsia="zh-CN"/>
        </w:rPr>
        <w:t>万</w:t>
      </w:r>
      <w:r>
        <w:rPr>
          <w:rFonts w:hint="eastAsia" w:ascii="仿宋" w:hAnsi="仿宋" w:eastAsia="仿宋" w:cs="仿宋"/>
          <w:sz w:val="30"/>
          <w:szCs w:val="30"/>
        </w:rPr>
        <w:t>元</w:t>
      </w:r>
      <w:r>
        <w:rPr>
          <w:rFonts w:hint="eastAsia" w:ascii="仿宋" w:hAnsi="仿宋" w:eastAsia="仿宋" w:cs="仿宋"/>
          <w:sz w:val="30"/>
          <w:szCs w:val="30"/>
          <w:lang w:eastAsia="zh-CN"/>
        </w:rPr>
        <w:t>。</w:t>
      </w:r>
    </w:p>
    <w:p w14:paraId="3EA2627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sz w:val="30"/>
          <w:szCs w:val="30"/>
          <w:highlight w:val="none"/>
          <w:lang w:val="en-US" w:eastAsia="zh-CN"/>
        </w:rPr>
        <w:t>2、</w:t>
      </w:r>
      <w:r>
        <w:rPr>
          <w:rFonts w:hint="eastAsia" w:ascii="仿宋" w:hAnsi="仿宋" w:eastAsia="仿宋" w:cs="仿宋"/>
          <w:color w:val="auto"/>
          <w:sz w:val="30"/>
          <w:szCs w:val="30"/>
          <w:highlight w:val="none"/>
          <w:lang w:val="en-US" w:eastAsia="zh-CN"/>
        </w:rPr>
        <w:t>该采购项目履约保证金为合同价的5%。中标人于合同签订前将履约保证金打入招标人指定账户。合同履行过程中，履约保证金转为质保金。质保期满后，招标人退还质保金（无息）。</w:t>
      </w:r>
    </w:p>
    <w:p w14:paraId="3C217ED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3、中标人在合同履行期间出现违约行为，招标人可扣除相应履约保证金/质保金，并向中标人追究相应经济损失。</w:t>
      </w:r>
    </w:p>
    <w:p w14:paraId="3181F8B7">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color w:val="auto"/>
          <w:sz w:val="30"/>
          <w:szCs w:val="30"/>
          <w:lang w:val="en-US" w:eastAsia="zh-CN"/>
        </w:rPr>
        <w:t>4、预成交公示结束后，中标人在收到招标人拟订合同（所中标项目）电子版本后，确认无误并签署盖章，2天内邮寄给招标人。合同上的签订时间与招标人实际收到合同时间原则上不超过5天。否则视为中标人自动放弃，招标人有权解除合同。</w:t>
      </w:r>
    </w:p>
    <w:p w14:paraId="21054B26">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5、以上总价应为含税全包价，包括运费、税费等一切费用，发票必须为增值税专用发票。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34C7FB38">
      <w:pPr>
        <w:snapToGrid w:val="0"/>
        <w:ind w:firstLine="480" w:firstLineChars="200"/>
        <w:jc w:val="right"/>
        <w:rPr>
          <w:rFonts w:hint="eastAsia" w:ascii="仿宋" w:hAnsi="仿宋" w:eastAsia="仿宋" w:cs="仿宋"/>
          <w:sz w:val="24"/>
          <w:szCs w:val="24"/>
        </w:rPr>
      </w:pPr>
    </w:p>
    <w:p w14:paraId="3FB5B9D5">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68ABB46A">
      <w:pPr>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6</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6B8A0D71">
      <w:pPr>
        <w:spacing w:line="360" w:lineRule="auto"/>
        <w:jc w:val="center"/>
        <w:rPr>
          <w:rFonts w:hint="eastAsia" w:ascii="仿宋" w:hAnsi="仿宋" w:eastAsia="仿宋" w:cs="仿宋"/>
          <w:b/>
          <w:color w:val="auto"/>
          <w:sz w:val="44"/>
        </w:rPr>
      </w:pPr>
      <w:bookmarkStart w:id="19" w:name="_Toc108839328"/>
      <w:bookmarkStart w:id="20" w:name="_Toc103165678"/>
      <w:bookmarkStart w:id="21" w:name="_Toc29413"/>
      <w:r>
        <w:rPr>
          <w:rFonts w:hint="eastAsia" w:ascii="仿宋" w:hAnsi="仿宋" w:eastAsia="仿宋" w:cs="仿宋"/>
          <w:b/>
          <w:color w:val="auto"/>
          <w:sz w:val="44"/>
          <w:lang w:val="en-US" w:eastAsia="zh-CN"/>
        </w:rPr>
        <w:t>二 次 报 价</w:t>
      </w:r>
      <w:r>
        <w:rPr>
          <w:rFonts w:hint="eastAsia" w:ascii="仿宋" w:hAnsi="仿宋" w:eastAsia="仿宋" w:cs="仿宋"/>
          <w:b/>
          <w:color w:val="auto"/>
          <w:sz w:val="44"/>
        </w:rPr>
        <w:t xml:space="preserve"> 一 览 表</w:t>
      </w:r>
    </w:p>
    <w:p w14:paraId="657AF1E4">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color w:val="auto"/>
          <w:sz w:val="30"/>
          <w:szCs w:val="30"/>
        </w:rPr>
      </w:pPr>
      <w:r>
        <w:rPr>
          <w:rFonts w:hint="eastAsia" w:ascii="仿宋" w:hAnsi="仿宋" w:eastAsia="仿宋" w:cs="仿宋"/>
          <w:b w:val="0"/>
          <w:color w:val="auto"/>
          <w:sz w:val="30"/>
          <w:szCs w:val="30"/>
          <w:lang w:eastAsia="zh-CN"/>
        </w:rPr>
        <w:t>绍兴市再生能源发展有限公司</w:t>
      </w:r>
      <w:r>
        <w:rPr>
          <w:rFonts w:hint="eastAsia" w:ascii="仿宋" w:hAnsi="仿宋" w:eastAsia="仿宋" w:cs="仿宋"/>
          <w:b w:val="0"/>
          <w:color w:val="auto"/>
          <w:sz w:val="30"/>
          <w:szCs w:val="30"/>
        </w:rPr>
        <w:t>：</w:t>
      </w:r>
    </w:p>
    <w:p w14:paraId="1DE889E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sz w:val="30"/>
          <w:szCs w:val="30"/>
        </w:rPr>
      </w:pPr>
      <w:r>
        <w:rPr>
          <w:rFonts w:hint="eastAsia" w:ascii="仿宋_GB2312" w:eastAsia="仿宋_GB2312"/>
          <w:color w:val="auto"/>
          <w:sz w:val="28"/>
          <w:szCs w:val="28"/>
        </w:rPr>
        <w:t>我公司</w:t>
      </w:r>
      <w:r>
        <w:rPr>
          <w:rFonts w:hint="eastAsia" w:ascii="仿宋_GB2312" w:eastAsia="仿宋_GB2312"/>
          <w:color w:val="auto"/>
          <w:sz w:val="28"/>
          <w:szCs w:val="28"/>
          <w:u w:val="single"/>
        </w:rPr>
        <w:t xml:space="preserve">        （报价单位名称）         </w:t>
      </w:r>
      <w:r>
        <w:rPr>
          <w:rFonts w:hint="eastAsia" w:ascii="仿宋_GB2312" w:eastAsia="仿宋_GB2312"/>
          <w:color w:val="auto"/>
          <w:sz w:val="28"/>
          <w:szCs w:val="28"/>
        </w:rPr>
        <w:t>根据贵单位询价文件要求，</w:t>
      </w:r>
      <w:r>
        <w:rPr>
          <w:rFonts w:hint="eastAsia" w:ascii="仿宋_GB2312" w:eastAsia="仿宋_GB2312"/>
          <w:color w:val="auto"/>
          <w:sz w:val="28"/>
          <w:szCs w:val="28"/>
          <w:lang w:eastAsia="zh-CN"/>
        </w:rPr>
        <w:t>委派</w:t>
      </w:r>
      <w:r>
        <w:rPr>
          <w:rFonts w:hint="eastAsia" w:ascii="仿宋_GB2312" w:eastAsia="仿宋_GB2312"/>
          <w:color w:val="auto"/>
          <w:sz w:val="28"/>
          <w:szCs w:val="28"/>
          <w:u w:val="single"/>
          <w:lang w:val="en-US" w:eastAsia="zh-CN"/>
        </w:rPr>
        <w:t xml:space="preserve"> （联系人）   </w:t>
      </w:r>
      <w:r>
        <w:rPr>
          <w:rFonts w:hint="eastAsia" w:ascii="仿宋_GB2312" w:eastAsia="仿宋_GB2312"/>
          <w:color w:val="auto"/>
          <w:sz w:val="28"/>
          <w:szCs w:val="28"/>
          <w:u w:val="none"/>
          <w:lang w:val="en-US" w:eastAsia="zh-CN"/>
        </w:rPr>
        <w:t>，联系方式</w:t>
      </w:r>
      <w:r>
        <w:rPr>
          <w:rFonts w:hint="eastAsia" w:ascii="仿宋_GB2312" w:eastAsia="仿宋_GB2312"/>
          <w:color w:val="auto"/>
          <w:sz w:val="28"/>
          <w:szCs w:val="28"/>
          <w:u w:val="single"/>
          <w:lang w:val="en-US" w:eastAsia="zh-CN"/>
        </w:rPr>
        <w:t xml:space="preserve">                 </w:t>
      </w:r>
      <w:r>
        <w:rPr>
          <w:rFonts w:hint="eastAsia" w:ascii="仿宋" w:hAnsi="仿宋" w:eastAsia="仿宋" w:cs="仿宋"/>
          <w:color w:val="auto"/>
          <w:sz w:val="30"/>
          <w:szCs w:val="30"/>
        </w:rPr>
        <w:t>，参加</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 xml:space="preserve">绍兴市再生能源发展有限公司 3#焚烧炉落差墙修复 </w:t>
      </w:r>
      <w:r>
        <w:rPr>
          <w:rFonts w:hint="eastAsia" w:ascii="仿宋" w:hAnsi="仿宋" w:eastAsia="仿宋" w:cs="仿宋"/>
          <w:color w:val="auto"/>
          <w:sz w:val="30"/>
          <w:szCs w:val="30"/>
          <w:u w:val="none"/>
          <w:lang w:val="en-US" w:eastAsia="zh-CN"/>
        </w:rPr>
        <w:t>项目。</w:t>
      </w:r>
    </w:p>
    <w:tbl>
      <w:tblPr>
        <w:tblStyle w:val="13"/>
        <w:tblW w:w="4772" w:type="pct"/>
        <w:jc w:val="center"/>
        <w:tblLayout w:type="fixed"/>
        <w:tblCellMar>
          <w:top w:w="0" w:type="dxa"/>
          <w:left w:w="108" w:type="dxa"/>
          <w:bottom w:w="0" w:type="dxa"/>
          <w:right w:w="108" w:type="dxa"/>
        </w:tblCellMar>
      </w:tblPr>
      <w:tblGrid>
        <w:gridCol w:w="399"/>
        <w:gridCol w:w="1230"/>
        <w:gridCol w:w="3434"/>
        <w:gridCol w:w="2172"/>
        <w:gridCol w:w="1631"/>
      </w:tblGrid>
      <w:tr w14:paraId="34C7EDDD">
        <w:tblPrEx>
          <w:tblCellMar>
            <w:top w:w="0" w:type="dxa"/>
            <w:left w:w="108" w:type="dxa"/>
            <w:bottom w:w="0" w:type="dxa"/>
            <w:right w:w="108" w:type="dxa"/>
          </w:tblCellMar>
        </w:tblPrEx>
        <w:trPr>
          <w:trHeight w:val="467" w:hRule="atLeast"/>
          <w:jc w:val="center"/>
        </w:trPr>
        <w:tc>
          <w:tcPr>
            <w:tcW w:w="399" w:type="dxa"/>
            <w:tcBorders>
              <w:top w:val="single" w:color="000000" w:sz="4" w:space="0"/>
              <w:left w:val="single" w:color="000000" w:sz="4" w:space="0"/>
              <w:bottom w:val="single" w:color="000000" w:sz="4" w:space="0"/>
              <w:right w:val="single" w:color="000000" w:sz="4" w:space="0"/>
            </w:tcBorders>
            <w:noWrap/>
            <w:vAlign w:val="center"/>
          </w:tcPr>
          <w:p w14:paraId="5EFC943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序号</w:t>
            </w: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3B86440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项目名称</w:t>
            </w:r>
          </w:p>
        </w:tc>
        <w:tc>
          <w:tcPr>
            <w:tcW w:w="3434" w:type="dxa"/>
            <w:tcBorders>
              <w:top w:val="single" w:color="000000" w:sz="4" w:space="0"/>
              <w:left w:val="single" w:color="000000" w:sz="4" w:space="0"/>
              <w:bottom w:val="single" w:color="000000" w:sz="4" w:space="0"/>
              <w:right w:val="single" w:color="000000" w:sz="4" w:space="0"/>
            </w:tcBorders>
            <w:noWrap/>
            <w:vAlign w:val="center"/>
          </w:tcPr>
          <w:p w14:paraId="6508DB97">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内容</w:t>
            </w:r>
          </w:p>
        </w:tc>
        <w:tc>
          <w:tcPr>
            <w:tcW w:w="2172" w:type="dxa"/>
            <w:tcBorders>
              <w:top w:val="single" w:color="000000" w:sz="4" w:space="0"/>
              <w:left w:val="single" w:color="000000" w:sz="4" w:space="0"/>
              <w:bottom w:val="single" w:color="000000" w:sz="4" w:space="0"/>
              <w:right w:val="single" w:color="000000" w:sz="4" w:space="0"/>
            </w:tcBorders>
            <w:noWrap/>
            <w:vAlign w:val="center"/>
          </w:tcPr>
          <w:p w14:paraId="50FD0E0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技术要求</w:t>
            </w:r>
          </w:p>
        </w:tc>
        <w:tc>
          <w:tcPr>
            <w:tcW w:w="1631" w:type="dxa"/>
            <w:tcBorders>
              <w:top w:val="single" w:color="000000" w:sz="4" w:space="0"/>
              <w:left w:val="single" w:color="000000" w:sz="4" w:space="0"/>
              <w:bottom w:val="single" w:color="000000" w:sz="4" w:space="0"/>
              <w:right w:val="single" w:color="000000" w:sz="4" w:space="0"/>
            </w:tcBorders>
            <w:noWrap/>
            <w:vAlign w:val="center"/>
          </w:tcPr>
          <w:p w14:paraId="2E6E265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备注</w:t>
            </w:r>
          </w:p>
        </w:tc>
      </w:tr>
      <w:tr w14:paraId="1F6F270A">
        <w:tblPrEx>
          <w:tblCellMar>
            <w:top w:w="0" w:type="dxa"/>
            <w:left w:w="108" w:type="dxa"/>
            <w:bottom w:w="0" w:type="dxa"/>
            <w:right w:w="108" w:type="dxa"/>
          </w:tblCellMar>
        </w:tblPrEx>
        <w:trPr>
          <w:trHeight w:val="532" w:hRule="atLeast"/>
          <w:jc w:val="center"/>
        </w:trPr>
        <w:tc>
          <w:tcPr>
            <w:tcW w:w="399" w:type="dxa"/>
            <w:tcBorders>
              <w:top w:val="single" w:color="000000" w:sz="4" w:space="0"/>
              <w:left w:val="single" w:color="000000" w:sz="4" w:space="0"/>
              <w:bottom w:val="single" w:color="000000" w:sz="4" w:space="0"/>
              <w:right w:val="single" w:color="000000" w:sz="4" w:space="0"/>
            </w:tcBorders>
            <w:noWrap/>
            <w:vAlign w:val="center"/>
          </w:tcPr>
          <w:p w14:paraId="6BF7355A">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1</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0178F4C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p>
        </w:tc>
        <w:tc>
          <w:tcPr>
            <w:tcW w:w="3434" w:type="dxa"/>
            <w:tcBorders>
              <w:top w:val="single" w:color="000000" w:sz="4" w:space="0"/>
              <w:left w:val="single" w:color="000000" w:sz="4" w:space="0"/>
              <w:bottom w:val="single" w:color="000000" w:sz="4" w:space="0"/>
              <w:right w:val="single" w:color="000000" w:sz="4" w:space="0"/>
            </w:tcBorders>
            <w:noWrap w:val="0"/>
            <w:vAlign w:val="center"/>
          </w:tcPr>
          <w:p w14:paraId="0382C0F5">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p>
        </w:tc>
        <w:tc>
          <w:tcPr>
            <w:tcW w:w="2172" w:type="dxa"/>
            <w:tcBorders>
              <w:top w:val="single" w:color="000000" w:sz="4" w:space="0"/>
              <w:left w:val="single" w:color="000000" w:sz="4" w:space="0"/>
              <w:bottom w:val="single" w:color="000000" w:sz="4" w:space="0"/>
              <w:right w:val="single" w:color="000000" w:sz="4" w:space="0"/>
            </w:tcBorders>
            <w:noWrap w:val="0"/>
            <w:vAlign w:val="center"/>
          </w:tcPr>
          <w:p w14:paraId="404E174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p>
        </w:tc>
        <w:tc>
          <w:tcPr>
            <w:tcW w:w="1631" w:type="dxa"/>
            <w:tcBorders>
              <w:top w:val="single" w:color="000000" w:sz="4" w:space="0"/>
              <w:left w:val="single" w:color="000000" w:sz="4" w:space="0"/>
              <w:bottom w:val="single" w:color="000000" w:sz="4" w:space="0"/>
              <w:right w:val="single" w:color="000000" w:sz="4" w:space="0"/>
            </w:tcBorders>
            <w:noWrap w:val="0"/>
            <w:vAlign w:val="center"/>
          </w:tcPr>
          <w:p w14:paraId="1A350AA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p>
        </w:tc>
      </w:tr>
    </w:tbl>
    <w:p w14:paraId="49458A6A">
      <w:pPr>
        <w:pStyle w:val="9"/>
        <w:rPr>
          <w:rFonts w:hint="eastAsia" w:ascii="仿宋" w:hAnsi="仿宋" w:eastAsia="仿宋" w:cs="仿宋"/>
          <w:color w:val="auto"/>
        </w:rPr>
      </w:pPr>
    </w:p>
    <w:p w14:paraId="5EE6A5F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报价如下：（</w:t>
      </w:r>
      <w:r>
        <w:rPr>
          <w:rFonts w:hint="eastAsia" w:ascii="仿宋" w:hAnsi="仿宋" w:eastAsia="仿宋" w:cs="仿宋"/>
          <w:color w:val="auto"/>
          <w:sz w:val="30"/>
          <w:szCs w:val="30"/>
          <w:lang w:eastAsia="zh-CN"/>
        </w:rPr>
        <w:t>总金额</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元，税率为    </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 %）</w:t>
      </w:r>
    </w:p>
    <w:p w14:paraId="27F5755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14C4C66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lang w:val="en-US" w:eastAsia="zh-CN" w:bidi="ar-SA"/>
        </w:rPr>
        <w:t>1、</w:t>
      </w:r>
      <w:r>
        <w:rPr>
          <w:rFonts w:hint="eastAsia" w:ascii="仿宋" w:hAnsi="仿宋" w:eastAsia="仿宋" w:cs="仿宋"/>
          <w:color w:val="auto"/>
          <w:sz w:val="30"/>
          <w:szCs w:val="30"/>
          <w:lang w:eastAsia="zh-CN"/>
        </w:rPr>
        <w:t>付款方式：</w:t>
      </w:r>
      <w:r>
        <w:rPr>
          <w:rFonts w:hint="eastAsia" w:ascii="仿宋" w:hAnsi="仿宋" w:eastAsia="仿宋" w:cs="仿宋"/>
          <w:color w:val="auto"/>
          <w:sz w:val="30"/>
          <w:szCs w:val="30"/>
          <w:lang w:val="en-US" w:eastAsia="zh-CN"/>
        </w:rPr>
        <w:t>项目完成且经由采购人验收合格后，供货方提供经双方确认的送货清单及增值税专用发票，采购人自收到准确清单和发票后，于次二月完成货款支付。供货方需提供二年质保，其履约保证金（合同价的5%）到时自动转为质保金，于质保期到期后支付，质保期从验收合格之日起计算。</w:t>
      </w:r>
    </w:p>
    <w:p w14:paraId="687EAA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kern w:val="2"/>
          <w:sz w:val="30"/>
          <w:szCs w:val="30"/>
          <w:lang w:val="en-US" w:eastAsia="zh-CN" w:bidi="ar-SA"/>
        </w:rPr>
        <w:t>2、</w:t>
      </w:r>
      <w:r>
        <w:rPr>
          <w:rFonts w:hint="eastAsia" w:ascii="仿宋" w:hAnsi="仿宋" w:eastAsia="仿宋" w:cs="仿宋"/>
          <w:color w:val="auto"/>
          <w:sz w:val="30"/>
          <w:szCs w:val="30"/>
          <w:lang w:val="en-US" w:eastAsia="zh-CN"/>
        </w:rPr>
        <w:t>以上总价应为含税全包价，包括运费、税费等一切费用，发票必须为增值税专用发票。</w:t>
      </w:r>
    </w:p>
    <w:p w14:paraId="6223483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kern w:val="2"/>
          <w:sz w:val="30"/>
          <w:szCs w:val="30"/>
          <w:lang w:val="en-US" w:eastAsia="zh-CN" w:bidi="ar-SA"/>
        </w:rPr>
        <w:t>3、</w:t>
      </w:r>
      <w:r>
        <w:rPr>
          <w:rFonts w:hint="eastAsia" w:ascii="仿宋" w:hAnsi="仿宋" w:eastAsia="仿宋" w:cs="仿宋"/>
          <w:color w:val="auto"/>
          <w:sz w:val="30"/>
          <w:szCs w:val="30"/>
          <w:lang w:val="en-US" w:eastAsia="zh-CN"/>
        </w:rPr>
        <w:t>本次报价为最终投标报价依据。</w:t>
      </w:r>
    </w:p>
    <w:p w14:paraId="385701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30"/>
          <w:szCs w:val="30"/>
          <w:lang w:val="en-US" w:eastAsia="zh-CN" w:bidi="ar-SA"/>
        </w:rPr>
        <w:t>4、</w:t>
      </w:r>
      <w:r>
        <w:rPr>
          <w:rFonts w:hint="eastAsia" w:ascii="仿宋" w:hAnsi="仿宋" w:eastAsia="仿宋" w:cs="仿宋"/>
          <w:color w:val="auto"/>
          <w:sz w:val="30"/>
          <w:szCs w:val="30"/>
          <w:lang w:val="en-US" w:eastAsia="zh-CN"/>
        </w:rPr>
        <w:fldChar w:fldCharType="begin"/>
      </w:r>
      <w:r>
        <w:rPr>
          <w:rFonts w:hint="eastAsia" w:ascii="仿宋" w:hAnsi="仿宋" w:eastAsia="仿宋" w:cs="仿宋"/>
          <w:color w:val="auto"/>
          <w:sz w:val="30"/>
          <w:szCs w:val="30"/>
          <w:lang w:val="en-US" w:eastAsia="zh-CN"/>
        </w:rPr>
        <w:instrText xml:space="preserve"> HYPERLINK "mailto:请于2024年5月17日前将询价表盖章后的电子版发至dzw@sxszsny.com" </w:instrText>
      </w:r>
      <w:r>
        <w:rPr>
          <w:rFonts w:hint="eastAsia" w:ascii="仿宋" w:hAnsi="仿宋" w:eastAsia="仿宋" w:cs="仿宋"/>
          <w:color w:val="auto"/>
          <w:sz w:val="30"/>
          <w:szCs w:val="30"/>
          <w:lang w:val="en-US" w:eastAsia="zh-CN"/>
        </w:rPr>
        <w:fldChar w:fldCharType="separate"/>
      </w:r>
      <w:r>
        <w:rPr>
          <w:rFonts w:hint="eastAsia" w:ascii="仿宋" w:hAnsi="仿宋" w:eastAsia="仿宋" w:cs="仿宋"/>
          <w:color w:val="auto"/>
          <w:sz w:val="30"/>
          <w:szCs w:val="30"/>
          <w:lang w:val="en-US" w:eastAsia="zh-CN"/>
        </w:rPr>
        <w:t>请自接到采购人二次报价通知后30分钟内将二次报价一览表盖章后的电子版发至邮箱dzw@sxszsny.com</w:t>
      </w:r>
      <w:r>
        <w:rPr>
          <w:rFonts w:hint="eastAsia" w:ascii="仿宋" w:hAnsi="仿宋" w:eastAsia="仿宋" w:cs="仿宋"/>
          <w:color w:val="auto"/>
          <w:sz w:val="30"/>
          <w:szCs w:val="30"/>
          <w:lang w:val="en-US" w:eastAsia="zh-CN"/>
        </w:rPr>
        <w:fldChar w:fldCharType="end"/>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ab/>
      </w:r>
      <w:r>
        <w:rPr>
          <w:rFonts w:hint="eastAsia" w:ascii="仿宋" w:hAnsi="仿宋" w:eastAsia="仿宋" w:cs="仿宋"/>
          <w:color w:val="auto"/>
          <w:sz w:val="30"/>
          <w:szCs w:val="30"/>
        </w:rPr>
        <w:tab/>
      </w:r>
    </w:p>
    <w:p w14:paraId="7B905EC1">
      <w:pPr>
        <w:snapToGrid w:val="0"/>
        <w:ind w:firstLine="480" w:firstLineChars="200"/>
        <w:jc w:val="right"/>
        <w:rPr>
          <w:rFonts w:hint="eastAsia" w:ascii="仿宋" w:hAnsi="仿宋" w:eastAsia="仿宋" w:cs="仿宋"/>
          <w:color w:val="auto"/>
          <w:sz w:val="24"/>
          <w:szCs w:val="24"/>
        </w:rPr>
      </w:pPr>
    </w:p>
    <w:p w14:paraId="6A63DBA1">
      <w:pPr>
        <w:snapToGrid w:val="0"/>
        <w:ind w:firstLine="480" w:firstLineChars="200"/>
        <w:jc w:val="right"/>
        <w:rPr>
          <w:rFonts w:hint="eastAsia" w:ascii="仿宋" w:hAnsi="仿宋" w:eastAsia="仿宋" w:cs="仿宋"/>
          <w:color w:val="auto"/>
          <w:sz w:val="24"/>
          <w:szCs w:val="24"/>
        </w:rPr>
      </w:pPr>
    </w:p>
    <w:p w14:paraId="572BD22C">
      <w:pPr>
        <w:snapToGrid w:val="0"/>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报价单位名称（公章）：</w:t>
      </w:r>
    </w:p>
    <w:p w14:paraId="2A1FC52C">
      <w:pPr>
        <w:wordWrap w:val="0"/>
        <w:snapToGrid w:val="0"/>
        <w:ind w:firstLine="480" w:firstLineChars="200"/>
        <w:jc w:val="right"/>
        <w:rPr>
          <w:rFonts w:hint="eastAsia" w:ascii="仿宋" w:hAnsi="仿宋" w:eastAsia="仿宋" w:cs="仿宋"/>
          <w:color w:val="auto"/>
          <w:sz w:val="24"/>
          <w:szCs w:val="24"/>
          <w:lang w:val="en-US" w:eastAsia="zh-CN"/>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w:t>
      </w:r>
      <w:r>
        <w:rPr>
          <w:rFonts w:hint="default" w:ascii="仿宋" w:hAnsi="仿宋" w:eastAsia="仿宋" w:cs="仿宋"/>
          <w:color w:val="auto"/>
          <w:sz w:val="24"/>
          <w:szCs w:val="24"/>
          <w:lang w:val="en-US"/>
        </w:rPr>
        <w:t>202</w:t>
      </w:r>
      <w:r>
        <w:rPr>
          <w:rFonts w:hint="eastAsia" w:ascii="仿宋" w:hAnsi="仿宋" w:eastAsia="仿宋" w:cs="仿宋"/>
          <w:color w:val="auto"/>
          <w:sz w:val="24"/>
          <w:szCs w:val="24"/>
          <w:lang w:val="en-US" w:eastAsia="zh-CN"/>
        </w:rPr>
        <w:t>6</w:t>
      </w:r>
      <w:r>
        <w:rPr>
          <w:rFonts w:hint="default" w:ascii="仿宋" w:hAnsi="仿宋" w:eastAsia="仿宋" w:cs="仿宋"/>
          <w:color w:val="auto"/>
          <w:sz w:val="24"/>
          <w:szCs w:val="24"/>
          <w:lang w:val="en-US"/>
        </w:rPr>
        <w:t>年</w:t>
      </w:r>
      <w:r>
        <w:rPr>
          <w:rFonts w:hint="eastAsia" w:ascii="仿宋" w:hAnsi="仿宋" w:eastAsia="仿宋" w:cs="仿宋"/>
          <w:color w:val="auto"/>
          <w:sz w:val="24"/>
          <w:szCs w:val="24"/>
        </w:rPr>
        <w:t xml:space="preserve"> 月</w:t>
      </w:r>
      <w:r>
        <w:rPr>
          <w:rFonts w:hint="eastAsia" w:ascii="仿宋" w:hAnsi="仿宋" w:eastAsia="仿宋" w:cs="仿宋"/>
          <w:color w:val="auto"/>
          <w:sz w:val="24"/>
          <w:szCs w:val="24"/>
          <w:lang w:val="en-US" w:eastAsia="zh-CN"/>
        </w:rPr>
        <w:t xml:space="preserve"> 日</w:t>
      </w:r>
    </w:p>
    <w:p w14:paraId="6BE11211">
      <w:pPr>
        <w:spacing w:line="480" w:lineRule="auto"/>
        <w:jc w:val="left"/>
        <w:outlineLvl w:val="0"/>
        <w:rPr>
          <w:rFonts w:hint="eastAsia" w:ascii="仿宋" w:hAnsi="仿宋" w:eastAsia="仿宋" w:cs="仿宋"/>
          <w:b/>
          <w:spacing w:val="-2"/>
          <w:sz w:val="30"/>
        </w:rPr>
      </w:pPr>
      <w:r>
        <w:rPr>
          <w:rStyle w:val="20"/>
          <w:rFonts w:hint="eastAsia" w:ascii="仿宋" w:hAnsi="仿宋" w:eastAsia="仿宋" w:cs="仿宋"/>
          <w:sz w:val="30"/>
        </w:rPr>
        <w:t>附件</w:t>
      </w:r>
      <w:bookmarkEnd w:id="19"/>
      <w:bookmarkEnd w:id="20"/>
      <w:r>
        <w:rPr>
          <w:rStyle w:val="20"/>
          <w:rFonts w:hint="eastAsia" w:ascii="仿宋" w:hAnsi="仿宋" w:eastAsia="仿宋" w:cs="仿宋"/>
          <w:sz w:val="30"/>
        </w:rPr>
        <w:t>三</w:t>
      </w:r>
      <w:bookmarkEnd w:id="21"/>
    </w:p>
    <w:p w14:paraId="528F1991">
      <w:pPr>
        <w:snapToGrid w:val="0"/>
        <w:ind w:firstLine="1926" w:firstLineChars="600"/>
        <w:jc w:val="left"/>
        <w:rPr>
          <w:rFonts w:hint="eastAsia" w:ascii="仿宋" w:hAnsi="仿宋" w:eastAsia="仿宋" w:cs="仿宋"/>
          <w:b/>
          <w:spacing w:val="40"/>
          <w:sz w:val="24"/>
          <w:szCs w:val="24"/>
        </w:rPr>
      </w:pPr>
    </w:p>
    <w:p w14:paraId="39416B3D">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14:paraId="03F0BD6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14:paraId="248B2561">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u w:val="single"/>
          <w:lang w:val="en-US" w:eastAsia="zh-CN"/>
        </w:rPr>
        <w:t>3#焚烧炉落差墙修复项目</w:t>
      </w:r>
      <w:r>
        <w:rPr>
          <w:rFonts w:hint="eastAsia" w:ascii="仿宋" w:hAnsi="仿宋" w:eastAsia="仿宋" w:cs="仿宋"/>
          <w:sz w:val="28"/>
          <w:szCs w:val="28"/>
        </w:rPr>
        <w:t>询价采购，并作如下承诺：</w:t>
      </w:r>
    </w:p>
    <w:p w14:paraId="775EE76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14:paraId="65891C6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14:paraId="1E8D9349">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14:paraId="45AFAFBE">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7EF7992A">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14:paraId="50FCEF2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2531AC1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7364BF93">
      <w:pPr>
        <w:keepNext w:val="0"/>
        <w:keepLines w:val="0"/>
        <w:pageBreakBefore w:val="0"/>
        <w:widowControl w:val="0"/>
        <w:kinsoku/>
        <w:wordWrap/>
        <w:overflowPunct/>
        <w:topLinePunct w:val="0"/>
        <w:autoSpaceDE/>
        <w:autoSpaceDN/>
        <w:bidi w:val="0"/>
        <w:adjustRightInd/>
        <w:snapToGrid w:val="0"/>
        <w:spacing w:line="360" w:lineRule="auto"/>
        <w:ind w:firstLine="5040" w:firstLineChars="1800"/>
        <w:textAlignment w:val="auto"/>
        <w:rPr>
          <w:rFonts w:hint="eastAsia" w:ascii="仿宋" w:hAnsi="仿宋" w:eastAsia="仿宋" w:cs="仿宋"/>
          <w:sz w:val="28"/>
          <w:szCs w:val="28"/>
        </w:rPr>
      </w:pPr>
    </w:p>
    <w:p w14:paraId="70C6EEBC">
      <w:pPr>
        <w:keepNext w:val="0"/>
        <w:keepLines w:val="0"/>
        <w:pageBreakBefore w:val="0"/>
        <w:widowControl w:val="0"/>
        <w:kinsoku/>
        <w:wordWrap/>
        <w:overflowPunct/>
        <w:topLinePunct w:val="0"/>
        <w:autoSpaceDE/>
        <w:autoSpaceDN/>
        <w:bidi w:val="0"/>
        <w:adjustRightInd/>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14:paraId="34370D5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val="en-US" w:eastAsia="zh-CN"/>
        </w:rPr>
        <w:t>六</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1B4C888B">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14:paraId="6C0C48BE">
      <w:pPr>
        <w:pStyle w:val="11"/>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B5974">
    <w:pPr>
      <w:pStyle w:val="7"/>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14:paraId="0806776C">
    <w:pPr>
      <w:pStyle w:val="7"/>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42CF0"/>
    <w:multiLevelType w:val="singleLevel"/>
    <w:tmpl w:val="82842CF0"/>
    <w:lvl w:ilvl="0" w:tentative="0">
      <w:start w:val="9"/>
      <w:numFmt w:val="chineseCounting"/>
      <w:suff w:val="space"/>
      <w:lvlText w:val="第%1条"/>
      <w:lvlJc w:val="left"/>
      <w:rPr>
        <w:rFonts w:hint="eastAsia"/>
      </w:rPr>
    </w:lvl>
  </w:abstractNum>
  <w:abstractNum w:abstractNumId="1">
    <w:nsid w:val="8C79575F"/>
    <w:multiLevelType w:val="singleLevel"/>
    <w:tmpl w:val="8C79575F"/>
    <w:lvl w:ilvl="0" w:tentative="0">
      <w:start w:val="12"/>
      <w:numFmt w:val="chineseCounting"/>
      <w:suff w:val="space"/>
      <w:lvlText w:val="第%1条"/>
      <w:lvlJc w:val="left"/>
      <w:rPr>
        <w:rFonts w:hint="eastAsia"/>
      </w:rPr>
    </w:lvl>
  </w:abstractNum>
  <w:abstractNum w:abstractNumId="2">
    <w:nsid w:val="AF5134E0"/>
    <w:multiLevelType w:val="singleLevel"/>
    <w:tmpl w:val="AF5134E0"/>
    <w:lvl w:ilvl="0" w:tentative="0">
      <w:start w:val="1"/>
      <w:numFmt w:val="decimal"/>
      <w:suff w:val="nothing"/>
      <w:lvlText w:val="%1、"/>
      <w:lvlJc w:val="left"/>
    </w:lvl>
  </w:abstractNum>
  <w:abstractNum w:abstractNumId="3">
    <w:nsid w:val="BB39A8A5"/>
    <w:multiLevelType w:val="singleLevel"/>
    <w:tmpl w:val="BB39A8A5"/>
    <w:lvl w:ilvl="0" w:tentative="0">
      <w:start w:val="4"/>
      <w:numFmt w:val="chineseCounting"/>
      <w:suff w:val="space"/>
      <w:lvlText w:val="第%1部分"/>
      <w:lvlJc w:val="left"/>
      <w:pPr>
        <w:ind w:left="840"/>
      </w:pPr>
      <w:rPr>
        <w:rFonts w:hint="eastAsia"/>
      </w:rPr>
    </w:lvl>
  </w:abstractNum>
  <w:abstractNum w:abstractNumId="4">
    <w:nsid w:val="00000020"/>
    <w:multiLevelType w:val="multilevel"/>
    <w:tmpl w:val="00000020"/>
    <w:lvl w:ilvl="0" w:tentative="0">
      <w:start w:val="1"/>
      <w:numFmt w:val="decimal"/>
      <w:pStyle w:val="2"/>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5AF6242"/>
    <w:multiLevelType w:val="singleLevel"/>
    <w:tmpl w:val="05AF6242"/>
    <w:lvl w:ilvl="0" w:tentative="0">
      <w:start w:val="5"/>
      <w:numFmt w:val="chineseCounting"/>
      <w:suff w:val="space"/>
      <w:lvlText w:val="第%1条"/>
      <w:lvlJc w:val="left"/>
      <w:rPr>
        <w:rFonts w:hint="eastAsia"/>
      </w:rPr>
    </w:lvl>
  </w:abstractNum>
  <w:abstractNum w:abstractNumId="6">
    <w:nsid w:val="4CC8527C"/>
    <w:multiLevelType w:val="singleLevel"/>
    <w:tmpl w:val="4CC8527C"/>
    <w:lvl w:ilvl="0" w:tentative="0">
      <w:start w:val="6"/>
      <w:numFmt w:val="chineseCounting"/>
      <w:suff w:val="nothing"/>
      <w:lvlText w:val="%1、"/>
      <w:lvlJc w:val="left"/>
      <w:rPr>
        <w:rFonts w:hint="eastAsia"/>
      </w:rPr>
    </w:lvl>
  </w:abstractNum>
  <w:num w:numId="1">
    <w:abstractNumId w:val="4"/>
  </w:num>
  <w:num w:numId="2">
    <w:abstractNumId w:val="6"/>
  </w:num>
  <w:num w:numId="3">
    <w:abstractNumId w:val="3"/>
  </w:num>
  <w:num w:numId="4">
    <w:abstractNumId w:val="5"/>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wZDFhNTA3NTBkYjYwNzBmOWEzNGQxZTA1ZTZlYTEifQ=="/>
    <w:docVar w:name="KSO_WPS_MARK_KEY" w:val="54ff61b0-739e-42aa-8a2e-a4bc9060d795"/>
  </w:docVars>
  <w:rsids>
    <w:rsidRoot w:val="1297576D"/>
    <w:rsid w:val="0029396E"/>
    <w:rsid w:val="003A657B"/>
    <w:rsid w:val="00517D5D"/>
    <w:rsid w:val="005926A3"/>
    <w:rsid w:val="008746A5"/>
    <w:rsid w:val="00B574EC"/>
    <w:rsid w:val="00F65E12"/>
    <w:rsid w:val="01D22213"/>
    <w:rsid w:val="02834D04"/>
    <w:rsid w:val="031428FF"/>
    <w:rsid w:val="038D5656"/>
    <w:rsid w:val="03F95A31"/>
    <w:rsid w:val="04605697"/>
    <w:rsid w:val="05D22118"/>
    <w:rsid w:val="05D355DF"/>
    <w:rsid w:val="06057AB3"/>
    <w:rsid w:val="062B00FD"/>
    <w:rsid w:val="067A3460"/>
    <w:rsid w:val="076328DA"/>
    <w:rsid w:val="07A76692"/>
    <w:rsid w:val="08186607"/>
    <w:rsid w:val="083A3947"/>
    <w:rsid w:val="086A3D60"/>
    <w:rsid w:val="08F93082"/>
    <w:rsid w:val="097479E0"/>
    <w:rsid w:val="09B7226A"/>
    <w:rsid w:val="0A0C6ADD"/>
    <w:rsid w:val="0A32752C"/>
    <w:rsid w:val="0A9D29B8"/>
    <w:rsid w:val="0B2C6C02"/>
    <w:rsid w:val="0B8E6D39"/>
    <w:rsid w:val="0BC12699"/>
    <w:rsid w:val="0BCC31F9"/>
    <w:rsid w:val="0C5A16A4"/>
    <w:rsid w:val="0DC35837"/>
    <w:rsid w:val="0DE61498"/>
    <w:rsid w:val="110C39D4"/>
    <w:rsid w:val="1297576D"/>
    <w:rsid w:val="12BF4C87"/>
    <w:rsid w:val="12E70A09"/>
    <w:rsid w:val="1325794A"/>
    <w:rsid w:val="15341747"/>
    <w:rsid w:val="15C82479"/>
    <w:rsid w:val="164F6705"/>
    <w:rsid w:val="16646293"/>
    <w:rsid w:val="16FE5921"/>
    <w:rsid w:val="17B042A1"/>
    <w:rsid w:val="18987177"/>
    <w:rsid w:val="1906629D"/>
    <w:rsid w:val="190D0CE8"/>
    <w:rsid w:val="198B334B"/>
    <w:rsid w:val="1A2B7D96"/>
    <w:rsid w:val="1BD33B78"/>
    <w:rsid w:val="1BE0140E"/>
    <w:rsid w:val="1BEC2FB3"/>
    <w:rsid w:val="1CE262BC"/>
    <w:rsid w:val="1D6D770B"/>
    <w:rsid w:val="1D94296D"/>
    <w:rsid w:val="1E191157"/>
    <w:rsid w:val="1E1A21EF"/>
    <w:rsid w:val="203B090D"/>
    <w:rsid w:val="206F2E6D"/>
    <w:rsid w:val="21135480"/>
    <w:rsid w:val="211D7593"/>
    <w:rsid w:val="212C3971"/>
    <w:rsid w:val="214D7086"/>
    <w:rsid w:val="21820C38"/>
    <w:rsid w:val="21BA7E4E"/>
    <w:rsid w:val="22DF5956"/>
    <w:rsid w:val="22ED7F5E"/>
    <w:rsid w:val="24130D0C"/>
    <w:rsid w:val="259E2C64"/>
    <w:rsid w:val="26F76768"/>
    <w:rsid w:val="27AC61A6"/>
    <w:rsid w:val="27FE02E6"/>
    <w:rsid w:val="28C57566"/>
    <w:rsid w:val="29084622"/>
    <w:rsid w:val="29F704EF"/>
    <w:rsid w:val="2A0049E3"/>
    <w:rsid w:val="2AC220DE"/>
    <w:rsid w:val="2ADB5E21"/>
    <w:rsid w:val="2ADF08BA"/>
    <w:rsid w:val="2B603075"/>
    <w:rsid w:val="2C305EB2"/>
    <w:rsid w:val="2C980D1B"/>
    <w:rsid w:val="2CD9238D"/>
    <w:rsid w:val="2D023CA7"/>
    <w:rsid w:val="2E003054"/>
    <w:rsid w:val="2EB2531B"/>
    <w:rsid w:val="2F3D045F"/>
    <w:rsid w:val="2F6F3EAC"/>
    <w:rsid w:val="2F7D3F84"/>
    <w:rsid w:val="2F844FB7"/>
    <w:rsid w:val="30256074"/>
    <w:rsid w:val="302C4175"/>
    <w:rsid w:val="30890978"/>
    <w:rsid w:val="30A52DD9"/>
    <w:rsid w:val="31713FF6"/>
    <w:rsid w:val="32B04D2F"/>
    <w:rsid w:val="33A35EAC"/>
    <w:rsid w:val="34542105"/>
    <w:rsid w:val="3464504B"/>
    <w:rsid w:val="34E00D83"/>
    <w:rsid w:val="34E40873"/>
    <w:rsid w:val="355F7D2E"/>
    <w:rsid w:val="36216F0D"/>
    <w:rsid w:val="36316A75"/>
    <w:rsid w:val="3667119D"/>
    <w:rsid w:val="36ED02B2"/>
    <w:rsid w:val="36F34D9D"/>
    <w:rsid w:val="37887BDC"/>
    <w:rsid w:val="37DB73A7"/>
    <w:rsid w:val="389D7311"/>
    <w:rsid w:val="398E418A"/>
    <w:rsid w:val="3996009B"/>
    <w:rsid w:val="3997709B"/>
    <w:rsid w:val="39A55AE7"/>
    <w:rsid w:val="3A351BE0"/>
    <w:rsid w:val="3B0953A4"/>
    <w:rsid w:val="3C302F1C"/>
    <w:rsid w:val="3C8719BD"/>
    <w:rsid w:val="3CE46170"/>
    <w:rsid w:val="3D7933CA"/>
    <w:rsid w:val="3DAC3CC7"/>
    <w:rsid w:val="3E16524F"/>
    <w:rsid w:val="3EA30F9B"/>
    <w:rsid w:val="3F2D02B4"/>
    <w:rsid w:val="3F7C50B1"/>
    <w:rsid w:val="3F996DE7"/>
    <w:rsid w:val="3FAE19C2"/>
    <w:rsid w:val="406B2371"/>
    <w:rsid w:val="407E15A7"/>
    <w:rsid w:val="40AA3B81"/>
    <w:rsid w:val="411C5733"/>
    <w:rsid w:val="417112FA"/>
    <w:rsid w:val="42D57A4D"/>
    <w:rsid w:val="43496273"/>
    <w:rsid w:val="436A096E"/>
    <w:rsid w:val="43985971"/>
    <w:rsid w:val="43A970E7"/>
    <w:rsid w:val="43BA0460"/>
    <w:rsid w:val="44322CE6"/>
    <w:rsid w:val="44544A76"/>
    <w:rsid w:val="449544C5"/>
    <w:rsid w:val="44A55070"/>
    <w:rsid w:val="44C47D79"/>
    <w:rsid w:val="45530393"/>
    <w:rsid w:val="469F7AF8"/>
    <w:rsid w:val="471B5F3A"/>
    <w:rsid w:val="475812CD"/>
    <w:rsid w:val="475D1115"/>
    <w:rsid w:val="478F3581"/>
    <w:rsid w:val="47B96D86"/>
    <w:rsid w:val="47D615F1"/>
    <w:rsid w:val="47D93555"/>
    <w:rsid w:val="48034DA7"/>
    <w:rsid w:val="486F4BB5"/>
    <w:rsid w:val="48A60514"/>
    <w:rsid w:val="48E14418"/>
    <w:rsid w:val="491635D4"/>
    <w:rsid w:val="49E7480F"/>
    <w:rsid w:val="4AE97537"/>
    <w:rsid w:val="4AF173EE"/>
    <w:rsid w:val="4C0210E1"/>
    <w:rsid w:val="4C2F1B9C"/>
    <w:rsid w:val="4C870D35"/>
    <w:rsid w:val="4D2832EB"/>
    <w:rsid w:val="4D7F4462"/>
    <w:rsid w:val="4DB81983"/>
    <w:rsid w:val="4DF66F25"/>
    <w:rsid w:val="4E376DB9"/>
    <w:rsid w:val="4E716394"/>
    <w:rsid w:val="4ECC39F8"/>
    <w:rsid w:val="4F0A3ECF"/>
    <w:rsid w:val="4F595384"/>
    <w:rsid w:val="4F72433C"/>
    <w:rsid w:val="4F7F3CCA"/>
    <w:rsid w:val="4FE50BFA"/>
    <w:rsid w:val="502844C8"/>
    <w:rsid w:val="51131CCB"/>
    <w:rsid w:val="51D845E4"/>
    <w:rsid w:val="52341DDD"/>
    <w:rsid w:val="531111FC"/>
    <w:rsid w:val="533444FB"/>
    <w:rsid w:val="55C54FE9"/>
    <w:rsid w:val="55E07717"/>
    <w:rsid w:val="56397366"/>
    <w:rsid w:val="56D5040D"/>
    <w:rsid w:val="58080247"/>
    <w:rsid w:val="5950112B"/>
    <w:rsid w:val="59C3293C"/>
    <w:rsid w:val="5A1C766A"/>
    <w:rsid w:val="5B3710B2"/>
    <w:rsid w:val="5CF528AB"/>
    <w:rsid w:val="5D132301"/>
    <w:rsid w:val="5E970206"/>
    <w:rsid w:val="5ED1360A"/>
    <w:rsid w:val="5F1E1E73"/>
    <w:rsid w:val="612A3DEE"/>
    <w:rsid w:val="614D7B82"/>
    <w:rsid w:val="62B67083"/>
    <w:rsid w:val="64787E17"/>
    <w:rsid w:val="649C599A"/>
    <w:rsid w:val="66B027B6"/>
    <w:rsid w:val="671A2875"/>
    <w:rsid w:val="67966EFB"/>
    <w:rsid w:val="67B628F5"/>
    <w:rsid w:val="682119CD"/>
    <w:rsid w:val="69A94E0C"/>
    <w:rsid w:val="6B656B47"/>
    <w:rsid w:val="6B7E1643"/>
    <w:rsid w:val="6C714475"/>
    <w:rsid w:val="6CDB032D"/>
    <w:rsid w:val="6DB2110D"/>
    <w:rsid w:val="6DBD736C"/>
    <w:rsid w:val="6DF45A5A"/>
    <w:rsid w:val="6E5526FF"/>
    <w:rsid w:val="6EB82DCE"/>
    <w:rsid w:val="6F2B1820"/>
    <w:rsid w:val="6F412F7A"/>
    <w:rsid w:val="707E74C2"/>
    <w:rsid w:val="70CC0A36"/>
    <w:rsid w:val="710D0440"/>
    <w:rsid w:val="71C5585F"/>
    <w:rsid w:val="720E79AF"/>
    <w:rsid w:val="73A1381E"/>
    <w:rsid w:val="7459468D"/>
    <w:rsid w:val="749131D7"/>
    <w:rsid w:val="756F240E"/>
    <w:rsid w:val="759D3BC6"/>
    <w:rsid w:val="779817DA"/>
    <w:rsid w:val="77D476E8"/>
    <w:rsid w:val="782A7918"/>
    <w:rsid w:val="79715756"/>
    <w:rsid w:val="7A500C84"/>
    <w:rsid w:val="7A7B08FF"/>
    <w:rsid w:val="7AE21E9E"/>
    <w:rsid w:val="7B027F4F"/>
    <w:rsid w:val="7B09318D"/>
    <w:rsid w:val="7B5F5943"/>
    <w:rsid w:val="7B6004E6"/>
    <w:rsid w:val="7BE14791"/>
    <w:rsid w:val="7C4C470C"/>
    <w:rsid w:val="7CD03426"/>
    <w:rsid w:val="7DDA7768"/>
    <w:rsid w:val="7DFA5FDE"/>
    <w:rsid w:val="7E0B3994"/>
    <w:rsid w:val="7ED236BD"/>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5"/>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qFormat/>
    <w:uiPriority w:val="1"/>
    <w:pPr>
      <w:spacing w:after="120" w:afterLines="0"/>
    </w:pPr>
  </w:style>
  <w:style w:type="paragraph" w:styleId="5">
    <w:name w:val="Body Text Indent"/>
    <w:basedOn w:val="1"/>
    <w:qFormat/>
    <w:uiPriority w:val="0"/>
    <w:pPr>
      <w:spacing w:line="480" w:lineRule="auto"/>
      <w:ind w:firstLine="600"/>
    </w:pPr>
    <w:rPr>
      <w:sz w:val="28"/>
    </w:rPr>
  </w:style>
  <w:style w:type="paragraph" w:styleId="6">
    <w:name w:val="Balloon Text"/>
    <w:basedOn w:val="1"/>
    <w:link w:val="24"/>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jc w:val="left"/>
    </w:pPr>
    <w:rPr>
      <w:b/>
      <w:caps/>
    </w:rPr>
  </w:style>
  <w:style w:type="paragraph" w:styleId="10">
    <w:name w:val="Title"/>
    <w:basedOn w:val="1"/>
    <w:qFormat/>
    <w:uiPriority w:val="0"/>
    <w:pPr>
      <w:widowControl/>
      <w:overflowPunct w:val="0"/>
      <w:autoSpaceDE w:val="0"/>
      <w:autoSpaceDN w:val="0"/>
      <w:adjustRightInd w:val="0"/>
      <w:jc w:val="center"/>
      <w:textAlignment w:val="baseline"/>
    </w:pPr>
    <w:rPr>
      <w:b/>
      <w:kern w:val="0"/>
      <w:sz w:val="44"/>
      <w:lang w:val="en-GB"/>
    </w:rPr>
  </w:style>
  <w:style w:type="paragraph" w:styleId="11">
    <w:name w:val="Body Text First Indent"/>
    <w:basedOn w:val="4"/>
    <w:next w:val="1"/>
    <w:qFormat/>
    <w:uiPriority w:val="99"/>
    <w:pPr>
      <w:widowControl/>
      <w:spacing w:after="120" w:afterLines="0" w:line="240" w:lineRule="auto"/>
      <w:ind w:firstLine="420" w:firstLineChars="100"/>
      <w:jc w:val="left"/>
    </w:pPr>
    <w:rPr>
      <w:rFonts w:ascii="Times New Roman" w:eastAsia="宋体"/>
      <w:kern w:val="0"/>
      <w:sz w:val="21"/>
    </w:rPr>
  </w:style>
  <w:style w:type="paragraph" w:styleId="12">
    <w:name w:val="Body Text First Indent 2"/>
    <w:basedOn w:val="5"/>
    <w:qFormat/>
    <w:uiPriority w:val="0"/>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Hyperlink"/>
    <w:qFormat/>
    <w:uiPriority w:val="99"/>
    <w:rPr>
      <w:color w:val="0000FF"/>
      <w:u w:val="single"/>
    </w:rPr>
  </w:style>
  <w:style w:type="character" w:styleId="18">
    <w:name w:val="annotation reference"/>
    <w:basedOn w:val="15"/>
    <w:qFormat/>
    <w:uiPriority w:val="0"/>
    <w:rPr>
      <w:sz w:val="21"/>
      <w:szCs w:val="21"/>
    </w:rPr>
  </w:style>
  <w:style w:type="paragraph" w:customStyle="1" w:styleId="19">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20">
    <w:name w:val="标题 1 Char Char"/>
    <w:qFormat/>
    <w:uiPriority w:val="0"/>
    <w:rPr>
      <w:rFonts w:eastAsia="宋体"/>
      <w:b/>
      <w:spacing w:val="-2"/>
      <w:sz w:val="24"/>
      <w:lang w:val="en-US" w:eastAsia="zh-CN"/>
    </w:rPr>
  </w:style>
  <w:style w:type="paragraph" w:customStyle="1" w:styleId="21">
    <w:name w:val="一、标题"/>
    <w:basedOn w:val="1"/>
    <w:qFormat/>
    <w:uiPriority w:val="0"/>
    <w:rPr>
      <w:b/>
      <w:sz w:val="28"/>
    </w:rPr>
  </w:style>
  <w:style w:type="paragraph" w:styleId="22">
    <w:name w:val="List Paragraph"/>
    <w:basedOn w:val="1"/>
    <w:qFormat/>
    <w:uiPriority w:val="34"/>
    <w:pPr>
      <w:ind w:firstLine="420" w:firstLineChars="200"/>
    </w:pPr>
  </w:style>
  <w:style w:type="character" w:customStyle="1" w:styleId="23">
    <w:name w:val="页眉 Char"/>
    <w:basedOn w:val="15"/>
    <w:link w:val="8"/>
    <w:qFormat/>
    <w:uiPriority w:val="0"/>
    <w:rPr>
      <w:kern w:val="2"/>
      <w:sz w:val="18"/>
      <w:szCs w:val="18"/>
    </w:rPr>
  </w:style>
  <w:style w:type="character" w:customStyle="1" w:styleId="24">
    <w:name w:val="批注框文本 Char"/>
    <w:basedOn w:val="15"/>
    <w:link w:val="6"/>
    <w:qFormat/>
    <w:uiPriority w:val="0"/>
    <w:rPr>
      <w:kern w:val="2"/>
      <w:sz w:val="18"/>
      <w:szCs w:val="18"/>
    </w:rPr>
  </w:style>
  <w:style w:type="character" w:customStyle="1" w:styleId="25">
    <w:name w:val="font31"/>
    <w:basedOn w:val="15"/>
    <w:qFormat/>
    <w:uiPriority w:val="0"/>
    <w:rPr>
      <w:rFonts w:hint="eastAsia" w:ascii="宋体" w:hAnsi="宋体" w:eastAsia="宋体" w:cs="宋体"/>
      <w:color w:val="000000"/>
      <w:sz w:val="22"/>
      <w:szCs w:val="22"/>
      <w:u w:val="none"/>
    </w:rPr>
  </w:style>
  <w:style w:type="character" w:customStyle="1" w:styleId="26">
    <w:name w:val="font51"/>
    <w:basedOn w:val="15"/>
    <w:qFormat/>
    <w:uiPriority w:val="0"/>
    <w:rPr>
      <w:rFonts w:hint="default" w:ascii="Times New Roman" w:hAnsi="Times New Roman" w:cs="Times New Roman"/>
      <w:color w:val="000000"/>
      <w:sz w:val="22"/>
      <w:szCs w:val="22"/>
      <w:u w:val="none"/>
    </w:rPr>
  </w:style>
  <w:style w:type="character" w:customStyle="1" w:styleId="27">
    <w:name w:val="font41"/>
    <w:basedOn w:val="15"/>
    <w:qFormat/>
    <w:uiPriority w:val="0"/>
    <w:rPr>
      <w:rFonts w:ascii="仿宋_GB2312" w:eastAsia="仿宋_GB2312" w:cs="仿宋_GB2312"/>
      <w:color w:val="000000"/>
      <w:sz w:val="22"/>
      <w:szCs w:val="22"/>
      <w:u w:val="none"/>
    </w:rPr>
  </w:style>
  <w:style w:type="character" w:customStyle="1" w:styleId="28">
    <w:name w:val="font21"/>
    <w:basedOn w:val="15"/>
    <w:qFormat/>
    <w:uiPriority w:val="0"/>
    <w:rPr>
      <w:rFonts w:hint="eastAsia" w:ascii="宋体" w:hAnsi="宋体" w:eastAsia="宋体" w:cs="宋体"/>
      <w:color w:val="000000"/>
      <w:sz w:val="22"/>
      <w:szCs w:val="22"/>
      <w:u w:val="none"/>
      <w:vertAlign w:val="superscript"/>
    </w:rPr>
  </w:style>
  <w:style w:type="character" w:customStyle="1" w:styleId="29">
    <w:name w:val="font01"/>
    <w:basedOn w:val="15"/>
    <w:qFormat/>
    <w:uiPriority w:val="0"/>
    <w:rPr>
      <w:rFonts w:hint="eastAsia" w:ascii="宋体" w:hAnsi="宋体" w:eastAsia="宋体" w:cs="宋体"/>
      <w:color w:val="000000"/>
      <w:sz w:val="22"/>
      <w:szCs w:val="22"/>
      <w:u w:val="none"/>
    </w:rPr>
  </w:style>
  <w:style w:type="character" w:customStyle="1" w:styleId="30">
    <w:name w:val="font11"/>
    <w:basedOn w:val="15"/>
    <w:qFormat/>
    <w:uiPriority w:val="0"/>
    <w:rPr>
      <w:rFonts w:hint="eastAsia" w:ascii="宋体" w:hAnsi="宋体" w:eastAsia="宋体" w:cs="宋体"/>
      <w:color w:val="000000"/>
      <w:sz w:val="24"/>
      <w:szCs w:val="24"/>
      <w:u w:val="none"/>
    </w:rPr>
  </w:style>
  <w:style w:type="paragraph" w:customStyle="1" w:styleId="31">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2">
    <w:name w:val="font81"/>
    <w:basedOn w:val="15"/>
    <w:qFormat/>
    <w:uiPriority w:val="0"/>
    <w:rPr>
      <w:rFonts w:ascii="宋体" w:hAnsi="宋体" w:eastAsia="宋体" w:cs="宋体"/>
      <w:color w:val="000000"/>
      <w:sz w:val="20"/>
      <w:szCs w:val="20"/>
      <w:u w:val="none"/>
    </w:rPr>
  </w:style>
  <w:style w:type="character" w:customStyle="1" w:styleId="33">
    <w:name w:val="font71"/>
    <w:basedOn w:val="15"/>
    <w:qFormat/>
    <w:uiPriority w:val="0"/>
    <w:rPr>
      <w:rFonts w:hint="eastAsia" w:ascii="仿宋" w:hAnsi="仿宋" w:eastAsia="仿宋" w:cs="仿宋"/>
      <w:color w:val="000000"/>
      <w:sz w:val="22"/>
      <w:szCs w:val="22"/>
      <w:u w:val="none"/>
    </w:rPr>
  </w:style>
  <w:style w:type="paragraph" w:customStyle="1" w:styleId="34">
    <w:name w:val="样式1"/>
    <w:basedOn w:val="1"/>
    <w:qFormat/>
    <w:uiPriority w:val="0"/>
    <w:pPr>
      <w:spacing w:line="240" w:lineRule="exact"/>
    </w:pPr>
    <w:rPr>
      <w:rFonts w:ascii="宋体" w:hAnsi="宋体" w:eastAsia="宋体"/>
      <w:sz w:val="24"/>
      <w:szCs w:val="24"/>
    </w:rPr>
  </w:style>
  <w:style w:type="character" w:customStyle="1" w:styleId="35">
    <w:name w:val="标题 1 Char"/>
    <w:link w:val="2"/>
    <w:qFormat/>
    <w:uiPriority w:val="0"/>
    <w:rPr>
      <w:rFonts w:ascii="宋体" w:hAnsi="Arial" w:eastAsia="黑体"/>
      <w:b/>
      <w:color w:val="000000"/>
      <w:kern w:val="44"/>
      <w:sz w:val="36"/>
    </w:rPr>
  </w:style>
  <w:style w:type="paragraph" w:customStyle="1" w:styleId="36">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24</Pages>
  <Words>8903</Words>
  <Characters>9254</Characters>
  <Lines>53</Lines>
  <Paragraphs>15</Paragraphs>
  <TotalTime>9</TotalTime>
  <ScaleCrop>false</ScaleCrop>
  <LinksUpToDate>false</LinksUpToDate>
  <CharactersWithSpaces>10494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Léon</cp:lastModifiedBy>
  <cp:lastPrinted>2025-06-16T02:26:00Z</cp:lastPrinted>
  <dcterms:modified xsi:type="dcterms:W3CDTF">2026-01-09T07:33:52Z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447FE70828B143ABA86379EC60FE27D1_13</vt:lpwstr>
  </property>
  <property fmtid="{D5CDD505-2E9C-101B-9397-08002B2CF9AE}" pid="4" name="KSOTemplateDocerSaveRecord">
    <vt:lpwstr>eyJoZGlkIjoiYzUwZDFhNTA3NTBkYjYwNzBmOWEzNGQxZTA1ZTZlYTEiLCJ1c2VySWQiOiI0MTkyNjk4ODkifQ==</vt:lpwstr>
  </property>
</Properties>
</file>