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2024年度垃圾成分检测项目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SX-ZH-JC-2402012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2024年度垃圾成分检测项目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eastAsia="zh-CN"/>
        </w:rPr>
        <w:t>三</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w:t>
      </w:r>
      <w:r>
        <w:rPr>
          <w:rFonts w:hint="eastAsia" w:ascii="仿宋" w:hAnsi="仿宋" w:eastAsia="仿宋" w:cs="仿宋"/>
          <w:sz w:val="30"/>
          <w:szCs w:val="30"/>
          <w:lang w:val="en-US" w:eastAsia="zh-CN"/>
        </w:rPr>
        <w:t>对2024年度垃圾成分检测项目进行挂网招标</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SX-ZH-JC-2402012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2.检测项目：含水率、热值、工业分析（分析水分、灰分、挥发分、固定碳）、发热量、全硫、碳、氢、氮、氧、氯、物理组分；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rPr>
      </w:pPr>
      <w:r>
        <w:rPr>
          <w:rFonts w:hint="eastAsia" w:ascii="仿宋" w:hAnsi="仿宋" w:eastAsia="仿宋" w:cs="仿宋"/>
          <w:sz w:val="30"/>
          <w:szCs w:val="30"/>
          <w:lang w:val="en-US" w:eastAsia="zh-CN"/>
        </w:rPr>
        <w:t>3.检测依据：GB/T 212-2008、GB/T 211-2017、GB/T 213-2008、GB/T 214-2007、GB/T 476-2008、GB/T 19227-2008、GB/T 3558-2014、GB/T 4633-2014、</w:t>
      </w:r>
      <w:r>
        <w:rPr>
          <w:rFonts w:hint="eastAsia" w:ascii="仿宋" w:hAnsi="仿宋" w:eastAsia="仿宋" w:cs="仿宋"/>
          <w:sz w:val="30"/>
          <w:szCs w:val="30"/>
          <w:lang w:eastAsia="zh-CN"/>
        </w:rPr>
        <w:t>CJ/T 313-2009</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rPr>
        <w:t>3.本项目采购</w:t>
      </w:r>
      <w:r>
        <w:rPr>
          <w:rFonts w:hint="eastAsia" w:ascii="仿宋" w:hAnsi="仿宋" w:eastAsia="仿宋" w:cs="仿宋"/>
          <w:sz w:val="30"/>
          <w:szCs w:val="30"/>
          <w:lang w:val="en-US" w:eastAsia="zh-CN"/>
        </w:rPr>
        <w:t>单价</w:t>
      </w:r>
      <w:r>
        <w:rPr>
          <w:rFonts w:hint="eastAsia" w:ascii="仿宋" w:hAnsi="仿宋" w:eastAsia="仿宋" w:cs="仿宋"/>
          <w:sz w:val="30"/>
          <w:szCs w:val="30"/>
        </w:rPr>
        <w:t>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肆仟伍佰</w:t>
      </w:r>
      <w:r>
        <w:rPr>
          <w:rFonts w:hint="eastAsia" w:ascii="仿宋" w:hAnsi="仿宋" w:eastAsia="仿宋" w:cs="仿宋"/>
          <w:sz w:val="30"/>
          <w:szCs w:val="30"/>
        </w:rPr>
        <w:t>元</w:t>
      </w:r>
      <w:r>
        <w:rPr>
          <w:rFonts w:hint="eastAsia" w:ascii="仿宋" w:hAnsi="仿宋" w:eastAsia="仿宋" w:cs="仿宋"/>
          <w:sz w:val="30"/>
          <w:szCs w:val="30"/>
          <w:lang w:val="en-US" w:eastAsia="zh-CN"/>
        </w:rPr>
        <w:t>整</w:t>
      </w:r>
      <w:r>
        <w:rPr>
          <w:rFonts w:hint="eastAsia" w:ascii="仿宋" w:hAnsi="仿宋" w:eastAsia="仿宋" w:cs="仿宋"/>
          <w:sz w:val="30"/>
          <w:szCs w:val="30"/>
        </w:rPr>
        <w:t>。</w:t>
      </w:r>
      <w:r>
        <w:rPr>
          <w:rFonts w:hint="eastAsia" w:ascii="仿宋" w:hAnsi="仿宋" w:eastAsia="仿宋" w:cs="仿宋"/>
          <w:sz w:val="30"/>
          <w:szCs w:val="30"/>
          <w:lang w:val="en-US" w:eastAsia="zh-CN"/>
        </w:rPr>
        <w:t>采购总价金额限价为叁万元整，超过该金额则合同自动终止。</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4月1</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3月25</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bookmarkStart w:id="16" w:name="_GoBack"/>
      <w:bookmarkEnd w:id="16"/>
      <w:r>
        <w:rPr>
          <w:rFonts w:hint="eastAsia" w:ascii="仿宋_GB2312" w:eastAsia="仿宋_GB2312"/>
          <w:sz w:val="30"/>
          <w:szCs w:val="30"/>
        </w:rPr>
        <w:br w:type="page"/>
      </w:r>
      <w:bookmarkStart w:id="8" w:name="_Toc530583879"/>
      <w:bookmarkStart w:id="9" w:name="_Toc23057"/>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.有效资质证明并加盖公章：通过年检的营业执照复印件</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相关检测资质</w:t>
      </w:r>
      <w:r>
        <w:rPr>
          <w:rFonts w:hint="eastAsia" w:ascii="仿宋_GB2312" w:hAnsi="宋体" w:eastAsia="仿宋_GB2312"/>
          <w:sz w:val="30"/>
          <w:szCs w:val="30"/>
        </w:rPr>
        <w:t>。报价文件装订密封，并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w:t>
      </w:r>
      <w:r>
        <w:rPr>
          <w:rFonts w:hint="eastAsia" w:ascii="仿宋" w:hAnsi="仿宋" w:eastAsia="仿宋" w:cs="仿宋"/>
          <w:color w:val="auto"/>
          <w:kern w:val="2"/>
          <w:sz w:val="30"/>
          <w:szCs w:val="30"/>
          <w:lang w:val="en-US" w:eastAsia="zh-CN"/>
        </w:rPr>
        <w:t>服务器</w:t>
      </w:r>
      <w:r>
        <w:rPr>
          <w:rFonts w:hint="eastAsia" w:ascii="仿宋" w:hAnsi="仿宋" w:eastAsia="仿宋" w:cs="仿宋"/>
          <w:color w:val="auto"/>
          <w:kern w:val="2"/>
          <w:sz w:val="30"/>
          <w:szCs w:val="30"/>
          <w:lang w:eastAsia="zh-CN"/>
        </w:rPr>
        <w:t>为一年，</w:t>
      </w:r>
      <w:r>
        <w:rPr>
          <w:rFonts w:hint="eastAsia" w:ascii="仿宋" w:hAnsi="仿宋" w:eastAsia="仿宋" w:cs="仿宋"/>
          <w:color w:val="auto"/>
          <w:kern w:val="2"/>
          <w:sz w:val="30"/>
          <w:szCs w:val="30"/>
        </w:rPr>
        <w:t>根据采购人实际需要，分批次</w:t>
      </w:r>
      <w:r>
        <w:rPr>
          <w:rFonts w:hint="eastAsia" w:ascii="仿宋" w:hAnsi="仿宋" w:eastAsia="仿宋" w:cs="仿宋"/>
          <w:color w:val="auto"/>
          <w:kern w:val="2"/>
          <w:sz w:val="30"/>
          <w:szCs w:val="30"/>
          <w:lang w:val="en-US" w:eastAsia="zh-CN"/>
        </w:rPr>
        <w:t>进行检测</w:t>
      </w: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w:t>
      </w:r>
      <w:r>
        <w:rPr>
          <w:rFonts w:hint="eastAsia" w:ascii="仿宋" w:hAnsi="仿宋" w:eastAsia="仿宋" w:cs="仿宋"/>
          <w:color w:val="auto"/>
          <w:kern w:val="2"/>
          <w:sz w:val="30"/>
          <w:szCs w:val="30"/>
          <w:lang w:val="en-US" w:eastAsia="zh-CN"/>
        </w:rPr>
        <w:t>检测报告</w:t>
      </w:r>
      <w:r>
        <w:rPr>
          <w:rFonts w:hint="eastAsia" w:ascii="仿宋" w:hAnsi="仿宋" w:eastAsia="仿宋" w:cs="仿宋"/>
          <w:color w:val="auto"/>
          <w:kern w:val="2"/>
          <w:sz w:val="30"/>
          <w:szCs w:val="30"/>
        </w:rPr>
        <w:t>送至采购人</w:t>
      </w:r>
      <w:r>
        <w:rPr>
          <w:rFonts w:hint="eastAsia" w:ascii="仿宋" w:hAnsi="仿宋" w:eastAsia="仿宋" w:cs="仿宋"/>
          <w:color w:val="auto"/>
          <w:kern w:val="2"/>
          <w:sz w:val="30"/>
          <w:szCs w:val="30"/>
          <w:lang w:val="en-US" w:eastAsia="zh-CN"/>
        </w:rPr>
        <w:t>处</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sz w:val="30"/>
          <w:szCs w:val="30"/>
          <w:lang w:val="en-US" w:eastAsia="zh-CN"/>
        </w:rPr>
        <w:t>每次检测完成后，</w:t>
      </w:r>
      <w:r>
        <w:rPr>
          <w:rFonts w:hint="eastAsia" w:ascii="仿宋" w:hAnsi="仿宋" w:eastAsia="仿宋" w:cs="仿宋"/>
          <w:color w:val="auto"/>
          <w:kern w:val="2"/>
          <w:sz w:val="30"/>
          <w:szCs w:val="30"/>
          <w:lang w:val="en-US" w:eastAsia="zh-CN"/>
        </w:rPr>
        <w:t>检测方</w:t>
      </w:r>
      <w:r>
        <w:rPr>
          <w:rFonts w:hint="eastAsia" w:ascii="仿宋" w:hAnsi="仿宋" w:eastAsia="仿宋" w:cs="仿宋"/>
          <w:color w:val="auto"/>
          <w:kern w:val="2"/>
          <w:sz w:val="30"/>
          <w:szCs w:val="30"/>
        </w:rPr>
        <w:t>提供经双方确认的</w:t>
      </w:r>
      <w:r>
        <w:rPr>
          <w:rFonts w:hint="eastAsia" w:ascii="仿宋" w:hAnsi="仿宋" w:eastAsia="仿宋" w:cs="仿宋"/>
          <w:color w:val="auto"/>
          <w:kern w:val="2"/>
          <w:sz w:val="30"/>
          <w:szCs w:val="30"/>
          <w:lang w:val="en-US" w:eastAsia="zh-CN"/>
        </w:rPr>
        <w:t>检测报告</w:t>
      </w:r>
      <w:r>
        <w:rPr>
          <w:rFonts w:hint="eastAsia" w:ascii="仿宋" w:hAnsi="仿宋" w:eastAsia="仿宋" w:cs="仿宋"/>
          <w:color w:val="auto"/>
          <w:kern w:val="2"/>
          <w:sz w:val="30"/>
          <w:szCs w:val="30"/>
        </w:rPr>
        <w:t>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方正仿宋_GBK" w:hAnsi="方正仿宋_GBK" w:eastAsia="方正仿宋_GBK" w:cs="方正仿宋_GBK"/>
          <w:sz w:val="28"/>
          <w:szCs w:val="28"/>
        </w:rPr>
      </w:pPr>
      <w:bookmarkStart w:id="12" w:name="_Toc530583924"/>
      <w:r>
        <w:rPr>
          <w:rFonts w:hint="eastAsia" w:ascii="仿宋" w:hAnsi="仿宋" w:eastAsia="仿宋" w:cs="仿宋"/>
          <w:snapToGrid w:val="0"/>
          <w:sz w:val="30"/>
          <w:szCs w:val="30"/>
        </w:rPr>
        <w:br w:type="page"/>
      </w:r>
    </w:p>
    <w:p>
      <w:pPr>
        <w:pStyle w:val="4"/>
        <w:numPr>
          <w:ilvl w:val="0"/>
          <w:numId w:val="0"/>
        </w:numPr>
        <w:jc w:val="center"/>
        <w:rPr>
          <w:rFonts w:hint="eastAsia" w:ascii="仿宋" w:hAnsi="仿宋" w:eastAsia="仿宋" w:cs="仿宋"/>
          <w:snapToGrid w:val="0"/>
          <w:sz w:val="44"/>
          <w:szCs w:val="44"/>
        </w:rPr>
      </w:pPr>
      <w:bookmarkStart w:id="13"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val="en-US" w:eastAsia="zh-CN"/>
        </w:rPr>
        <w:t>四</w:t>
      </w:r>
      <w:r>
        <w:rPr>
          <w:rFonts w:hint="eastAsia" w:ascii="仿宋" w:hAnsi="仿宋" w:eastAsia="仿宋" w:cs="仿宋"/>
          <w:snapToGrid w:val="0"/>
          <w:sz w:val="44"/>
          <w:szCs w:val="44"/>
        </w:rPr>
        <w:t>部分    报价文件格式</w:t>
      </w:r>
      <w:bookmarkEnd w:id="12"/>
      <w:bookmarkEnd w:id="13"/>
    </w:p>
    <w:p>
      <w:pPr>
        <w:jc w:val="left"/>
        <w:outlineLvl w:val="0"/>
        <w:rPr>
          <w:rStyle w:val="20"/>
          <w:rFonts w:hint="eastAsia" w:ascii="仿宋" w:hAnsi="仿宋" w:eastAsia="仿宋" w:cs="仿宋"/>
          <w:sz w:val="30"/>
        </w:rPr>
      </w:pPr>
      <w:bookmarkStart w:id="14" w:name="_Toc22901"/>
      <w:r>
        <w:rPr>
          <w:rStyle w:val="20"/>
          <w:rFonts w:hint="eastAsia" w:ascii="仿宋" w:hAnsi="仿宋" w:eastAsia="仿宋" w:cs="仿宋"/>
          <w:sz w:val="30"/>
        </w:rPr>
        <w:t>附件一：</w:t>
      </w:r>
      <w:bookmarkEnd w:id="14"/>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2024年度垃圾成分检测</w:t>
      </w:r>
      <w:r>
        <w:rPr>
          <w:rFonts w:hint="eastAsia" w:ascii="仿宋" w:hAnsi="仿宋" w:eastAsia="仿宋" w:cs="仿宋"/>
          <w:sz w:val="52"/>
        </w:rPr>
        <w:t>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SX-ZH-JC-2402012</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5" w:name="_Toc20355"/>
      <w:r>
        <w:rPr>
          <w:rStyle w:val="20"/>
          <w:rFonts w:hint="eastAsia" w:ascii="仿宋" w:hAnsi="仿宋" w:eastAsia="仿宋" w:cs="仿宋"/>
          <w:sz w:val="30"/>
        </w:rPr>
        <w:t>附件二</w:t>
      </w:r>
      <w:bookmarkEnd w:id="15"/>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绍兴市再生能源发展有限公司2024年度垃圾成分检测</w:t>
      </w:r>
      <w:r>
        <w:rPr>
          <w:rFonts w:hint="eastAsia" w:ascii="仿宋" w:hAnsi="仿宋" w:eastAsia="仿宋" w:cs="仿宋"/>
          <w:sz w:val="30"/>
          <w:szCs w:val="30"/>
          <w:u w:val="none"/>
          <w:lang w:val="en-US" w:eastAsia="zh-CN"/>
        </w:rPr>
        <w:t>项目。</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检测项目：含水率、热值、工业分析（分析水分、灰分、挥发分、固定碳）、发热量、全硫、碳、氢、氮、氧、氯、物理组分；</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检测依据：GB/T 212-2008、GB/T 211-2017、GB/T 213-2008、GB/T 214-2007、GB/T 476-2008、GB/T 19227-2008、GB/T 3558-2014、GB/T 4633-2014、</w:t>
      </w:r>
      <w:r>
        <w:rPr>
          <w:rFonts w:hint="eastAsia" w:ascii="仿宋" w:hAnsi="仿宋" w:eastAsia="仿宋" w:cs="仿宋"/>
          <w:sz w:val="30"/>
          <w:szCs w:val="30"/>
          <w:lang w:eastAsia="zh-CN"/>
        </w:rPr>
        <w:t>CJ/T 313-2009</w:t>
      </w:r>
    </w:p>
    <w:p>
      <w:pPr>
        <w:pStyle w:val="2"/>
        <w:rPr>
          <w:rFonts w:hint="default" w:ascii="仿宋" w:hAnsi="仿宋" w:eastAsia="仿宋" w:cs="仿宋"/>
          <w:lang w:val="en-US"/>
        </w:rPr>
      </w:pPr>
      <w:r>
        <w:rPr>
          <w:rFonts w:hint="eastAsia" w:ascii="仿宋" w:hAnsi="仿宋" w:eastAsia="仿宋" w:cs="仿宋"/>
          <w:sz w:val="30"/>
          <w:szCs w:val="30"/>
          <w:lang w:val="en-US" w:eastAsia="zh-CN"/>
        </w:rPr>
        <w:t>3、采购上限单价为单次单样人民币肆仟伍佰元整。</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val="en-US" w:eastAsia="zh-CN"/>
        </w:rPr>
        <w:t>单次单样</w:t>
      </w:r>
      <w:r>
        <w:rPr>
          <w:rFonts w:hint="eastAsia" w:ascii="仿宋" w:hAnsi="仿宋" w:eastAsia="仿宋" w:cs="仿宋"/>
          <w:sz w:val="30"/>
          <w:szCs w:val="30"/>
          <w:lang w:eastAsia="zh-CN"/>
        </w:rPr>
        <w:t>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sz w:val="30"/>
          <w:szCs w:val="30"/>
          <w:lang w:val="en-US" w:eastAsia="zh-CN"/>
        </w:rPr>
        <w:t>每次检测完成后，</w:t>
      </w:r>
      <w:r>
        <w:rPr>
          <w:rFonts w:hint="eastAsia" w:ascii="仿宋" w:hAnsi="仿宋" w:eastAsia="仿宋" w:cs="仿宋"/>
          <w:color w:val="auto"/>
          <w:kern w:val="2"/>
          <w:sz w:val="30"/>
          <w:szCs w:val="30"/>
          <w:lang w:val="en-US" w:eastAsia="zh-CN"/>
        </w:rPr>
        <w:t>检测方</w:t>
      </w:r>
      <w:r>
        <w:rPr>
          <w:rFonts w:hint="eastAsia" w:ascii="仿宋" w:hAnsi="仿宋" w:eastAsia="仿宋" w:cs="仿宋"/>
          <w:color w:val="auto"/>
          <w:kern w:val="2"/>
          <w:sz w:val="30"/>
          <w:szCs w:val="30"/>
        </w:rPr>
        <w:t>提供经双方确认的</w:t>
      </w:r>
      <w:r>
        <w:rPr>
          <w:rFonts w:hint="eastAsia" w:ascii="仿宋" w:hAnsi="仿宋" w:eastAsia="仿宋" w:cs="仿宋"/>
          <w:color w:val="auto"/>
          <w:kern w:val="2"/>
          <w:sz w:val="30"/>
          <w:szCs w:val="30"/>
          <w:lang w:val="en-US" w:eastAsia="zh-CN"/>
        </w:rPr>
        <w:t>检测报告</w:t>
      </w:r>
      <w:r>
        <w:rPr>
          <w:rFonts w:hint="eastAsia" w:ascii="仿宋" w:hAnsi="仿宋" w:eastAsia="仿宋" w:cs="仿宋"/>
          <w:color w:val="auto"/>
          <w:kern w:val="2"/>
          <w:sz w:val="30"/>
          <w:szCs w:val="30"/>
        </w:rPr>
        <w:t>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w:t>
      </w:r>
      <w:r>
        <w:rPr>
          <w:rFonts w:hint="eastAsia" w:ascii="仿宋" w:hAnsi="仿宋" w:eastAsia="仿宋" w:cs="仿宋"/>
          <w:sz w:val="30"/>
          <w:szCs w:val="30"/>
          <w:lang w:val="en-US" w:eastAsia="zh-CN"/>
        </w:rPr>
        <w:t>单价</w:t>
      </w:r>
      <w:r>
        <w:rPr>
          <w:rFonts w:hint="eastAsia" w:ascii="仿宋" w:hAnsi="仿宋" w:eastAsia="仿宋" w:cs="仿宋"/>
          <w:sz w:val="30"/>
          <w:szCs w:val="30"/>
        </w:rPr>
        <w:t>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肆仟伍佰</w:t>
      </w:r>
      <w:r>
        <w:rPr>
          <w:rFonts w:hint="eastAsia" w:ascii="仿宋" w:hAnsi="仿宋" w:eastAsia="仿宋" w:cs="仿宋"/>
          <w:sz w:val="30"/>
          <w:szCs w:val="30"/>
        </w:rPr>
        <w:t>元</w:t>
      </w:r>
      <w:r>
        <w:rPr>
          <w:rFonts w:hint="eastAsia" w:ascii="仿宋" w:hAnsi="仿宋" w:eastAsia="仿宋" w:cs="仿宋"/>
          <w:sz w:val="30"/>
          <w:szCs w:val="30"/>
          <w:lang w:val="en-US" w:eastAsia="zh-CN"/>
        </w:rPr>
        <w:t>整</w:t>
      </w:r>
      <w:r>
        <w:rPr>
          <w:rFonts w:hint="eastAsia" w:ascii="仿宋" w:hAnsi="仿宋" w:eastAsia="仿宋" w:cs="仿宋"/>
          <w:sz w:val="30"/>
          <w:szCs w:val="30"/>
        </w:rPr>
        <w:t>。</w:t>
      </w:r>
      <w:r>
        <w:rPr>
          <w:rFonts w:hint="eastAsia" w:ascii="仿宋" w:hAnsi="仿宋" w:eastAsia="仿宋" w:cs="仿宋"/>
          <w:sz w:val="30"/>
          <w:szCs w:val="30"/>
          <w:lang w:val="en-US" w:eastAsia="zh-CN"/>
        </w:rPr>
        <w:t>采购总价金额限价为叁万元整，超过该金额则合同自动终止</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2、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3、以上总价应为含税全包价，包括运费、税费等一切费用，发票必须为增值税专用发票。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lang w:val="en-US" w:eastAsia="zh-CN"/>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w:t>
      </w:r>
      <w:r>
        <w:rPr>
          <w:rFonts w:hint="eastAsia" w:ascii="仿宋" w:hAnsi="仿宋" w:eastAsia="仿宋" w:cs="仿宋"/>
          <w:sz w:val="24"/>
          <w:szCs w:val="24"/>
          <w:lang w:val="en-US" w:eastAsia="zh-CN"/>
        </w:rPr>
        <w:t>日</w:t>
      </w: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ADD0A"/>
    <w:multiLevelType w:val="singleLevel"/>
    <w:tmpl w:val="8ACADD0A"/>
    <w:lvl w:ilvl="0" w:tentative="0">
      <w:start w:val="1"/>
      <w:numFmt w:val="decimal"/>
      <w:suff w:val="nothing"/>
      <w:lvlText w:val="%1、"/>
      <w:lvlJc w:val="left"/>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4CC8527C"/>
    <w:multiLevelType w:val="singleLevel"/>
    <w:tmpl w:val="4CC8527C"/>
    <w:lvl w:ilvl="0" w:tentative="0">
      <w:start w:val="6"/>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37EC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686B9C"/>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2D04C01"/>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70031"/>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233E23"/>
    <w:rsid w:val="49E7480F"/>
    <w:rsid w:val="4AF173EE"/>
    <w:rsid w:val="4C2F1B9C"/>
    <w:rsid w:val="4C870D35"/>
    <w:rsid w:val="4C9040D9"/>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1</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2024-03-25T02:01:59Z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