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17183"/>
      <w:r>
        <w:rPr>
          <w:rFonts w:hint="eastAsia" w:ascii="仿宋_GB2312" w:hAnsi="宋体" w:eastAsia="仿宋_GB2312"/>
          <w:b/>
          <w:sz w:val="52"/>
          <w:szCs w:val="52"/>
          <w:lang w:eastAsia="zh-CN"/>
        </w:rPr>
        <w:t>绍兴市再生能源发展有限公司</w:t>
      </w:r>
      <w:bookmarkEnd w:id="0"/>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危废处置项目挂网询价</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ZSNY2310011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危废处置项目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_Toc17183 </w:instrText>
      </w:r>
      <w:r>
        <w:rPr>
          <w:rFonts w:hint="eastAsia" w:ascii="仿宋" w:hAnsi="仿宋" w:eastAsia="仿宋" w:cs="仿宋"/>
          <w:bCs/>
          <w:szCs w:val="28"/>
        </w:rPr>
        <w:fldChar w:fldCharType="separate"/>
      </w:r>
      <w:r>
        <w:rPr>
          <w:rFonts w:hint="eastAsia" w:ascii="仿宋_GB2312" w:hAnsi="宋体" w:eastAsia="仿宋_GB2312"/>
          <w:szCs w:val="52"/>
          <w:lang w:eastAsia="zh-CN"/>
        </w:rPr>
        <w:t>绍兴市再生能源发展有限公司</w:t>
      </w:r>
      <w:r>
        <w:tab/>
      </w:r>
      <w:r>
        <w:fldChar w:fldCharType="begin"/>
      </w:r>
      <w:r>
        <w:instrText xml:space="preserve"> PAGEREF _Toc17183 \h </w:instrText>
      </w:r>
      <w:r>
        <w:fldChar w:fldCharType="separate"/>
      </w:r>
      <w:r>
        <w:t>1</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_Toc6825 </w:instrText>
      </w:r>
      <w:r>
        <w:rPr>
          <w:rFonts w:hint="eastAsia" w:ascii="仿宋" w:hAnsi="仿宋" w:eastAsia="仿宋" w:cs="仿宋"/>
          <w:bCs/>
          <w:szCs w:val="28"/>
        </w:rPr>
        <w:fldChar w:fldCharType="separate"/>
      </w:r>
      <w:r>
        <w:rPr>
          <w:rFonts w:hint="eastAsia" w:ascii="仿宋" w:hAnsi="仿宋" w:eastAsia="仿宋" w:cs="仿宋"/>
          <w:snapToGrid w:val="0"/>
          <w:kern w:val="44"/>
          <w:szCs w:val="44"/>
          <w:lang w:val="en-US" w:eastAsia="zh-CN" w:bidi="ar-SA"/>
        </w:rPr>
        <w:t>第一部分   询价公告</w:t>
      </w:r>
      <w:r>
        <w:tab/>
      </w:r>
      <w:r>
        <w:fldChar w:fldCharType="begin"/>
      </w:r>
      <w:r>
        <w:instrText xml:space="preserve"> PAGEREF _Toc6825 \h </w:instrText>
      </w:r>
      <w:r>
        <w:fldChar w:fldCharType="separate"/>
      </w:r>
      <w:r>
        <w:t>3</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_Toc16988 </w:instrText>
      </w:r>
      <w:r>
        <w:rPr>
          <w:rFonts w:hint="eastAsia" w:ascii="仿宋" w:hAnsi="仿宋" w:eastAsia="仿宋" w:cs="仿宋"/>
          <w:bCs/>
          <w:szCs w:val="28"/>
        </w:rPr>
        <w:fldChar w:fldCharType="separate"/>
      </w:r>
      <w:r>
        <w:rPr>
          <w:rFonts w:hint="eastAsia" w:ascii="仿宋" w:hAnsi="仿宋" w:eastAsia="仿宋" w:cs="仿宋"/>
          <w:snapToGrid w:val="0"/>
          <w:kern w:val="44"/>
          <w:szCs w:val="44"/>
          <w:lang w:val="en-US" w:eastAsia="zh-CN" w:bidi="ar-SA"/>
        </w:rPr>
        <w:t>第二部分   采购须知</w:t>
      </w:r>
      <w:r>
        <w:tab/>
      </w:r>
      <w:r>
        <w:fldChar w:fldCharType="begin"/>
      </w:r>
      <w:r>
        <w:instrText xml:space="preserve"> PAGEREF _Toc16988 \h </w:instrText>
      </w:r>
      <w:r>
        <w:fldChar w:fldCharType="separate"/>
      </w:r>
      <w:r>
        <w:t>6</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_Toc11513 </w:instrText>
      </w:r>
      <w:r>
        <w:rPr>
          <w:rFonts w:hint="eastAsia" w:ascii="仿宋" w:hAnsi="仿宋" w:eastAsia="仿宋" w:cs="仿宋"/>
          <w:bCs/>
          <w:szCs w:val="28"/>
        </w:rPr>
        <w:fldChar w:fldCharType="separate"/>
      </w:r>
      <w:r>
        <w:rPr>
          <w:rFonts w:hint="eastAsia" w:ascii="仿宋" w:hAnsi="仿宋" w:eastAsia="仿宋" w:cs="仿宋"/>
          <w:snapToGrid w:val="0"/>
          <w:szCs w:val="44"/>
        </w:rPr>
        <w:t>第三部分   询价内容</w:t>
      </w:r>
      <w:r>
        <w:tab/>
      </w:r>
      <w:r>
        <w:fldChar w:fldCharType="begin"/>
      </w:r>
      <w:r>
        <w:instrText xml:space="preserve"> PAGEREF _Toc11513 \h </w:instrText>
      </w:r>
      <w:r>
        <w:fldChar w:fldCharType="separate"/>
      </w:r>
      <w:r>
        <w:t>10</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_Toc16882 </w:instrText>
      </w:r>
      <w:r>
        <w:rPr>
          <w:rFonts w:hint="eastAsia" w:ascii="仿宋" w:hAnsi="仿宋" w:eastAsia="仿宋" w:cs="仿宋"/>
          <w:bCs/>
          <w:szCs w:val="28"/>
        </w:rPr>
        <w:fldChar w:fldCharType="separate"/>
      </w:r>
      <w:r>
        <w:rPr>
          <w:rFonts w:hint="eastAsia" w:ascii="仿宋" w:hAnsi="仿宋" w:eastAsia="仿宋" w:cs="仿宋"/>
          <w:snapToGrid w:val="0"/>
          <w:szCs w:val="44"/>
          <w:lang w:val="en-US" w:eastAsia="zh-CN"/>
        </w:rPr>
        <w:t>第四部分 合同主要条款（供参考）</w:t>
      </w:r>
      <w:r>
        <w:tab/>
      </w:r>
      <w:r>
        <w:fldChar w:fldCharType="begin"/>
      </w:r>
      <w:r>
        <w:instrText xml:space="preserve"> PAGEREF _Toc16882 \h </w:instrText>
      </w:r>
      <w:r>
        <w:fldChar w:fldCharType="separate"/>
      </w:r>
      <w:r>
        <w:t>11</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_Toc22217 </w:instrText>
      </w:r>
      <w:r>
        <w:rPr>
          <w:rFonts w:hint="eastAsia" w:ascii="仿宋" w:hAnsi="仿宋" w:eastAsia="仿宋" w:cs="仿宋"/>
          <w:bCs/>
          <w:szCs w:val="28"/>
        </w:rPr>
        <w:fldChar w:fldCharType="separate"/>
      </w:r>
      <w:r>
        <w:rPr>
          <w:rFonts w:hint="eastAsia" w:ascii="仿宋" w:hAnsi="仿宋" w:eastAsia="仿宋" w:cs="仿宋"/>
          <w:snapToGrid w:val="0"/>
          <w:szCs w:val="44"/>
        </w:rPr>
        <w:t>第</w:t>
      </w:r>
      <w:r>
        <w:rPr>
          <w:rFonts w:hint="eastAsia" w:ascii="仿宋" w:hAnsi="仿宋" w:eastAsia="仿宋" w:cs="仿宋"/>
          <w:snapToGrid w:val="0"/>
          <w:szCs w:val="44"/>
          <w:lang w:eastAsia="zh-CN"/>
        </w:rPr>
        <w:t>五</w:t>
      </w:r>
      <w:r>
        <w:rPr>
          <w:rFonts w:hint="eastAsia" w:ascii="仿宋" w:hAnsi="仿宋" w:eastAsia="仿宋" w:cs="仿宋"/>
          <w:snapToGrid w:val="0"/>
          <w:szCs w:val="44"/>
        </w:rPr>
        <w:t>部分    报价文件格式</w:t>
      </w:r>
      <w:r>
        <w:tab/>
      </w:r>
      <w:r>
        <w:fldChar w:fldCharType="begin"/>
      </w:r>
      <w:r>
        <w:instrText xml:space="preserve"> PAGEREF _Toc22217 \h </w:instrText>
      </w:r>
      <w:r>
        <w:fldChar w:fldCharType="separate"/>
      </w:r>
      <w:r>
        <w:t>15</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_Toc26217 </w:instrText>
      </w:r>
      <w:r>
        <w:rPr>
          <w:rFonts w:hint="eastAsia" w:ascii="仿宋" w:hAnsi="仿宋" w:eastAsia="仿宋" w:cs="仿宋"/>
          <w:bCs/>
          <w:szCs w:val="28"/>
        </w:rPr>
        <w:fldChar w:fldCharType="separate"/>
      </w:r>
      <w:r>
        <w:rPr>
          <w:rFonts w:hint="eastAsia" w:ascii="仿宋" w:hAnsi="仿宋" w:eastAsia="仿宋" w:cs="仿宋"/>
        </w:rPr>
        <w:t>附件一：</w:t>
      </w:r>
      <w:r>
        <w:tab/>
      </w:r>
      <w:r>
        <w:fldChar w:fldCharType="begin"/>
      </w:r>
      <w:r>
        <w:instrText xml:space="preserve"> PAGEREF _Toc26217 \h </w:instrText>
      </w:r>
      <w:r>
        <w:fldChar w:fldCharType="separate"/>
      </w:r>
      <w:r>
        <w:t>15</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_Toc12490 </w:instrText>
      </w:r>
      <w:r>
        <w:rPr>
          <w:rFonts w:hint="eastAsia" w:ascii="仿宋" w:hAnsi="仿宋" w:eastAsia="仿宋" w:cs="仿宋"/>
          <w:bCs/>
          <w:szCs w:val="28"/>
        </w:rPr>
        <w:fldChar w:fldCharType="separate"/>
      </w:r>
      <w:r>
        <w:rPr>
          <w:rFonts w:hint="eastAsia" w:ascii="仿宋" w:hAnsi="仿宋" w:eastAsia="仿宋" w:cs="仿宋"/>
        </w:rPr>
        <w:t>附件二</w:t>
      </w:r>
      <w:r>
        <w:tab/>
      </w:r>
      <w:r>
        <w:fldChar w:fldCharType="begin"/>
      </w:r>
      <w:r>
        <w:instrText xml:space="preserve"> PAGEREF _Toc12490 \h </w:instrText>
      </w:r>
      <w:r>
        <w:fldChar w:fldCharType="separate"/>
      </w:r>
      <w:r>
        <w:t>16</w:t>
      </w:r>
      <w:r>
        <w:fldChar w:fldCharType="end"/>
      </w:r>
      <w:r>
        <w:rPr>
          <w:rFonts w:hint="eastAsia" w:ascii="仿宋" w:hAnsi="仿宋" w:eastAsia="仿宋" w:cs="仿宋"/>
          <w:bCs/>
          <w:szCs w:val="28"/>
        </w:rPr>
        <w:fldChar w:fldCharType="end"/>
      </w:r>
    </w:p>
    <w:p>
      <w:pPr>
        <w:pStyle w:val="10"/>
        <w:tabs>
          <w:tab w:val="right" w:leader="dot" w:pos="9070"/>
        </w:tabs>
      </w:pPr>
      <w:r>
        <w:rPr>
          <w:rFonts w:hint="eastAsia" w:ascii="仿宋" w:hAnsi="仿宋" w:eastAsia="仿宋" w:cs="仿宋"/>
          <w:bCs/>
          <w:szCs w:val="28"/>
        </w:rPr>
        <w:fldChar w:fldCharType="begin"/>
      </w:r>
      <w:r>
        <w:rPr>
          <w:rFonts w:hint="eastAsia" w:ascii="仿宋" w:hAnsi="仿宋" w:eastAsia="仿宋" w:cs="仿宋"/>
          <w:bCs/>
          <w:szCs w:val="28"/>
        </w:rPr>
        <w:instrText xml:space="preserve"> HYPERLINK \l _Toc31447 </w:instrText>
      </w:r>
      <w:r>
        <w:rPr>
          <w:rFonts w:hint="eastAsia" w:ascii="仿宋" w:hAnsi="仿宋" w:eastAsia="仿宋" w:cs="仿宋"/>
          <w:bCs/>
          <w:szCs w:val="28"/>
        </w:rPr>
        <w:fldChar w:fldCharType="separate"/>
      </w:r>
      <w:r>
        <w:rPr>
          <w:rFonts w:hint="eastAsia" w:ascii="仿宋" w:hAnsi="仿宋" w:eastAsia="仿宋" w:cs="仿宋"/>
        </w:rPr>
        <w:t>附件三</w:t>
      </w:r>
      <w:r>
        <w:rPr>
          <w:rFonts w:hint="eastAsia" w:ascii="仿宋" w:hAnsi="仿宋" w:eastAsia="仿宋" w:cs="仿宋"/>
          <w:lang w:val="en-US"/>
        </w:rPr>
        <w:t xml:space="preserve"> 相关资质（由投标单位自行填写）</w:t>
      </w:r>
      <w:r>
        <w:tab/>
      </w:r>
      <w:r>
        <w:fldChar w:fldCharType="begin"/>
      </w:r>
      <w:r>
        <w:instrText xml:space="preserve"> PAGEREF _Toc31447 \h </w:instrText>
      </w:r>
      <w:r>
        <w:fldChar w:fldCharType="separate"/>
      </w:r>
      <w:r>
        <w:t>18</w:t>
      </w:r>
      <w:r>
        <w:fldChar w:fldCharType="end"/>
      </w:r>
      <w:r>
        <w:rPr>
          <w:rFonts w:hint="eastAsia" w:ascii="仿宋" w:hAnsi="仿宋" w:eastAsia="仿宋" w:cs="仿宋"/>
          <w:bCs/>
          <w:szCs w:val="28"/>
        </w:rPr>
        <w:fldChar w:fldCharType="end"/>
      </w:r>
    </w:p>
    <w:p>
      <w:pPr>
        <w:rPr>
          <w:rFonts w:hint="eastAsia" w:ascii="仿宋" w:hAnsi="仿宋" w:eastAsia="仿宋" w:cs="仿宋"/>
          <w:sz w:val="56"/>
          <w:szCs w:val="32"/>
        </w:rPr>
      </w:pPr>
      <w:r>
        <w:rPr>
          <w:rFonts w:hint="eastAsia" w:ascii="仿宋" w:hAnsi="仿宋" w:eastAsia="仿宋" w:cs="仿宋"/>
          <w:bCs/>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82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w:t>
      </w:r>
      <w:r>
        <w:rPr>
          <w:rFonts w:hint="eastAsia" w:ascii="仿宋" w:hAnsi="仿宋" w:eastAsia="仿宋" w:cs="仿宋"/>
          <w:sz w:val="30"/>
          <w:szCs w:val="30"/>
          <w:lang w:eastAsia="zh-CN"/>
        </w:rPr>
        <w:t>对</w:t>
      </w:r>
      <w:r>
        <w:rPr>
          <w:rFonts w:hint="eastAsia" w:ascii="仿宋" w:hAnsi="仿宋" w:eastAsia="仿宋" w:cs="仿宋"/>
          <w:sz w:val="30"/>
          <w:szCs w:val="30"/>
          <w:lang w:val="en-US" w:eastAsia="zh-CN"/>
        </w:rPr>
        <w:t>2024年度危废处置项目进行询价</w:t>
      </w:r>
      <w:r>
        <w:rPr>
          <w:rFonts w:hint="eastAsia" w:ascii="仿宋" w:hAnsi="仿宋" w:eastAsia="仿宋" w:cs="仿宋"/>
          <w:sz w:val="30"/>
          <w:szCs w:val="30"/>
        </w:rPr>
        <w:t>，欢迎符合要求的供应商积极参与。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ZSNY2310011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_GB2312" w:eastAsia="仿宋_GB2312"/>
          <w:color w:val="auto"/>
          <w:sz w:val="30"/>
          <w:szCs w:val="30"/>
          <w:highlight w:val="none"/>
          <w:lang w:eastAsia="zh-CN"/>
        </w:rPr>
        <w:t>需处置</w:t>
      </w:r>
      <w:r>
        <w:rPr>
          <w:rFonts w:hint="eastAsia" w:ascii="仿宋" w:hAnsi="仿宋" w:eastAsia="仿宋" w:cs="仿宋"/>
          <w:sz w:val="30"/>
          <w:szCs w:val="30"/>
        </w:rPr>
        <w:t>内容：</w:t>
      </w:r>
    </w:p>
    <w:tbl>
      <w:tblPr>
        <w:tblStyle w:val="13"/>
        <w:tblW w:w="4289" w:type="pct"/>
        <w:jc w:val="center"/>
        <w:tblLayout w:type="fixed"/>
        <w:tblCellMar>
          <w:top w:w="0" w:type="dxa"/>
          <w:left w:w="108" w:type="dxa"/>
          <w:bottom w:w="0" w:type="dxa"/>
          <w:right w:w="108" w:type="dxa"/>
        </w:tblCellMar>
      </w:tblPr>
      <w:tblGrid>
        <w:gridCol w:w="888"/>
        <w:gridCol w:w="2375"/>
        <w:gridCol w:w="2491"/>
        <w:gridCol w:w="907"/>
        <w:gridCol w:w="1305"/>
      </w:tblGrid>
      <w:tr>
        <w:tblPrEx>
          <w:tblCellMar>
            <w:top w:w="0" w:type="dxa"/>
            <w:left w:w="108" w:type="dxa"/>
            <w:bottom w:w="0" w:type="dxa"/>
            <w:right w:w="108" w:type="dxa"/>
          </w:tblCellMar>
        </w:tblPrEx>
        <w:trPr>
          <w:trHeight w:val="90"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序号</w:t>
            </w:r>
          </w:p>
        </w:tc>
        <w:tc>
          <w:tcPr>
            <w:tcW w:w="149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代码</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年产生量</w:t>
            </w:r>
          </w:p>
        </w:tc>
        <w:tc>
          <w:tcPr>
            <w:tcW w:w="8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反渗透、超滤膜管</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废布袋</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化验废液</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900-047-49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r>
        <w:tblPrEx>
          <w:tblCellMar>
            <w:top w:w="0" w:type="dxa"/>
            <w:left w:w="108" w:type="dxa"/>
            <w:bottom w:w="0" w:type="dxa"/>
            <w:right w:w="108" w:type="dxa"/>
          </w:tblCellMar>
        </w:tblPrEx>
        <w:trPr>
          <w:trHeight w:val="561" w:hRule="atLeast"/>
          <w:jc w:val="center"/>
        </w:trPr>
        <w:tc>
          <w:tcPr>
            <w:tcW w:w="55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49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废包装袋</w:t>
            </w:r>
          </w:p>
        </w:tc>
        <w:tc>
          <w:tcPr>
            <w:tcW w:w="15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8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r>
    </w:tbl>
    <w:p>
      <w:pPr>
        <w:pStyle w:val="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5.00万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1.报价人必须是在中华人民共和国境内注册，具有独立法人资格和独立承担民事责任的能力,；投标人经营范围具有相对应的危险废物处置资质。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10月30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10月23</w:t>
      </w:r>
      <w:bookmarkStart w:id="20" w:name="_GoBack"/>
      <w:bookmarkEnd w:id="20"/>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16988"/>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3"/>
        <w:rPr>
          <w:rFonts w:hint="eastAsia" w:ascii="仿宋" w:hAnsi="仿宋" w:eastAsia="仿宋" w:cs="仿宋"/>
          <w:snapToGrid w:val="0"/>
          <w:sz w:val="44"/>
          <w:szCs w:val="44"/>
        </w:rPr>
      </w:pPr>
    </w:p>
    <w:p>
      <w:pPr>
        <w:pStyle w:val="2"/>
        <w:rPr>
          <w:rFonts w:hint="eastAsia"/>
        </w:rPr>
      </w:pPr>
    </w:p>
    <w:p>
      <w:pPr>
        <w:pStyle w:val="3"/>
        <w:rPr>
          <w:rFonts w:hint="eastAsia"/>
        </w:rPr>
      </w:pPr>
    </w:p>
    <w:p>
      <w:pPr>
        <w:pStyle w:val="4"/>
        <w:numPr>
          <w:ilvl w:val="0"/>
          <w:numId w:val="0"/>
        </w:numPr>
        <w:jc w:val="center"/>
        <w:rPr>
          <w:rFonts w:hint="eastAsia" w:ascii="仿宋" w:hAnsi="仿宋" w:eastAsia="仿宋" w:cs="仿宋"/>
          <w:b w:val="0"/>
          <w:bCs/>
          <w:snapToGrid w:val="0"/>
          <w:sz w:val="44"/>
        </w:rPr>
      </w:pPr>
      <w:bookmarkStart w:id="11" w:name="_Toc1151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lang w:eastAsia="zh-CN"/>
        </w:rPr>
        <w:t>处置内容</w:t>
      </w:r>
    </w:p>
    <w:tbl>
      <w:tblPr>
        <w:tblStyle w:val="13"/>
        <w:tblW w:w="4990" w:type="pct"/>
        <w:jc w:val="center"/>
        <w:tblLayout w:type="fixed"/>
        <w:tblCellMar>
          <w:top w:w="0" w:type="dxa"/>
          <w:left w:w="108" w:type="dxa"/>
          <w:bottom w:w="0" w:type="dxa"/>
          <w:right w:w="108" w:type="dxa"/>
        </w:tblCellMar>
      </w:tblPr>
      <w:tblGrid>
        <w:gridCol w:w="886"/>
        <w:gridCol w:w="2294"/>
        <w:gridCol w:w="2574"/>
        <w:gridCol w:w="907"/>
        <w:gridCol w:w="1304"/>
        <w:gridCol w:w="1304"/>
      </w:tblGrid>
      <w:tr>
        <w:tblPrEx>
          <w:tblCellMar>
            <w:top w:w="0" w:type="dxa"/>
            <w:left w:w="108" w:type="dxa"/>
            <w:bottom w:w="0" w:type="dxa"/>
            <w:right w:w="108" w:type="dxa"/>
          </w:tblCellMar>
        </w:tblPrEx>
        <w:trPr>
          <w:trHeight w:val="90"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2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5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9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3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反渗透、超滤膜管</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废布袋</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化验废液</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900-047-49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r>
        <w:tblPrEx>
          <w:tblCellMar>
            <w:top w:w="0" w:type="dxa"/>
            <w:left w:w="108" w:type="dxa"/>
            <w:bottom w:w="0" w:type="dxa"/>
            <w:right w:w="108" w:type="dxa"/>
          </w:tblCellMar>
        </w:tblPrEx>
        <w:trPr>
          <w:trHeight w:val="561" w:hRule="atLeast"/>
          <w:jc w:val="center"/>
        </w:trPr>
        <w:tc>
          <w:tcPr>
            <w:tcW w:w="88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22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废包装袋</w:t>
            </w:r>
          </w:p>
        </w:tc>
        <w:tc>
          <w:tcPr>
            <w:tcW w:w="2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900-041-49</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吨</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以实际处置量结算</w:t>
            </w:r>
          </w:p>
        </w:tc>
      </w:tr>
    </w:tbl>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中标人负责运输。根据招标人的地磅称量清单，中标</w:t>
      </w:r>
      <w:r>
        <w:rPr>
          <w:rFonts w:hint="eastAsia" w:ascii="仿宋" w:hAnsi="仿宋" w:eastAsia="仿宋" w:cs="仿宋"/>
          <w:color w:val="auto"/>
          <w:kern w:val="2"/>
          <w:sz w:val="30"/>
          <w:szCs w:val="30"/>
        </w:rPr>
        <w:t>人提供经双方确认的清单及增值税专用发票，采购人自收到准确清单和发票后，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16882"/>
      <w:r>
        <w:rPr>
          <w:rFonts w:hint="eastAsia" w:ascii="仿宋" w:hAnsi="仿宋" w:eastAsia="仿宋" w:cs="仿宋"/>
          <w:snapToGrid w:val="0"/>
          <w:sz w:val="44"/>
          <w:szCs w:val="44"/>
          <w:lang w:val="en-US" w:eastAsia="zh-CN"/>
        </w:rPr>
        <w:t>合同主要条款（供参考）</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221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6217"/>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2024年度危废处置</w:t>
      </w:r>
      <w:r>
        <w:rPr>
          <w:rFonts w:hint="eastAsia" w:ascii="仿宋" w:hAnsi="仿宋" w:eastAsia="仿宋" w:cs="仿宋"/>
          <w:sz w:val="52"/>
        </w:rPr>
        <w:t>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ZSNY2310011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12490"/>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绍兴市再生能源发展有限公司2024年度危废处置 </w:t>
      </w:r>
      <w:r>
        <w:rPr>
          <w:rFonts w:hint="eastAsia" w:ascii="仿宋" w:hAnsi="仿宋" w:eastAsia="仿宋" w:cs="仿宋"/>
          <w:sz w:val="30"/>
          <w:szCs w:val="30"/>
          <w:u w:val="none"/>
          <w:lang w:val="en-US" w:eastAsia="zh-CN"/>
        </w:rPr>
        <w:t>项目。</w:t>
      </w:r>
    </w:p>
    <w:tbl>
      <w:tblPr>
        <w:tblStyle w:val="13"/>
        <w:tblW w:w="4334" w:type="pct"/>
        <w:jc w:val="center"/>
        <w:tblLayout w:type="autofit"/>
        <w:tblCellMar>
          <w:top w:w="0" w:type="dxa"/>
          <w:left w:w="108" w:type="dxa"/>
          <w:bottom w:w="0" w:type="dxa"/>
          <w:right w:w="108" w:type="dxa"/>
        </w:tblCellMar>
      </w:tblPr>
      <w:tblGrid>
        <w:gridCol w:w="696"/>
        <w:gridCol w:w="2099"/>
        <w:gridCol w:w="1416"/>
        <w:gridCol w:w="743"/>
        <w:gridCol w:w="75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3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反渗透、超滤膜管</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900-041-49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废布袋</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900-041-49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化验废液</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900-047-49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1</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废包装袋</w:t>
            </w:r>
          </w:p>
        </w:tc>
        <w:tc>
          <w:tcPr>
            <w:tcW w:w="13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900-041-49</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仿宋" w:hAnsi="仿宋" w:eastAsia="仿宋" w:cs="仿宋"/>
                <w:i w:val="0"/>
                <w:iCs w:val="0"/>
                <w:color w:val="auto"/>
                <w:kern w:val="0"/>
                <w:sz w:val="24"/>
                <w:szCs w:val="24"/>
                <w:highlight w:val="none"/>
                <w:u w:val="none"/>
                <w:lang w:val="en-US" w:eastAsia="zh-CN" w:bidi="ar"/>
              </w:rPr>
              <w:t>3</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4"/>
                <w:szCs w:val="24"/>
                <w:highlight w:val="none"/>
                <w:u w:val="none"/>
                <w:lang w:val="en-US" w:eastAsia="zh-CN" w:bidi="ar"/>
              </w:rPr>
              <w:t>吨</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6</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中标人负责运输。根据招标人的地磅称量清单，中标</w:t>
      </w:r>
      <w:r>
        <w:rPr>
          <w:rFonts w:hint="eastAsia" w:ascii="仿宋" w:hAnsi="仿宋" w:eastAsia="仿宋" w:cs="仿宋"/>
          <w:color w:val="auto"/>
          <w:kern w:val="2"/>
          <w:sz w:val="30"/>
          <w:szCs w:val="30"/>
        </w:rPr>
        <w:t>人提供经双方确认的清单及增值税专用发票，采购人自收到准确清单和发票后，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5.00万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2、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3、以上总价应为含税全包价，包括运费、税费等一切费用，发票必须为增值税专用发票。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default" w:ascii="仿宋" w:hAnsi="仿宋" w:eastAsia="仿宋" w:cs="仿宋"/>
          <w:b/>
          <w:spacing w:val="-2"/>
          <w:sz w:val="30"/>
          <w:lang w:val="en-US"/>
        </w:rPr>
      </w:pPr>
      <w:bookmarkStart w:id="17" w:name="_Toc103165678"/>
      <w:bookmarkStart w:id="18" w:name="_Toc108839328"/>
      <w:bookmarkStart w:id="19" w:name="_Toc31447"/>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r>
        <w:rPr>
          <w:rStyle w:val="20"/>
          <w:rFonts w:hint="eastAsia" w:ascii="仿宋" w:hAnsi="仿宋" w:eastAsia="仿宋" w:cs="仿宋"/>
          <w:sz w:val="30"/>
          <w:lang w:val="en-US"/>
        </w:rPr>
        <w:t xml:space="preserve"> 相关资质（由投标单位自行填写）</w:t>
      </w:r>
      <w:bookmarkEnd w:id="19"/>
    </w:p>
    <w:p>
      <w:pPr>
        <w:snapToGrid w:val="0"/>
        <w:ind w:firstLine="1926" w:firstLineChars="600"/>
        <w:jc w:val="left"/>
        <w:rPr>
          <w:rFonts w:hint="eastAsia" w:ascii="仿宋" w:hAnsi="仿宋" w:eastAsia="仿宋" w:cs="仿宋"/>
          <w:b/>
          <w:spacing w:val="40"/>
          <w:sz w:val="24"/>
          <w:szCs w:val="24"/>
        </w:rPr>
      </w:pPr>
    </w:p>
    <w:p>
      <w:pPr>
        <w:pStyle w:val="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5FB4FE2"/>
    <w:rsid w:val="164F6705"/>
    <w:rsid w:val="16646293"/>
    <w:rsid w:val="16941AF7"/>
    <w:rsid w:val="16FE5921"/>
    <w:rsid w:val="17B042A1"/>
    <w:rsid w:val="1A2B7D96"/>
    <w:rsid w:val="1BD33B78"/>
    <w:rsid w:val="1BEC2FB3"/>
    <w:rsid w:val="1CE262BC"/>
    <w:rsid w:val="1D6D770B"/>
    <w:rsid w:val="1E1A21EF"/>
    <w:rsid w:val="1F4523B1"/>
    <w:rsid w:val="203B090D"/>
    <w:rsid w:val="21135480"/>
    <w:rsid w:val="212C3971"/>
    <w:rsid w:val="214D7086"/>
    <w:rsid w:val="21BA7E4E"/>
    <w:rsid w:val="22DF5956"/>
    <w:rsid w:val="22ED7F5E"/>
    <w:rsid w:val="24130D0C"/>
    <w:rsid w:val="259E2C64"/>
    <w:rsid w:val="26F76768"/>
    <w:rsid w:val="27AC61A6"/>
    <w:rsid w:val="27FE02E6"/>
    <w:rsid w:val="28C57566"/>
    <w:rsid w:val="28F15970"/>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644ED3"/>
    <w:rsid w:val="649C599A"/>
    <w:rsid w:val="64FF61CB"/>
    <w:rsid w:val="66B027B6"/>
    <w:rsid w:val="671A2875"/>
    <w:rsid w:val="67966EFB"/>
    <w:rsid w:val="67B628F5"/>
    <w:rsid w:val="682119CD"/>
    <w:rsid w:val="69A94E0C"/>
    <w:rsid w:val="6B656B47"/>
    <w:rsid w:val="6B7E1643"/>
    <w:rsid w:val="6C714475"/>
    <w:rsid w:val="6CDB032D"/>
    <w:rsid w:val="6DBD736C"/>
    <w:rsid w:val="6DF45A5A"/>
    <w:rsid w:val="6E5526FF"/>
    <w:rsid w:val="6F2B1820"/>
    <w:rsid w:val="6F412F7A"/>
    <w:rsid w:val="704D1C5E"/>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99"/>
    <w:pPr>
      <w:widowControl/>
      <w:spacing w:after="120" w:afterLines="0" w:line="240" w:lineRule="auto"/>
      <w:ind w:firstLine="420" w:firstLineChars="100"/>
      <w:jc w:val="left"/>
    </w:pPr>
    <w:rPr>
      <w:rFonts w:ascii="Times New Roman" w:eastAsia="宋体"/>
      <w:kern w:val="0"/>
      <w:sz w:val="21"/>
    </w:rPr>
  </w:style>
  <w:style w:type="paragraph" w:styleId="3">
    <w:name w:val="Body Text"/>
    <w:basedOn w:val="1"/>
    <w:next w:val="1"/>
    <w:qFormat/>
    <w:uiPriority w:val="1"/>
    <w:pPr>
      <w:spacing w:after="120" w:afterLines="0"/>
    </w:p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2"/>
    <w:basedOn w:val="6"/>
    <w:qFormat/>
    <w:uiPriority w:val="0"/>
    <w:pPr>
      <w:ind w:firstLine="420" w:firstLine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2</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2023-10-16T01:58:00Z</cp:lastPrinted>
  <dcterms:modified xsi:type="dcterms:W3CDTF">2023-10-20T07:36:09Z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