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片碱年度采购项目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挂网竞争性谈判采购</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ZSNY/SBBJ2310012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片碱年度</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对片碱年度采购项目进行招标</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ZSNY/SBBJ2310012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86"/>
        <w:gridCol w:w="1974"/>
        <w:gridCol w:w="2894"/>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片碱</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工业级，纯度≥98%，固体25kg/包</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约50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5000元/吨</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w:t>
      </w:r>
      <w:r>
        <w:rPr>
          <w:rFonts w:hint="eastAsia" w:ascii="仿宋" w:hAnsi="仿宋" w:eastAsia="仿宋" w:cs="仿宋"/>
          <w:sz w:val="30"/>
          <w:szCs w:val="30"/>
          <w:lang w:eastAsia="zh-CN"/>
        </w:rPr>
        <w:t>单价</w:t>
      </w:r>
      <w:r>
        <w:rPr>
          <w:rFonts w:hint="eastAsia" w:ascii="仿宋" w:hAnsi="仿宋" w:eastAsia="仿宋" w:cs="仿宋"/>
          <w:sz w:val="30"/>
          <w:szCs w:val="30"/>
        </w:rPr>
        <w:t>金额限价为</w:t>
      </w:r>
      <w:r>
        <w:rPr>
          <w:rFonts w:hint="eastAsia" w:ascii="仿宋" w:hAnsi="仿宋" w:eastAsia="仿宋" w:cs="仿宋"/>
          <w:sz w:val="30"/>
          <w:szCs w:val="30"/>
          <w:lang w:eastAsia="zh-CN"/>
        </w:rPr>
        <w:t>每吨人民币伍仟</w:t>
      </w:r>
      <w:r>
        <w:rPr>
          <w:rFonts w:hint="eastAsia" w:ascii="仿宋" w:hAnsi="仿宋" w:eastAsia="仿宋" w:cs="仿宋"/>
          <w:sz w:val="30"/>
          <w:szCs w:val="30"/>
        </w:rPr>
        <w:t>元</w:t>
      </w:r>
      <w:r>
        <w:rPr>
          <w:rFonts w:hint="eastAsia" w:ascii="仿宋" w:hAnsi="仿宋" w:eastAsia="仿宋" w:cs="仿宋"/>
          <w:sz w:val="30"/>
          <w:szCs w:val="30"/>
          <w:lang w:eastAsia="zh-CN"/>
        </w:rPr>
        <w:t>，该项目采购总金额限价人民币贰拾伍万元整，达到该金额自动终止合同。具体结算金额以实际使用量为准</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10月30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10月23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20" w:name="_GoBack"/>
      <w:bookmarkEnd w:id="20"/>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要求的前提下，经评审通过后</w:t>
      </w:r>
      <w:r>
        <w:rPr>
          <w:rFonts w:hint="eastAsia" w:ascii="仿宋_GB2312" w:eastAsia="仿宋_GB2312"/>
          <w:sz w:val="30"/>
          <w:szCs w:val="30"/>
          <w:lang w:eastAsia="zh-CN"/>
        </w:rPr>
        <w:t>进行二次报价，以二次报价</w:t>
      </w:r>
      <w:r>
        <w:rPr>
          <w:rFonts w:hint="eastAsia" w:ascii="仿宋_GB2312" w:eastAsia="仿宋_GB2312"/>
          <w:sz w:val="30"/>
          <w:szCs w:val="30"/>
        </w:rPr>
        <w:t>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w:t>
      </w:r>
      <w:r>
        <w:rPr>
          <w:rFonts w:hint="eastAsia" w:ascii="仿宋" w:hAnsi="仿宋" w:eastAsia="仿宋" w:cs="仿宋"/>
          <w:color w:val="auto"/>
          <w:kern w:val="2"/>
          <w:sz w:val="30"/>
          <w:szCs w:val="30"/>
          <w:lang w:eastAsia="zh-CN"/>
        </w:rPr>
        <w:t>，每次送货量为</w:t>
      </w:r>
      <w:r>
        <w:rPr>
          <w:rFonts w:hint="eastAsia" w:ascii="仿宋" w:hAnsi="仿宋" w:eastAsia="仿宋" w:cs="仿宋"/>
          <w:color w:val="auto"/>
          <w:kern w:val="2"/>
          <w:sz w:val="30"/>
          <w:szCs w:val="30"/>
          <w:lang w:val="en-US" w:eastAsia="zh-CN"/>
        </w:rPr>
        <w:t>2-3吨。</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eastAsia="zh-CN"/>
        </w:rPr>
        <w:t>，每月以最终实际送货量进行结算。</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每月送货完成后，中标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），合同期内自动转为质保金，于合同到期后退还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r>
        <w:rPr>
          <w:rFonts w:hint="eastAsia" w:ascii="仿宋" w:hAnsi="仿宋" w:eastAsia="仿宋" w:cs="仿宋"/>
          <w:snapToGrid w:val="0"/>
          <w:sz w:val="44"/>
          <w:szCs w:val="44"/>
          <w:lang w:val="en-US" w:eastAsia="zh-CN"/>
        </w:rPr>
        <w:t>（供参考）</w:t>
      </w:r>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每月送货完成后，中标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），合同期内自动转为质保金，于合同到期后退还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年度片碱</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ZSNY/SBBJ2310012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绍兴市再生能源发展有限公司片碱年度采购 </w:t>
      </w:r>
      <w:r>
        <w:rPr>
          <w:rFonts w:hint="eastAsia" w:ascii="仿宋" w:hAnsi="仿宋" w:eastAsia="仿宋" w:cs="仿宋"/>
          <w:sz w:val="30"/>
          <w:szCs w:val="30"/>
          <w:u w:val="none"/>
          <w:lang w:val="en-US" w:eastAsia="zh-CN"/>
        </w:rPr>
        <w:t>项目。</w:t>
      </w:r>
    </w:p>
    <w:tbl>
      <w:tblPr>
        <w:tblStyle w:val="13"/>
        <w:tblW w:w="4979" w:type="pct"/>
        <w:jc w:val="center"/>
        <w:tblLayout w:type="fixed"/>
        <w:tblCellMar>
          <w:top w:w="0" w:type="dxa"/>
          <w:left w:w="108" w:type="dxa"/>
          <w:bottom w:w="0" w:type="dxa"/>
          <w:right w:w="108" w:type="dxa"/>
        </w:tblCellMar>
      </w:tblPr>
      <w:tblGrid>
        <w:gridCol w:w="696"/>
        <w:gridCol w:w="1590"/>
        <w:gridCol w:w="1868"/>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2"/>
                <w:szCs w:val="22"/>
                <w:u w:val="none"/>
                <w:lang w:val="en-US" w:eastAsia="zh-CN" w:bidi="ar"/>
              </w:rPr>
              <w:t>片碱</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工业级，纯度≥98%，固体25kg/包</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约50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5000元/吨</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单价金额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13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每月送货完成后，中标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），合同期内自动转为质保金，于合同到期后退还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w:t>
      </w:r>
      <w:r>
        <w:rPr>
          <w:rFonts w:hint="eastAsia" w:ascii="仿宋" w:hAnsi="仿宋" w:eastAsia="仿宋" w:cs="仿宋"/>
          <w:sz w:val="30"/>
          <w:szCs w:val="30"/>
          <w:lang w:eastAsia="zh-CN"/>
        </w:rPr>
        <w:t>单价</w:t>
      </w:r>
      <w:r>
        <w:rPr>
          <w:rFonts w:hint="eastAsia" w:ascii="仿宋" w:hAnsi="仿宋" w:eastAsia="仿宋" w:cs="仿宋"/>
          <w:sz w:val="30"/>
          <w:szCs w:val="30"/>
        </w:rPr>
        <w:t>金额限价为</w:t>
      </w:r>
      <w:r>
        <w:rPr>
          <w:rFonts w:hint="eastAsia" w:ascii="仿宋" w:hAnsi="仿宋" w:eastAsia="仿宋" w:cs="仿宋"/>
          <w:sz w:val="30"/>
          <w:szCs w:val="30"/>
          <w:lang w:eastAsia="zh-CN"/>
        </w:rPr>
        <w:t>每吨人民币伍仟</w:t>
      </w:r>
      <w:r>
        <w:rPr>
          <w:rFonts w:hint="eastAsia" w:ascii="仿宋" w:hAnsi="仿宋" w:eastAsia="仿宋" w:cs="仿宋"/>
          <w:sz w:val="30"/>
          <w:szCs w:val="30"/>
        </w:rPr>
        <w:t>元</w:t>
      </w:r>
      <w:r>
        <w:rPr>
          <w:rFonts w:hint="eastAsia" w:ascii="仿宋" w:hAnsi="仿宋" w:eastAsia="仿宋" w:cs="仿宋"/>
          <w:sz w:val="30"/>
          <w:szCs w:val="30"/>
          <w:lang w:eastAsia="zh-CN"/>
        </w:rPr>
        <w:t>，该项目采购总金额限价人民币贰拾伍万元整，达到该金额自动终止合同。具体结算金额以实际使用量为准，合同期限为签订之日起一年。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5、以上总价应为含税全包价，包括运费、装卸费、税费等一切费用，发票必须为增值税专用发票。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片碱年度</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040" w:firstLineChars="18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5D355DF"/>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980D1B"/>
    <w:rsid w:val="2CD9238D"/>
    <w:rsid w:val="2E003054"/>
    <w:rsid w:val="2EB2531B"/>
    <w:rsid w:val="2F3D045F"/>
    <w:rsid w:val="2F6F3EAC"/>
    <w:rsid w:val="2F7D3F84"/>
    <w:rsid w:val="2F844FB7"/>
    <w:rsid w:val="30256074"/>
    <w:rsid w:val="302C4175"/>
    <w:rsid w:val="30890978"/>
    <w:rsid w:val="31713FF6"/>
    <w:rsid w:val="32B04D2F"/>
    <w:rsid w:val="33A35EAC"/>
    <w:rsid w:val="3464504B"/>
    <w:rsid w:val="34E00D83"/>
    <w:rsid w:val="34E40873"/>
    <w:rsid w:val="36216F0D"/>
    <w:rsid w:val="36316A75"/>
    <w:rsid w:val="3667119D"/>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3FAE19C2"/>
    <w:rsid w:val="406B2371"/>
    <w:rsid w:val="407E15A7"/>
    <w:rsid w:val="40AA3B81"/>
    <w:rsid w:val="411C5733"/>
    <w:rsid w:val="417112FA"/>
    <w:rsid w:val="42D57A4D"/>
    <w:rsid w:val="436A096E"/>
    <w:rsid w:val="43A970E7"/>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DA7768"/>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10</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2023-10-20T07:36:35Z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