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1"/>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管沟清淤项目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ZSNY2309015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管沟清淤项目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9"/>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6995"/>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对我公司渗滤液站管沟清淤</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ZSNY2309015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2.</w:t>
      </w:r>
      <w:r>
        <w:rPr>
          <w:rFonts w:hint="eastAsia" w:ascii="仿宋" w:hAnsi="仿宋" w:eastAsia="仿宋" w:cs="仿宋"/>
          <w:sz w:val="30"/>
          <w:szCs w:val="30"/>
          <w:lang w:eastAsia="zh-CN"/>
        </w:rPr>
        <w:t>项目</w:t>
      </w:r>
      <w:r>
        <w:rPr>
          <w:rFonts w:hint="eastAsia" w:ascii="仿宋" w:hAnsi="仿宋" w:eastAsia="仿宋" w:cs="仿宋"/>
          <w:sz w:val="30"/>
          <w:szCs w:val="30"/>
        </w:rPr>
        <w:t>内容：</w:t>
      </w:r>
      <w:r>
        <w:rPr>
          <w:rFonts w:hint="eastAsia" w:ascii="仿宋" w:hAnsi="仿宋" w:eastAsia="仿宋" w:cs="仿宋"/>
          <w:kern w:val="2"/>
          <w:sz w:val="30"/>
          <w:szCs w:val="30"/>
          <w:lang w:val="en-US" w:eastAsia="zh-CN" w:bidi="ar-SA"/>
        </w:rPr>
        <w:t>渗滤液站管沟内部清理污泥，从3#泵房旁至沉砂池底部，中间包括压泥间内，1、2#泵房内管沟支路，污泥清理后打包装袋并静置尽量滤干水分运至垃圾坑焚烧。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工作量：总管沟长度约为300m、宽1.7m、高1.35m，支路压泥间30m，2#泵房33m，1#泵房30m，从3#泵房至2#泵房前处污泥量较大长度约为93m，污泥高度1-1.2m此段污泥体积约为130m³；从2#泵房至沉砂池底部管沟此段总长度约为210m，污泥高度0.5-0.7m，此段污泥体积约为180m³。总计污泥体积约为400m³。工期为十天。</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4.要求：管沟内污泥清理彻底，管沟内管道不可损坏。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5.本项目采购单项金额限价为每立方人民币肆佰伍拾元。合同总价不得超过人民币壹拾捌万元。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10月23</w:t>
      </w:r>
      <w:bookmarkStart w:id="17" w:name="_GoBack"/>
      <w:bookmarkEnd w:id="17"/>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10月16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w:t>
      </w:r>
      <w:r>
        <w:rPr>
          <w:rFonts w:hint="eastAsia" w:ascii="仿宋_GB2312" w:hAnsi="宋体" w:eastAsia="仿宋_GB2312"/>
          <w:sz w:val="30"/>
          <w:szCs w:val="30"/>
          <w:lang w:eastAsia="zh-CN"/>
        </w:rPr>
        <w:t>投标报价组成表（附件三）</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2"/>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ascii="仿宋" w:hAnsi="仿宋" w:eastAsia="仿宋" w:cs="仿宋"/>
          <w:snapToGrid w:val="0"/>
          <w:sz w:val="44"/>
          <w:szCs w:val="44"/>
        </w:rPr>
      </w:pPr>
    </w:p>
    <w:p>
      <w:pPr>
        <w:pStyle w:val="11"/>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11"/>
        <w:rPr>
          <w:rFonts w:hint="eastAsia"/>
        </w:rPr>
      </w:pPr>
    </w:p>
    <w:p>
      <w:pPr>
        <w:pStyle w:val="4"/>
        <w:rPr>
          <w:rFonts w:hint="eastAsia"/>
        </w:rPr>
      </w:pPr>
    </w:p>
    <w:p>
      <w:pPr>
        <w:pStyle w:val="2"/>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lang w:eastAsia="zh-CN"/>
        </w:rPr>
        <w:t>服务</w:t>
      </w:r>
      <w:r>
        <w:rPr>
          <w:rFonts w:hint="eastAsia" w:ascii="仿宋" w:hAnsi="仿宋" w:eastAsia="仿宋" w:cs="仿宋"/>
          <w:color w:val="auto"/>
          <w:kern w:val="2"/>
          <w:sz w:val="30"/>
          <w:szCs w:val="30"/>
        </w:rPr>
        <w:t>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本项目工期为十天</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项目完成后，中标</w:t>
      </w:r>
      <w:r>
        <w:rPr>
          <w:rFonts w:hint="eastAsia" w:ascii="仿宋" w:hAnsi="仿宋" w:eastAsia="仿宋" w:cs="仿宋"/>
          <w:color w:val="auto"/>
          <w:kern w:val="2"/>
          <w:sz w:val="30"/>
          <w:szCs w:val="30"/>
        </w:rPr>
        <w:t>人</w:t>
      </w:r>
      <w:r>
        <w:rPr>
          <w:rFonts w:hint="eastAsia" w:ascii="仿宋" w:hAnsi="仿宋" w:eastAsia="仿宋" w:cs="仿宋"/>
          <w:color w:val="auto"/>
          <w:kern w:val="2"/>
          <w:sz w:val="30"/>
          <w:szCs w:val="30"/>
          <w:lang w:eastAsia="zh-CN"/>
        </w:rPr>
        <w:t>须通过验收并</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w:t>
      </w:r>
      <w:r>
        <w:rPr>
          <w:rFonts w:hint="eastAsia" w:ascii="仿宋" w:hAnsi="仿宋" w:eastAsia="仿宋" w:cs="仿宋"/>
          <w:color w:val="auto"/>
          <w:kern w:val="2"/>
          <w:sz w:val="30"/>
          <w:szCs w:val="30"/>
          <w:lang w:eastAsia="zh-CN"/>
        </w:rPr>
        <w:t>款项</w:t>
      </w:r>
      <w:r>
        <w:rPr>
          <w:rFonts w:hint="eastAsia" w:ascii="仿宋" w:hAnsi="仿宋" w:eastAsia="仿宋" w:cs="仿宋"/>
          <w:color w:val="auto"/>
          <w:kern w:val="2"/>
          <w:sz w:val="30"/>
          <w:szCs w:val="30"/>
        </w:rPr>
        <w:t>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），于项目完成后随款项一齐退还</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（无息）</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2"/>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2"/>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项目完成后，中标</w:t>
      </w:r>
      <w:r>
        <w:rPr>
          <w:rFonts w:hint="eastAsia" w:ascii="仿宋" w:hAnsi="仿宋" w:eastAsia="仿宋" w:cs="仿宋"/>
          <w:color w:val="auto"/>
          <w:kern w:val="2"/>
          <w:sz w:val="30"/>
          <w:szCs w:val="30"/>
        </w:rPr>
        <w:t>人</w:t>
      </w:r>
      <w:r>
        <w:rPr>
          <w:rFonts w:hint="eastAsia" w:ascii="仿宋" w:hAnsi="仿宋" w:eastAsia="仿宋" w:cs="仿宋"/>
          <w:color w:val="auto"/>
          <w:kern w:val="2"/>
          <w:sz w:val="30"/>
          <w:szCs w:val="30"/>
          <w:lang w:eastAsia="zh-CN"/>
        </w:rPr>
        <w:t>须通过验收并</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w:t>
      </w:r>
      <w:r>
        <w:rPr>
          <w:rFonts w:hint="eastAsia" w:ascii="仿宋" w:hAnsi="仿宋" w:eastAsia="仿宋" w:cs="仿宋"/>
          <w:color w:val="auto"/>
          <w:kern w:val="2"/>
          <w:sz w:val="30"/>
          <w:szCs w:val="30"/>
          <w:lang w:eastAsia="zh-CN"/>
        </w:rPr>
        <w:t>款项</w:t>
      </w:r>
      <w:r>
        <w:rPr>
          <w:rFonts w:hint="eastAsia" w:ascii="仿宋" w:hAnsi="仿宋" w:eastAsia="仿宋" w:cs="仿宋"/>
          <w:color w:val="auto"/>
          <w:kern w:val="2"/>
          <w:sz w:val="30"/>
          <w:szCs w:val="30"/>
        </w:rPr>
        <w:t>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），于项目完成后随款项一齐退还</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（无息）</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2"/>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管沟清淤</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ZSNY2309015</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绍兴市再生能源发展有限公司管沟清淤 </w:t>
      </w:r>
      <w:r>
        <w:rPr>
          <w:rFonts w:hint="eastAsia" w:ascii="仿宋" w:hAnsi="仿宋" w:eastAsia="仿宋" w:cs="仿宋"/>
          <w:sz w:val="30"/>
          <w:szCs w:val="30"/>
          <w:u w:val="none"/>
          <w:lang w:val="en-US" w:eastAsia="zh-CN"/>
        </w:rPr>
        <w:t>项目。</w:t>
      </w:r>
    </w:p>
    <w:tbl>
      <w:tblPr>
        <w:tblStyle w:val="13"/>
        <w:tblW w:w="2957" w:type="pct"/>
        <w:jc w:val="center"/>
        <w:tblLayout w:type="autofit"/>
        <w:tblCellMar>
          <w:top w:w="0" w:type="dxa"/>
          <w:left w:w="108" w:type="dxa"/>
          <w:bottom w:w="0" w:type="dxa"/>
          <w:right w:w="108" w:type="dxa"/>
        </w:tblCellMar>
      </w:tblPr>
      <w:tblGrid>
        <w:gridCol w:w="696"/>
        <w:gridCol w:w="2099"/>
        <w:gridCol w:w="743"/>
        <w:gridCol w:w="758"/>
        <w:gridCol w:w="1390"/>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管沟清淤项目</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M³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¥450.00/m³</w:t>
            </w:r>
          </w:p>
        </w:tc>
      </w:tr>
    </w:tbl>
    <w:p>
      <w:pPr>
        <w:pStyle w:val="11"/>
        <w:rPr>
          <w:rFonts w:hint="eastAsia"/>
        </w:rPr>
      </w:pPr>
    </w:p>
    <w:p>
      <w:pPr>
        <w:pStyle w:val="9"/>
        <w:jc w:val="center"/>
        <w:rPr>
          <w:rFonts w:hint="eastAsia" w:ascii="仿宋" w:hAnsi="仿宋" w:eastAsia="仿宋" w:cs="仿宋"/>
          <w:b w:val="0"/>
          <w:bCs w:val="0"/>
          <w:color w:val="auto"/>
        </w:rPr>
      </w:pPr>
    </w:p>
    <w:p>
      <w:pPr>
        <w:pStyle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单价</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6</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项目完成后，中标</w:t>
      </w:r>
      <w:r>
        <w:rPr>
          <w:rFonts w:hint="eastAsia" w:ascii="仿宋" w:hAnsi="仿宋" w:eastAsia="仿宋" w:cs="仿宋"/>
          <w:color w:val="auto"/>
          <w:kern w:val="2"/>
          <w:sz w:val="30"/>
          <w:szCs w:val="30"/>
        </w:rPr>
        <w:t>人</w:t>
      </w:r>
      <w:r>
        <w:rPr>
          <w:rFonts w:hint="eastAsia" w:ascii="仿宋" w:hAnsi="仿宋" w:eastAsia="仿宋" w:cs="仿宋"/>
          <w:color w:val="auto"/>
          <w:kern w:val="2"/>
          <w:sz w:val="30"/>
          <w:szCs w:val="30"/>
          <w:lang w:eastAsia="zh-CN"/>
        </w:rPr>
        <w:t>须通过验收并</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w:t>
      </w:r>
      <w:r>
        <w:rPr>
          <w:rFonts w:hint="eastAsia" w:ascii="仿宋" w:hAnsi="仿宋" w:eastAsia="仿宋" w:cs="仿宋"/>
          <w:color w:val="auto"/>
          <w:kern w:val="2"/>
          <w:sz w:val="30"/>
          <w:szCs w:val="30"/>
          <w:lang w:eastAsia="zh-CN"/>
        </w:rPr>
        <w:t>款项</w:t>
      </w:r>
      <w:r>
        <w:rPr>
          <w:rFonts w:hint="eastAsia" w:ascii="仿宋" w:hAnsi="仿宋" w:eastAsia="仿宋" w:cs="仿宋"/>
          <w:color w:val="auto"/>
          <w:kern w:val="2"/>
          <w:sz w:val="30"/>
          <w:szCs w:val="30"/>
        </w:rPr>
        <w:t>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），于项目完成后随款项一齐退还</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（无息）</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kern w:val="2"/>
          <w:sz w:val="30"/>
          <w:szCs w:val="30"/>
          <w:lang w:val="en-US" w:eastAsia="zh-CN" w:bidi="ar-SA"/>
        </w:rPr>
        <w:t>本项目采购单项金额限价为每立方人民币肆佰伍拾元。合同总价不得超过人民币壹拾捌万元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该采购项目履约保证金为合同价的10%。中标人于合同签订前将履约保证金打入招标人指定账户。合同履行完成后，履约保证金转为质保金。质保期满后，招标人退还质保金（无息）。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pStyle w:val="11"/>
        <w:ind w:left="0" w:leftChars="0" w:firstLine="0" w:firstLineChars="0"/>
        <w:rPr>
          <w:rStyle w:val="20"/>
          <w:rFonts w:hint="eastAsia" w:ascii="仿宋" w:hAnsi="仿宋" w:eastAsia="仿宋" w:cs="仿宋"/>
          <w:sz w:val="30"/>
          <w:lang w:val="en-US"/>
        </w:rPr>
      </w:pPr>
      <w:r>
        <w:rPr>
          <w:rStyle w:val="20"/>
          <w:rFonts w:hint="eastAsia" w:ascii="仿宋" w:hAnsi="仿宋" w:eastAsia="仿宋" w:cs="仿宋"/>
          <w:sz w:val="30"/>
        </w:rPr>
        <w:t>附件三</w:t>
      </w:r>
      <w:r>
        <w:rPr>
          <w:rStyle w:val="20"/>
          <w:rFonts w:hint="eastAsia" w:ascii="仿宋" w:hAnsi="仿宋" w:eastAsia="仿宋" w:cs="仿宋"/>
          <w:sz w:val="30"/>
          <w:lang w:val="en-US"/>
        </w:rPr>
        <w:t xml:space="preserve"> 投标报价组成表</w:t>
      </w:r>
    </w:p>
    <w:p>
      <w:pPr>
        <w:rPr>
          <w:rStyle w:val="20"/>
          <w:rFonts w:hint="eastAsia" w:ascii="仿宋" w:hAnsi="仿宋" w:eastAsia="仿宋" w:cs="仿宋"/>
          <w:sz w:val="30"/>
          <w:lang w:val="en-US"/>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Style w:val="20"/>
                <w:rFonts w:hint="eastAsia" w:ascii="仿宋" w:hAnsi="仿宋" w:eastAsia="仿宋" w:cs="仿宋"/>
                <w:sz w:val="32"/>
                <w:szCs w:val="21"/>
                <w:vertAlign w:val="baseline"/>
                <w:lang w:val="en-US"/>
              </w:rPr>
            </w:pPr>
            <w:r>
              <w:rPr>
                <w:rStyle w:val="20"/>
                <w:rFonts w:hint="eastAsia" w:ascii="仿宋" w:hAnsi="仿宋" w:eastAsia="仿宋" w:cs="仿宋"/>
                <w:sz w:val="32"/>
                <w:szCs w:val="21"/>
                <w:vertAlign w:val="baseline"/>
                <w:lang w:val="en-US"/>
              </w:rPr>
              <w:t>内容</w:t>
            </w:r>
          </w:p>
        </w:tc>
        <w:tc>
          <w:tcPr>
            <w:tcW w:w="1547" w:type="dxa"/>
          </w:tcPr>
          <w:p>
            <w:pPr>
              <w:jc w:val="center"/>
              <w:rPr>
                <w:rStyle w:val="20"/>
                <w:rFonts w:hint="eastAsia" w:ascii="仿宋" w:hAnsi="仿宋" w:eastAsia="仿宋" w:cs="仿宋"/>
                <w:sz w:val="32"/>
                <w:szCs w:val="21"/>
                <w:vertAlign w:val="baseline"/>
                <w:lang w:val="en-US"/>
              </w:rPr>
            </w:pPr>
            <w:r>
              <w:rPr>
                <w:rStyle w:val="20"/>
                <w:rFonts w:hint="eastAsia" w:ascii="仿宋" w:hAnsi="仿宋" w:eastAsia="仿宋" w:cs="仿宋"/>
                <w:sz w:val="32"/>
                <w:szCs w:val="21"/>
                <w:vertAlign w:val="baseline"/>
                <w:lang w:val="en-US"/>
              </w:rPr>
              <w:t>单位</w:t>
            </w:r>
          </w:p>
        </w:tc>
        <w:tc>
          <w:tcPr>
            <w:tcW w:w="1548" w:type="dxa"/>
          </w:tcPr>
          <w:p>
            <w:pPr>
              <w:jc w:val="center"/>
              <w:rPr>
                <w:rStyle w:val="20"/>
                <w:rFonts w:hint="eastAsia" w:ascii="仿宋" w:hAnsi="仿宋" w:eastAsia="仿宋" w:cs="仿宋"/>
                <w:sz w:val="32"/>
                <w:szCs w:val="21"/>
                <w:vertAlign w:val="baseline"/>
                <w:lang w:val="en-US"/>
              </w:rPr>
            </w:pPr>
            <w:r>
              <w:rPr>
                <w:rStyle w:val="20"/>
                <w:rFonts w:hint="eastAsia" w:ascii="仿宋" w:hAnsi="仿宋" w:eastAsia="仿宋" w:cs="仿宋"/>
                <w:sz w:val="32"/>
                <w:szCs w:val="21"/>
                <w:vertAlign w:val="baseline"/>
                <w:lang w:val="en-US"/>
              </w:rPr>
              <w:t>数量</w:t>
            </w:r>
          </w:p>
        </w:tc>
        <w:tc>
          <w:tcPr>
            <w:tcW w:w="1548" w:type="dxa"/>
          </w:tcPr>
          <w:p>
            <w:pPr>
              <w:jc w:val="center"/>
              <w:rPr>
                <w:rStyle w:val="20"/>
                <w:rFonts w:hint="eastAsia" w:ascii="仿宋" w:hAnsi="仿宋" w:eastAsia="仿宋" w:cs="仿宋"/>
                <w:sz w:val="32"/>
                <w:szCs w:val="21"/>
                <w:vertAlign w:val="baseline"/>
                <w:lang w:val="en-US"/>
              </w:rPr>
            </w:pPr>
            <w:r>
              <w:rPr>
                <w:rStyle w:val="20"/>
                <w:rFonts w:hint="eastAsia" w:ascii="仿宋" w:hAnsi="仿宋" w:eastAsia="仿宋" w:cs="仿宋"/>
                <w:sz w:val="32"/>
                <w:szCs w:val="21"/>
                <w:vertAlign w:val="baseline"/>
                <w:lang w:val="en-US"/>
              </w:rPr>
              <w:t>单价</w:t>
            </w:r>
          </w:p>
        </w:tc>
        <w:tc>
          <w:tcPr>
            <w:tcW w:w="1548" w:type="dxa"/>
          </w:tcPr>
          <w:p>
            <w:pPr>
              <w:jc w:val="center"/>
              <w:rPr>
                <w:rStyle w:val="20"/>
                <w:rFonts w:hint="eastAsia" w:ascii="仿宋" w:hAnsi="仿宋" w:eastAsia="仿宋" w:cs="仿宋"/>
                <w:sz w:val="32"/>
                <w:szCs w:val="21"/>
                <w:vertAlign w:val="baseline"/>
                <w:lang w:val="en-US"/>
              </w:rPr>
            </w:pPr>
            <w:r>
              <w:rPr>
                <w:rStyle w:val="20"/>
                <w:rFonts w:hint="eastAsia" w:ascii="仿宋" w:hAnsi="仿宋" w:eastAsia="仿宋" w:cs="仿宋"/>
                <w:sz w:val="32"/>
                <w:szCs w:val="21"/>
                <w:vertAlign w:val="baseline"/>
                <w:lang w:val="en-US"/>
              </w:rPr>
              <w:t>合计</w:t>
            </w:r>
          </w:p>
        </w:tc>
        <w:tc>
          <w:tcPr>
            <w:tcW w:w="1548" w:type="dxa"/>
          </w:tcPr>
          <w:p>
            <w:pPr>
              <w:jc w:val="center"/>
              <w:rPr>
                <w:rStyle w:val="20"/>
                <w:rFonts w:hint="eastAsia" w:ascii="仿宋" w:hAnsi="仿宋" w:eastAsia="仿宋" w:cs="仿宋"/>
                <w:sz w:val="32"/>
                <w:szCs w:val="21"/>
                <w:vertAlign w:val="baseline"/>
                <w:lang w:val="en-US"/>
              </w:rPr>
            </w:pPr>
            <w:r>
              <w:rPr>
                <w:rStyle w:val="20"/>
                <w:rFonts w:hint="eastAsia" w:ascii="仿宋" w:hAnsi="仿宋" w:eastAsia="仿宋" w:cs="仿宋"/>
                <w:sz w:val="32"/>
                <w:szCs w:val="21"/>
                <w:vertAlign w:val="baseli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Style w:val="20"/>
                <w:rFonts w:hint="eastAsia" w:ascii="仿宋" w:hAnsi="仿宋" w:eastAsia="仿宋" w:cs="仿宋"/>
                <w:sz w:val="30"/>
                <w:vertAlign w:val="baseline"/>
                <w:lang w:val="en-US"/>
              </w:rPr>
            </w:pPr>
            <w:r>
              <w:rPr>
                <w:rStyle w:val="20"/>
                <w:rFonts w:hint="eastAsia" w:ascii="仿宋" w:hAnsi="仿宋" w:eastAsia="仿宋" w:cs="仿宋"/>
                <w:sz w:val="22"/>
                <w:szCs w:val="15"/>
                <w:vertAlign w:val="baseline"/>
                <w:lang w:val="en-US"/>
              </w:rPr>
              <w:t>设备进出场费</w:t>
            </w:r>
          </w:p>
        </w:tc>
        <w:tc>
          <w:tcPr>
            <w:tcW w:w="1547"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Style w:val="20"/>
                <w:rFonts w:hint="eastAsia" w:ascii="仿宋" w:hAnsi="仿宋" w:eastAsia="仿宋" w:cs="仿宋"/>
                <w:sz w:val="30"/>
                <w:vertAlign w:val="baseline"/>
                <w:lang w:val="en-US"/>
              </w:rPr>
            </w:pPr>
            <w:r>
              <w:rPr>
                <w:rStyle w:val="20"/>
                <w:rFonts w:hint="eastAsia" w:ascii="仿宋" w:hAnsi="仿宋" w:eastAsia="仿宋" w:cs="仿宋"/>
                <w:sz w:val="30"/>
                <w:vertAlign w:val="baseline"/>
                <w:lang w:val="en-US"/>
              </w:rPr>
              <w:t>人工清淤（含装车）</w:t>
            </w:r>
          </w:p>
        </w:tc>
        <w:tc>
          <w:tcPr>
            <w:tcW w:w="1547"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Style w:val="20"/>
                <w:rFonts w:hint="eastAsia" w:ascii="仿宋" w:hAnsi="仿宋" w:eastAsia="仿宋" w:cs="仿宋"/>
                <w:sz w:val="30"/>
                <w:vertAlign w:val="baseline"/>
                <w:lang w:val="en-US"/>
              </w:rPr>
            </w:pPr>
            <w:r>
              <w:rPr>
                <w:rStyle w:val="20"/>
                <w:rFonts w:hint="eastAsia" w:ascii="仿宋" w:hAnsi="仿宋" w:eastAsia="仿宋" w:cs="仿宋"/>
                <w:sz w:val="30"/>
                <w:vertAlign w:val="baseline"/>
                <w:lang w:val="en-US"/>
              </w:rPr>
              <w:t>盖板拆除及修复</w:t>
            </w:r>
          </w:p>
        </w:tc>
        <w:tc>
          <w:tcPr>
            <w:tcW w:w="1547"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jc w:val="center"/>
              <w:rPr>
                <w:rStyle w:val="20"/>
                <w:rFonts w:hint="eastAsia" w:ascii="仿宋" w:hAnsi="仿宋" w:eastAsia="仿宋" w:cs="仿宋"/>
                <w:sz w:val="30"/>
                <w:vertAlign w:val="baseline"/>
                <w:lang w:val="en-US"/>
              </w:rPr>
            </w:pPr>
            <w:r>
              <w:rPr>
                <w:rStyle w:val="20"/>
                <w:rFonts w:hint="eastAsia" w:ascii="仿宋" w:hAnsi="仿宋" w:eastAsia="仿宋" w:cs="仿宋"/>
                <w:sz w:val="30"/>
                <w:vertAlign w:val="baseline"/>
                <w:lang w:val="en-US"/>
              </w:rPr>
              <w:t>管沟冲洗</w:t>
            </w:r>
          </w:p>
        </w:tc>
        <w:tc>
          <w:tcPr>
            <w:tcW w:w="1547"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c>
          <w:tcPr>
            <w:tcW w:w="1548" w:type="dxa"/>
          </w:tcPr>
          <w:p>
            <w:pPr>
              <w:jc w:val="center"/>
              <w:rPr>
                <w:rStyle w:val="20"/>
                <w:rFonts w:hint="eastAsia" w:ascii="仿宋" w:hAnsi="仿宋" w:eastAsia="仿宋" w:cs="仿宋"/>
                <w:sz w:val="3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tcPr>
          <w:p>
            <w:pPr>
              <w:jc w:val="center"/>
              <w:rPr>
                <w:rStyle w:val="20"/>
                <w:rFonts w:hint="eastAsia" w:ascii="仿宋" w:hAnsi="仿宋" w:eastAsia="仿宋" w:cs="仿宋"/>
                <w:sz w:val="30"/>
                <w:vertAlign w:val="baseline"/>
                <w:lang w:val="en-US"/>
              </w:rPr>
            </w:pPr>
            <w:r>
              <w:rPr>
                <w:rStyle w:val="20"/>
                <w:rFonts w:hint="eastAsia" w:ascii="仿宋" w:hAnsi="仿宋" w:eastAsia="仿宋" w:cs="仿宋"/>
                <w:sz w:val="30"/>
                <w:vertAlign w:val="baseline"/>
                <w:lang w:val="en-US"/>
              </w:rPr>
              <w:t>…………（其余未提及项目由投标人自行填写）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tcPr>
          <w:p>
            <w:pPr>
              <w:jc w:val="center"/>
              <w:rPr>
                <w:rStyle w:val="20"/>
                <w:rFonts w:hint="default" w:ascii="仿宋" w:hAnsi="仿宋" w:eastAsia="仿宋" w:cs="仿宋"/>
                <w:sz w:val="30"/>
                <w:vertAlign w:val="baseline"/>
                <w:lang w:val="en-US"/>
              </w:rPr>
            </w:pPr>
            <w:r>
              <w:rPr>
                <w:rStyle w:val="20"/>
                <w:rFonts w:hint="eastAsia" w:ascii="仿宋" w:hAnsi="仿宋" w:eastAsia="仿宋" w:cs="仿宋"/>
                <w:sz w:val="30"/>
                <w:vertAlign w:val="baseline"/>
                <w:lang w:val="en-US"/>
              </w:rPr>
              <w:t>合计单价：     税率：</w:t>
            </w:r>
          </w:p>
        </w:tc>
      </w:tr>
    </w:tbl>
    <w:p>
      <w:pPr>
        <w:rPr>
          <w:rStyle w:val="20"/>
          <w:rFonts w:hint="eastAsia" w:ascii="仿宋" w:hAnsi="仿宋" w:eastAsia="仿宋" w:cs="仿宋"/>
          <w:sz w:val="30"/>
          <w:lang w:val="en-US"/>
        </w:rPr>
        <w:sectPr>
          <w:pgSz w:w="11906" w:h="16838"/>
          <w:pgMar w:top="1701" w:right="1418" w:bottom="1134" w:left="1418" w:header="851" w:footer="992" w:gutter="0"/>
          <w:cols w:space="720" w:num="1"/>
          <w:docGrid w:linePitch="312" w:charSpace="0"/>
        </w:sectPr>
      </w:pPr>
    </w:p>
    <w:p>
      <w:pPr>
        <w:rPr>
          <w:rStyle w:val="20"/>
          <w:rFonts w:hint="eastAsia" w:ascii="仿宋" w:hAnsi="仿宋" w:eastAsia="仿宋" w:cs="仿宋"/>
          <w:sz w:val="30"/>
          <w:lang w:val="en-US"/>
        </w:rPr>
        <w:sectPr>
          <w:pgSz w:w="11906" w:h="16838"/>
          <w:pgMar w:top="1701" w:right="1418" w:bottom="1134" w:left="1418" w:header="851" w:footer="992" w:gutter="0"/>
          <w:cols w:space="720" w:num="1"/>
          <w:docGrid w:linePitch="312" w:charSpace="0"/>
        </w:sectPr>
      </w:pPr>
    </w:p>
    <w:p>
      <w:pPr>
        <w:rPr>
          <w:rStyle w:val="20"/>
          <w:rFonts w:hint="eastAsia" w:ascii="仿宋" w:hAnsi="仿宋" w:eastAsia="仿宋" w:cs="仿宋"/>
          <w:sz w:val="30"/>
          <w:lang w:val="en-US"/>
        </w:rPr>
      </w:pPr>
    </w:p>
    <w:p>
      <w:pPr>
        <w:pStyle w:val="11"/>
        <w:ind w:left="0" w:leftChars="0" w:firstLine="0" w:firstLineChars="0"/>
        <w:rPr>
          <w:rFonts w:hint="default" w:eastAsia="宋体"/>
          <w:lang w:val="en-US" w:eastAsia="zh-CN"/>
        </w:rPr>
      </w:pPr>
      <w:r>
        <w:rPr>
          <w:rStyle w:val="20"/>
          <w:rFonts w:hint="eastAsia" w:ascii="仿宋" w:hAnsi="仿宋" w:eastAsia="仿宋" w:cs="仿宋"/>
          <w:sz w:val="30"/>
          <w:lang w:val="en-US"/>
        </w:rPr>
        <w:t>附件四 相关资质及业绩（由供货方自行填写）</w:t>
      </w: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35A4CDE"/>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C308E3"/>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5A390E"/>
    <w:rsid w:val="36ED02B2"/>
    <w:rsid w:val="37DB73A7"/>
    <w:rsid w:val="389D7311"/>
    <w:rsid w:val="39240478"/>
    <w:rsid w:val="398E418A"/>
    <w:rsid w:val="3996009B"/>
    <w:rsid w:val="3997709B"/>
    <w:rsid w:val="39A55AE7"/>
    <w:rsid w:val="39AF2ACB"/>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A4819AB"/>
    <w:rsid w:val="5CF528AB"/>
    <w:rsid w:val="5D132301"/>
    <w:rsid w:val="5F1E1E73"/>
    <w:rsid w:val="612A3DEE"/>
    <w:rsid w:val="62B67083"/>
    <w:rsid w:val="649C599A"/>
    <w:rsid w:val="66B027B6"/>
    <w:rsid w:val="66F171F8"/>
    <w:rsid w:val="671A2875"/>
    <w:rsid w:val="67580473"/>
    <w:rsid w:val="67966EFB"/>
    <w:rsid w:val="67B628F5"/>
    <w:rsid w:val="682119CD"/>
    <w:rsid w:val="69A94E0C"/>
    <w:rsid w:val="6B656B47"/>
    <w:rsid w:val="6B7E1643"/>
    <w:rsid w:val="6C714475"/>
    <w:rsid w:val="6CDB032D"/>
    <w:rsid w:val="6DBD736C"/>
    <w:rsid w:val="6DF45A5A"/>
    <w:rsid w:val="6E5526FF"/>
    <w:rsid w:val="6F2B1820"/>
    <w:rsid w:val="6F412F7A"/>
    <w:rsid w:val="707E74C2"/>
    <w:rsid w:val="710D0440"/>
    <w:rsid w:val="71C5585F"/>
    <w:rsid w:val="720E79AF"/>
    <w:rsid w:val="73A1381E"/>
    <w:rsid w:val="7459468D"/>
    <w:rsid w:val="749131D7"/>
    <w:rsid w:val="756F240E"/>
    <w:rsid w:val="76B739B8"/>
    <w:rsid w:val="779817DA"/>
    <w:rsid w:val="77D476E8"/>
    <w:rsid w:val="782A7918"/>
    <w:rsid w:val="79715756"/>
    <w:rsid w:val="7A121D2B"/>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1"/>
    <w:pPr>
      <w:spacing w:after="120" w:afterLines="0"/>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jc w:val="left"/>
    </w:pPr>
    <w:rPr>
      <w:b/>
      <w:caps/>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1">
    <w:name w:val="Body Text First Indent"/>
    <w:basedOn w:val="4"/>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12">
    <w:name w:val="Body Text First Indent 2"/>
    <w:basedOn w:val="5"/>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8"/>
    <w:qFormat/>
    <w:uiPriority w:val="0"/>
    <w:rPr>
      <w:kern w:val="2"/>
      <w:sz w:val="18"/>
      <w:szCs w:val="18"/>
    </w:rPr>
  </w:style>
  <w:style w:type="character" w:customStyle="1" w:styleId="24">
    <w:name w:val="批注框文本 Char"/>
    <w:basedOn w:val="15"/>
    <w:link w:val="6"/>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2"/>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6004</Words>
  <Characters>6205</Characters>
  <Lines>53</Lines>
  <Paragraphs>15</Paragraphs>
  <TotalTime>10</TotalTime>
  <ScaleCrop>false</ScaleCrop>
  <LinksUpToDate>false</LinksUpToDate>
  <CharactersWithSpaces>7096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2023-10-16T01:57:29Z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