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rPr>
          <w:rFonts w:hint="eastAsia" w:ascii="仿宋_GB2312" w:hAnsi="宋体" w:eastAsia="仿宋_GB2312"/>
          <w:b/>
          <w:sz w:val="52"/>
          <w:szCs w:val="52"/>
        </w:rPr>
      </w:pPr>
      <w:r>
        <w:rPr>
          <w:rFonts w:hint="eastAsia" w:ascii="仿宋_GB2312" w:hAnsi="宋体" w:eastAsia="仿宋_GB2312"/>
          <w:b/>
          <w:sz w:val="52"/>
          <w:szCs w:val="52"/>
          <w:lang w:eastAsia="zh-CN"/>
        </w:rPr>
        <w:t>绍兴市再生能源发展有限公司</w:t>
      </w:r>
    </w:p>
    <w:p>
      <w:pPr>
        <w:pStyle w:val="2"/>
      </w:pP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不锈钢搅拌器采购项目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竞争性谈判</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ZSNY/SBBJ2305017 </w:t>
      </w:r>
    </w:p>
    <w:p>
      <w:pPr>
        <w:spacing w:line="360" w:lineRule="auto"/>
        <w:ind w:firstLine="80" w:firstLineChars="25"/>
        <w:jc w:val="center"/>
        <w:rPr>
          <w:rFonts w:hint="eastAsia" w:ascii="仿宋" w:hAnsi="仿宋" w:eastAsia="仿宋" w:cs="仿宋"/>
          <w:sz w:val="32"/>
          <w:szCs w:val="32"/>
          <w:u w:val="single"/>
          <w:lang w:val="en-US" w:eastAsia="zh-CN"/>
        </w:rPr>
      </w:pPr>
      <w:bookmarkStart w:id="0" w:name="OLE_LINK52"/>
      <w:bookmarkStart w:id="1" w:name="OLE_LINK53"/>
      <w:r>
        <w:rPr>
          <w:rFonts w:hint="eastAsia" w:ascii="仿宋" w:hAnsi="仿宋" w:eastAsia="仿宋" w:cs="仿宋"/>
          <w:sz w:val="32"/>
          <w:szCs w:val="32"/>
        </w:rPr>
        <w:t>项目名称：</w:t>
      </w:r>
      <w:bookmarkEnd w:id="0"/>
      <w:bookmarkEnd w:id="1"/>
      <w:r>
        <w:rPr>
          <w:rFonts w:hint="eastAsia" w:ascii="仿宋" w:hAnsi="仿宋" w:eastAsia="仿宋" w:cs="仿宋"/>
          <w:sz w:val="32"/>
          <w:szCs w:val="32"/>
          <w:u w:val="single"/>
          <w:lang w:val="en-US" w:eastAsia="zh-CN"/>
        </w:rPr>
        <w:t xml:space="preserve">  不锈钢搅拌器</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三</w:t>
      </w:r>
      <w:r>
        <w:rPr>
          <w:rFonts w:hint="eastAsia" w:ascii="仿宋" w:hAnsi="仿宋" w:eastAsia="仿宋" w:cs="仿宋"/>
          <w:sz w:val="32"/>
          <w:szCs w:val="32"/>
        </w:rPr>
        <w:t>年</w:t>
      </w:r>
      <w:r>
        <w:rPr>
          <w:rFonts w:hint="eastAsia" w:ascii="仿宋" w:hAnsi="仿宋" w:eastAsia="仿宋" w:cs="仿宋"/>
          <w:sz w:val="32"/>
          <w:szCs w:val="32"/>
          <w:lang w:eastAsia="zh-CN"/>
        </w:rPr>
        <w:t>五</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sz w:val="36"/>
        </w:rPr>
        <w:fldChar w:fldCharType="begin"/>
      </w:r>
      <w:r>
        <w:rPr>
          <w:rFonts w:hint="eastAsia" w:ascii="仿宋" w:hAnsi="仿宋" w:eastAsia="仿宋" w:cs="仿宋"/>
          <w:sz w:val="36"/>
        </w:rPr>
        <w:instrText xml:space="preserve"> TOC \o "1-3" \h \z \u </w:instrText>
      </w:r>
      <w:r>
        <w:rPr>
          <w:rFonts w:hint="eastAsia" w:ascii="仿宋" w:hAnsi="仿宋" w:eastAsia="仿宋" w:cs="仿宋"/>
          <w:sz w:val="36"/>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"_Toc530583921"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第一部分   询价公告</w:t>
      </w:r>
      <w:bookmarkStart w:id="2" w:name="_Hlt4078678"/>
      <w:bookmarkStart w:id="3" w:name="_Hlt4078679"/>
      <w:r>
        <w:rPr>
          <w:rFonts w:hint="eastAsia" w:ascii="仿宋" w:hAnsi="仿宋" w:eastAsia="仿宋" w:cs="仿宋"/>
          <w:b w:val="0"/>
          <w:sz w:val="36"/>
        </w:rPr>
        <w:tab/>
      </w:r>
      <w:bookmarkEnd w:id="2"/>
      <w:bookmarkEnd w:id="3"/>
      <w:r>
        <w:rPr>
          <w:rFonts w:hint="eastAsia" w:ascii="仿宋" w:hAnsi="仿宋" w:eastAsia="仿宋" w:cs="仿宋"/>
          <w:b w:val="0"/>
          <w:sz w:val="36"/>
        </w:rPr>
        <w:t>3</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"_Toc530583922"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第二部分   采购须知</w:t>
      </w:r>
      <w:r>
        <w:rPr>
          <w:rFonts w:hint="eastAsia" w:ascii="仿宋" w:hAnsi="仿宋" w:eastAsia="仿宋" w:cs="仿宋"/>
          <w:b w:val="0"/>
          <w:sz w:val="36"/>
        </w:rPr>
        <w:tab/>
      </w:r>
      <w:r>
        <w:rPr>
          <w:rFonts w:hint="eastAsia" w:ascii="仿宋" w:hAnsi="仿宋" w:eastAsia="仿宋" w:cs="仿宋"/>
          <w:b w:val="0"/>
          <w:sz w:val="36"/>
        </w:rPr>
        <w:t>4</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"_Toc530583923"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第三部分   询价内容</w:t>
      </w:r>
      <w:r>
        <w:rPr>
          <w:rFonts w:hint="eastAsia" w:ascii="仿宋" w:hAnsi="仿宋" w:eastAsia="仿宋" w:cs="仿宋"/>
          <w:b w:val="0"/>
          <w:sz w:val="36"/>
        </w:rPr>
        <w:tab/>
      </w:r>
      <w:r>
        <w:rPr>
          <w:rFonts w:hint="eastAsia" w:ascii="仿宋" w:hAnsi="仿宋" w:eastAsia="仿宋" w:cs="仿宋"/>
          <w:b w:val="0"/>
          <w:sz w:val="36"/>
        </w:rPr>
        <w:t>6</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"_Toc530583924"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第四部分   报价文件格式</w:t>
      </w:r>
      <w:r>
        <w:rPr>
          <w:rFonts w:hint="eastAsia" w:ascii="仿宋" w:hAnsi="仿宋" w:eastAsia="仿宋" w:cs="仿宋"/>
          <w:b w:val="0"/>
          <w:sz w:val="36"/>
        </w:rPr>
        <w:tab/>
      </w:r>
      <w:r>
        <w:rPr>
          <w:rFonts w:hint="eastAsia" w:ascii="仿宋" w:hAnsi="仿宋" w:eastAsia="仿宋" w:cs="仿宋"/>
          <w:b w:val="0"/>
          <w:sz w:val="36"/>
        </w:rPr>
        <w:t>7</w:t>
      </w:r>
      <w:r>
        <w:rPr>
          <w:rFonts w:hint="eastAsia" w:ascii="仿宋" w:hAnsi="仿宋" w:eastAsia="仿宋" w:cs="仿宋"/>
          <w:b w:val="0"/>
          <w:sz w:val="36"/>
        </w:rPr>
        <w:fldChar w:fldCharType="end"/>
      </w:r>
    </w:p>
    <w:p>
      <w:pPr>
        <w:rPr>
          <w:rFonts w:hint="eastAsia" w:ascii="仿宋" w:hAnsi="仿宋" w:eastAsia="仿宋" w:cs="仿宋"/>
          <w:sz w:val="36"/>
        </w:rPr>
      </w:pPr>
      <w:r>
        <w:rPr>
          <w:rFonts w:hint="eastAsia" w:ascii="仿宋" w:hAnsi="仿宋" w:eastAsia="仿宋" w:cs="仿宋"/>
          <w:sz w:val="36"/>
        </w:rPr>
        <w:fldChar w:fldCharType="end"/>
      </w:r>
    </w:p>
    <w:p>
      <w:pPr>
        <w:rPr>
          <w:rFonts w:hint="eastAsia" w:ascii="仿宋" w:hAnsi="仿宋" w:eastAsia="仿宋" w:cs="仿宋"/>
          <w:sz w:val="36"/>
        </w:rPr>
      </w:pPr>
    </w:p>
    <w:p>
      <w:pPr>
        <w:snapToGrid w:val="0"/>
        <w:jc w:val="center"/>
        <w:rPr>
          <w:rFonts w:hint="eastAsia" w:ascii="仿宋" w:hAnsi="仿宋" w:eastAsia="仿宋" w:cs="仿宋"/>
          <w:snapToGrid w:val="0"/>
          <w:sz w:val="30"/>
          <w:szCs w:val="30"/>
        </w:rPr>
      </w:pPr>
      <w:r>
        <w:rPr>
          <w:rFonts w:hint="eastAsia" w:ascii="仿宋" w:hAnsi="仿宋" w:eastAsia="仿宋" w:cs="仿宋"/>
          <w:sz w:val="32"/>
          <w:szCs w:val="32"/>
        </w:rPr>
        <w:br w:type="page"/>
      </w:r>
      <w:bookmarkStart w:id="4" w:name="_Toc530583921"/>
      <w:bookmarkStart w:id="5" w:name="_Toc530583878"/>
      <w:r>
        <w:rPr>
          <w:rFonts w:hint="eastAsia" w:ascii="仿宋" w:hAnsi="仿宋" w:eastAsia="仿宋" w:cs="仿宋"/>
          <w:b/>
          <w:snapToGrid w:val="0"/>
          <w:color w:val="000000"/>
          <w:kern w:val="44"/>
          <w:sz w:val="44"/>
          <w:szCs w:val="44"/>
          <w:lang w:val="en-US" w:eastAsia="zh-CN" w:bidi="ar-SA"/>
        </w:rPr>
        <w:t>第一部分   询价公告</w:t>
      </w:r>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因日常生产需要，需采购</w:t>
      </w:r>
      <w:r>
        <w:rPr>
          <w:rFonts w:hint="eastAsia" w:ascii="仿宋" w:hAnsi="仿宋" w:eastAsia="仿宋" w:cs="仿宋"/>
          <w:sz w:val="30"/>
          <w:szCs w:val="30"/>
          <w:lang w:eastAsia="zh-CN"/>
        </w:rPr>
        <w:t>不锈钢搅拌器</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ZSNY/SBBJ2305017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2"/>
        <w:tblW w:w="4991" w:type="pct"/>
        <w:jc w:val="center"/>
        <w:tblLayout w:type="autofit"/>
        <w:tblCellMar>
          <w:top w:w="0" w:type="dxa"/>
          <w:left w:w="108" w:type="dxa"/>
          <w:bottom w:w="0" w:type="dxa"/>
          <w:right w:w="108" w:type="dxa"/>
        </w:tblCellMar>
      </w:tblPr>
      <w:tblGrid>
        <w:gridCol w:w="886"/>
        <w:gridCol w:w="1974"/>
        <w:gridCol w:w="2894"/>
        <w:gridCol w:w="907"/>
        <w:gridCol w:w="1304"/>
        <w:gridCol w:w="1304"/>
      </w:tblGrid>
      <w:tr>
        <w:tblPrEx>
          <w:tblCellMar>
            <w:top w:w="0" w:type="dxa"/>
            <w:left w:w="108" w:type="dxa"/>
            <w:bottom w:w="0" w:type="dxa"/>
            <w:right w:w="108" w:type="dxa"/>
          </w:tblCellMar>
        </w:tblPrEx>
        <w:trPr>
          <w:trHeight w:val="90"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0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5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备注</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防爆潜水搅拌器</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 xml:space="preserve">QJB10/12-620/3-480/S，功率10kw  电压380v 电机转速 500r/min </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6</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台</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材质为304不锈钢，电线长9米及以上，不带安装系统</w:t>
            </w:r>
          </w:p>
        </w:tc>
      </w:tr>
    </w:tbl>
    <w:p>
      <w:pPr>
        <w:pStyle w:val="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12.00万</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bookmarkStart w:id="6" w:name="_Toc530583880"/>
      <w:bookmarkStart w:id="7" w:name="_Toc530583923"/>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default" w:ascii="仿宋_GB2312" w:eastAsia="仿宋_GB2312"/>
          <w:sz w:val="30"/>
          <w:szCs w:val="30"/>
          <w:lang w:val="en-US"/>
        </w:rPr>
        <w:t>3</w:t>
      </w:r>
      <w:r>
        <w:rPr>
          <w:rFonts w:hint="eastAsia" w:ascii="仿宋_GB2312" w:eastAsia="仿宋_GB2312"/>
          <w:sz w:val="30"/>
          <w:szCs w:val="30"/>
        </w:rPr>
        <w:t>年</w:t>
      </w:r>
      <w:r>
        <w:rPr>
          <w:rFonts w:hint="eastAsia" w:ascii="仿宋_GB2312" w:eastAsia="仿宋_GB2312"/>
          <w:sz w:val="30"/>
          <w:szCs w:val="30"/>
          <w:lang w:val="en-US" w:eastAsia="zh-CN"/>
        </w:rPr>
        <w:t>5月29</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13957589811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2023</w:t>
      </w:r>
      <w:r>
        <w:rPr>
          <w:rFonts w:hint="default" w:ascii="仿宋_GB2312" w:eastAsia="仿宋_GB2312"/>
          <w:sz w:val="30"/>
          <w:szCs w:val="30"/>
          <w:lang w:val="en-US"/>
        </w:rPr>
        <w:t>年</w:t>
      </w:r>
      <w:r>
        <w:rPr>
          <w:rFonts w:hint="eastAsia" w:ascii="仿宋_GB2312" w:eastAsia="仿宋_GB2312"/>
          <w:sz w:val="30"/>
          <w:szCs w:val="30"/>
          <w:lang w:val="en-US" w:eastAsia="zh-CN"/>
        </w:rPr>
        <w:t>5月23</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rPr>
          <w:rFonts w:ascii="仿宋_GB2312" w:eastAsia="仿宋_GB2312"/>
          <w:snapToGrid w:val="0"/>
          <w:sz w:val="30"/>
          <w:szCs w:val="30"/>
        </w:rPr>
      </w:pPr>
      <w:bookmarkStart w:id="13" w:name="_GoBack"/>
      <w:bookmarkEnd w:id="13"/>
      <w:r>
        <w:rPr>
          <w:rFonts w:hint="eastAsia" w:ascii="仿宋_GB2312" w:eastAsia="仿宋_GB2312"/>
          <w:sz w:val="30"/>
          <w:szCs w:val="30"/>
        </w:rPr>
        <w:br w:type="page"/>
      </w:r>
      <w:bookmarkStart w:id="8" w:name="_Toc530583879"/>
      <w:bookmarkStart w:id="9" w:name="_Toc530583922"/>
      <w:r>
        <w:rPr>
          <w:rFonts w:hint="eastAsia" w:ascii="仿宋_GB2312" w:hAnsi="Arial" w:eastAsia="仿宋_GB2312" w:cs="Times New Roman"/>
          <w:b/>
          <w:snapToGrid w:val="0"/>
          <w:color w:val="000000"/>
          <w:kern w:val="44"/>
          <w:sz w:val="44"/>
          <w:szCs w:val="44"/>
          <w:lang w:val="en-US" w:eastAsia="zh-CN" w:bidi="ar-SA"/>
        </w:rPr>
        <w:t>第二部分   采购须知</w:t>
      </w:r>
      <w:bookmarkEnd w:id="8"/>
      <w:bookmarkEnd w:id="9"/>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三、采购报价。</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w:t>
      </w:r>
      <w:r>
        <w:rPr>
          <w:rFonts w:hint="eastAsia" w:ascii="仿宋_GB2312" w:eastAsia="仿宋_GB2312"/>
          <w:b/>
          <w:bCs/>
          <w:sz w:val="30"/>
          <w:szCs w:val="30"/>
          <w:lang w:val="en-US" w:eastAsia="zh-CN"/>
        </w:rPr>
        <w:t xml:space="preserve">  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要求的前提下，经</w:t>
      </w:r>
      <w:r>
        <w:rPr>
          <w:rFonts w:hint="eastAsia" w:ascii="仿宋_GB2312" w:eastAsia="仿宋_GB2312"/>
          <w:sz w:val="30"/>
          <w:szCs w:val="30"/>
          <w:lang w:eastAsia="zh-CN"/>
        </w:rPr>
        <w:t>资质</w:t>
      </w:r>
      <w:r>
        <w:rPr>
          <w:rFonts w:hint="eastAsia" w:ascii="仿宋_GB2312" w:eastAsia="仿宋_GB2312"/>
          <w:sz w:val="30"/>
          <w:szCs w:val="30"/>
        </w:rPr>
        <w:t>评审通过后</w:t>
      </w:r>
      <w:r>
        <w:rPr>
          <w:rFonts w:hint="eastAsia" w:ascii="仿宋_GB2312" w:eastAsia="仿宋_GB2312"/>
          <w:sz w:val="30"/>
          <w:szCs w:val="30"/>
          <w:lang w:eastAsia="zh-CN"/>
        </w:rPr>
        <w:t>进行二次询价，以二次报价</w:t>
      </w:r>
      <w:r>
        <w:rPr>
          <w:rFonts w:hint="eastAsia" w:ascii="仿宋_GB2312" w:eastAsia="仿宋_GB2312"/>
          <w:sz w:val="30"/>
          <w:szCs w:val="30"/>
        </w:rPr>
        <w:t>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8"/>
        <w:pageBreakBefore w:val="0"/>
        <w:widowControl w:val="0"/>
        <w:kinsoku/>
        <w:wordWrap/>
        <w:topLinePunct w:val="0"/>
        <w:bidi w:val="0"/>
        <w:snapToGrid w:val="0"/>
        <w:spacing w:line="360" w:lineRule="auto"/>
        <w:ind w:firstLine="60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3"/>
        <w:rPr>
          <w:rFonts w:hint="eastAsia" w:ascii="仿宋" w:hAnsi="仿宋" w:eastAsia="仿宋" w:cs="仿宋"/>
          <w:snapToGrid w:val="0"/>
          <w:sz w:val="44"/>
          <w:szCs w:val="44"/>
        </w:rPr>
      </w:pPr>
    </w:p>
    <w:p>
      <w:pPr>
        <w:pStyle w:val="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3"/>
        <w:rPr>
          <w:rFonts w:hint="eastAsia" w:ascii="仿宋" w:hAnsi="仿宋" w:eastAsia="仿宋" w:cs="仿宋"/>
          <w:snapToGrid w:val="0"/>
          <w:sz w:val="44"/>
          <w:szCs w:val="44"/>
        </w:rPr>
      </w:pPr>
    </w:p>
    <w:p>
      <w:pPr>
        <w:pStyle w:val="2"/>
        <w:rPr>
          <w:rFonts w:hint="eastAsia"/>
        </w:rPr>
      </w:pPr>
    </w:p>
    <w:p>
      <w:pPr>
        <w:pStyle w:val="3"/>
        <w:rPr>
          <w:rFonts w:hint="eastAsia"/>
        </w:rPr>
      </w:pPr>
    </w:p>
    <w:p>
      <w:pPr>
        <w:pStyle w:val="4"/>
        <w:numPr>
          <w:ilvl w:val="0"/>
          <w:numId w:val="0"/>
        </w:numPr>
        <w:jc w:val="center"/>
        <w:rPr>
          <w:rFonts w:hint="eastAsia" w:ascii="仿宋" w:hAnsi="仿宋" w:eastAsia="仿宋" w:cs="仿宋"/>
          <w:b w:val="0"/>
          <w:bCs/>
          <w:snapToGrid w:val="0"/>
          <w:sz w:val="44"/>
        </w:rPr>
      </w:pPr>
      <w:r>
        <w:rPr>
          <w:rFonts w:hint="eastAsia" w:ascii="仿宋" w:hAnsi="仿宋" w:eastAsia="仿宋" w:cs="仿宋"/>
          <w:snapToGrid w:val="0"/>
          <w:sz w:val="44"/>
          <w:szCs w:val="44"/>
        </w:rPr>
        <w:t>第三部分   询价内容</w:t>
      </w:r>
      <w:bookmarkEnd w:id="6"/>
      <w:bookmarkEnd w:id="7"/>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24"/>
          <w:szCs w:val="24"/>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r>
        <w:rPr>
          <w:rFonts w:hint="eastAsia" w:ascii="仿宋" w:hAnsi="仿宋" w:eastAsia="仿宋" w:cs="仿宋"/>
          <w:sz w:val="24"/>
          <w:szCs w:val="24"/>
        </w:rPr>
        <w:t>：</w:t>
      </w:r>
      <w:r>
        <w:rPr>
          <w:rFonts w:hint="eastAsia" w:ascii="仿宋" w:hAnsi="仿宋" w:eastAsia="仿宋" w:cs="仿宋"/>
          <w:color w:val="auto"/>
          <w:kern w:val="2"/>
          <w:sz w:val="30"/>
          <w:szCs w:val="30"/>
          <w:lang w:val="en-US" w:eastAsia="zh-CN"/>
        </w:rPr>
        <w:t>详见报价清单</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本项目供货期为单次供货项目。</w:t>
      </w:r>
      <w:r>
        <w:rPr>
          <w:rFonts w:hint="eastAsia" w:ascii="仿宋" w:hAnsi="仿宋" w:eastAsia="仿宋" w:cs="仿宋"/>
          <w:color w:val="auto"/>
          <w:kern w:val="2"/>
          <w:sz w:val="30"/>
          <w:szCs w:val="30"/>
        </w:rPr>
        <w:t>供应商接到采购人送货通知后，</w:t>
      </w:r>
      <w:r>
        <w:rPr>
          <w:rFonts w:hint="eastAsia" w:ascii="仿宋" w:hAnsi="仿宋" w:eastAsia="仿宋" w:cs="仿宋"/>
          <w:color w:val="auto"/>
          <w:kern w:val="2"/>
          <w:sz w:val="30"/>
          <w:szCs w:val="30"/>
          <w:lang w:val="en-US" w:eastAsia="zh-CN"/>
        </w:rPr>
        <w:t>10个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中标人需提供一年质保，其履约保证金到时自动转为质保金，于质保期到期后支付</w:t>
      </w:r>
      <w:r>
        <w:rPr>
          <w:rFonts w:hint="eastAsia" w:ascii="仿宋" w:hAnsi="仿宋" w:eastAsia="仿宋" w:cs="仿宋"/>
          <w:color w:val="auto"/>
          <w:kern w:val="2"/>
          <w:sz w:val="30"/>
          <w:szCs w:val="30"/>
        </w:rPr>
        <w:t>。</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rPr>
          <w:rFonts w:hint="eastAsia" w:ascii="仿宋" w:hAnsi="仿宋" w:eastAsia="仿宋" w:cs="仿宋"/>
          <w:snapToGrid w:val="0"/>
          <w:sz w:val="44"/>
          <w:szCs w:val="44"/>
        </w:rPr>
      </w:pPr>
      <w:bookmarkStart w:id="10" w:name="_Toc530583924"/>
      <w:r>
        <w:rPr>
          <w:rFonts w:hint="eastAsia" w:ascii="仿宋" w:hAnsi="仿宋" w:eastAsia="仿宋" w:cs="仿宋"/>
          <w:snapToGrid w:val="0"/>
          <w:sz w:val="30"/>
          <w:szCs w:val="30"/>
        </w:rPr>
        <w:br w:type="page"/>
      </w:r>
      <w:r>
        <w:rPr>
          <w:rFonts w:hint="eastAsia" w:ascii="仿宋" w:hAnsi="仿宋" w:eastAsia="仿宋" w:cs="仿宋"/>
          <w:snapToGrid w:val="0"/>
          <w:sz w:val="44"/>
          <w:szCs w:val="44"/>
        </w:rPr>
        <w:t>第四部分    报价文件格式</w:t>
      </w:r>
      <w:bookmarkEnd w:id="10"/>
    </w:p>
    <w:p>
      <w:pPr>
        <w:spacing w:line="480" w:lineRule="auto"/>
        <w:jc w:val="left"/>
        <w:rPr>
          <w:rFonts w:hint="eastAsia" w:ascii="仿宋" w:hAnsi="仿宋" w:eastAsia="仿宋" w:cs="仿宋"/>
          <w:b/>
          <w:sz w:val="28"/>
        </w:rPr>
      </w:pPr>
      <w:r>
        <w:rPr>
          <w:rStyle w:val="19"/>
          <w:rFonts w:hint="eastAsia" w:ascii="仿宋" w:hAnsi="仿宋" w:eastAsia="仿宋" w:cs="仿宋"/>
          <w:sz w:val="30"/>
        </w:rPr>
        <w:t>附件一：</w:t>
      </w:r>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eastAsia="zh-CN"/>
        </w:rPr>
        <w:t>不锈钢搅拌器</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ZSNY/SBBJ2305017</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2023年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19"/>
          <w:rFonts w:hint="eastAsia" w:ascii="仿宋" w:hAnsi="仿宋" w:eastAsia="仿宋" w:cs="仿宋"/>
          <w:sz w:val="30"/>
        </w:rPr>
        <w:br w:type="page"/>
      </w:r>
    </w:p>
    <w:p>
      <w:pPr>
        <w:adjustRightInd w:val="0"/>
        <w:snapToGrid w:val="0"/>
        <w:spacing w:line="360" w:lineRule="auto"/>
        <w:ind w:right="480"/>
        <w:jc w:val="left"/>
        <w:rPr>
          <w:rStyle w:val="19"/>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rPr>
          <w:rStyle w:val="19"/>
          <w:rFonts w:hint="eastAsia" w:ascii="仿宋" w:hAnsi="仿宋" w:eastAsia="仿宋" w:cs="仿宋"/>
          <w:sz w:val="30"/>
        </w:rPr>
      </w:pPr>
      <w:r>
        <w:rPr>
          <w:rStyle w:val="19"/>
          <w:rFonts w:hint="eastAsia" w:ascii="仿宋" w:hAnsi="仿宋" w:eastAsia="仿宋" w:cs="仿宋"/>
          <w:sz w:val="30"/>
        </w:rPr>
        <w:t xml:space="preserve">附件二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0"/>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 </w:t>
      </w:r>
      <w:r>
        <w:rPr>
          <w:rFonts w:hint="eastAsia" w:ascii="仿宋" w:hAnsi="仿宋" w:eastAsia="仿宋" w:cs="仿宋"/>
          <w:sz w:val="30"/>
          <w:szCs w:val="30"/>
          <w:u w:val="none"/>
          <w:lang w:val="en-US" w:eastAsia="zh-CN"/>
        </w:rPr>
        <w:t>项目。</w:t>
      </w:r>
    </w:p>
    <w:tbl>
      <w:tblPr>
        <w:tblStyle w:val="12"/>
        <w:tblW w:w="5000" w:type="pct"/>
        <w:jc w:val="center"/>
        <w:tblLayout w:type="fixed"/>
        <w:tblCellMar>
          <w:top w:w="0" w:type="dxa"/>
          <w:left w:w="108" w:type="dxa"/>
          <w:bottom w:w="0" w:type="dxa"/>
          <w:right w:w="108" w:type="dxa"/>
        </w:tblCellMar>
      </w:tblPr>
      <w:tblGrid>
        <w:gridCol w:w="519"/>
        <w:gridCol w:w="1467"/>
        <w:gridCol w:w="1658"/>
        <w:gridCol w:w="810"/>
        <w:gridCol w:w="638"/>
        <w:gridCol w:w="724"/>
        <w:gridCol w:w="845"/>
        <w:gridCol w:w="1349"/>
        <w:gridCol w:w="1278"/>
      </w:tblGrid>
      <w:tr>
        <w:tblPrEx>
          <w:tblCellMar>
            <w:top w:w="0" w:type="dxa"/>
            <w:left w:w="108" w:type="dxa"/>
            <w:bottom w:w="0" w:type="dxa"/>
            <w:right w:w="108" w:type="dxa"/>
          </w:tblCellMar>
        </w:tblPrEx>
        <w:trPr>
          <w:trHeight w:val="467" w:hRule="atLeast"/>
          <w:jc w:val="center"/>
        </w:trPr>
        <w:tc>
          <w:tcPr>
            <w:tcW w:w="5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4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16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c>
          <w:tcPr>
            <w:tcW w:w="13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备注</w:t>
            </w:r>
          </w:p>
        </w:tc>
        <w:tc>
          <w:tcPr>
            <w:tcW w:w="12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w:t>
            </w:r>
          </w:p>
        </w:tc>
      </w:tr>
      <w:tr>
        <w:tblPrEx>
          <w:tblCellMar>
            <w:top w:w="0" w:type="dxa"/>
            <w:left w:w="108" w:type="dxa"/>
            <w:bottom w:w="0" w:type="dxa"/>
            <w:right w:w="108" w:type="dxa"/>
          </w:tblCellMar>
        </w:tblPrEx>
        <w:trPr>
          <w:trHeight w:val="532" w:hRule="atLeast"/>
          <w:jc w:val="center"/>
        </w:trPr>
        <w:tc>
          <w:tcPr>
            <w:tcW w:w="5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2"/>
                <w:szCs w:val="22"/>
                <w:u w:val="none"/>
                <w:lang w:val="en-US" w:eastAsia="zh-CN" w:bidi="ar"/>
              </w:rPr>
              <w:t>1</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2"/>
                <w:szCs w:val="22"/>
                <w:u w:val="none"/>
                <w:lang w:val="en-US" w:eastAsia="zh-CN" w:bidi="ar"/>
              </w:rPr>
              <w:t>防爆潜水搅拌器</w:t>
            </w:r>
          </w:p>
        </w:tc>
        <w:tc>
          <w:tcPr>
            <w:tcW w:w="1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2"/>
                <w:szCs w:val="22"/>
                <w:u w:val="none"/>
                <w:lang w:val="en-US" w:eastAsia="zh-CN" w:bidi="ar"/>
              </w:rPr>
              <w:t xml:space="preserve">QJB10/12-620/3-480/S，功率10kw  电压380v 电机转速 500r/min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000000"/>
                <w:kern w:val="0"/>
                <w:sz w:val="22"/>
                <w:szCs w:val="22"/>
                <w:u w:val="none"/>
                <w:lang w:val="en-US" w:eastAsia="zh-CN" w:bidi="ar"/>
              </w:rPr>
              <w:t>6</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2"/>
                <w:szCs w:val="22"/>
                <w:u w:val="none"/>
                <w:lang w:val="en-US" w:eastAsia="zh-CN" w:bidi="ar"/>
              </w:rPr>
              <w:t>台</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3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2"/>
                <w:szCs w:val="22"/>
                <w:u w:val="none"/>
                <w:lang w:val="en-US" w:eastAsia="zh-CN" w:bidi="ar"/>
              </w:rPr>
              <w:t>材质为304不锈钢，电线长9米及以上，不带安装系统</w:t>
            </w:r>
          </w:p>
        </w:tc>
        <w:tc>
          <w:tcPr>
            <w:tcW w:w="12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¥20000.00/台</w:t>
            </w:r>
          </w:p>
        </w:tc>
      </w:tr>
    </w:tbl>
    <w:p>
      <w:pPr>
        <w:pStyle w:val="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中标人需提供一年质保，其履约保证金到时自动转为质保金，于质保期到期后支付</w:t>
      </w:r>
      <w:r>
        <w:rPr>
          <w:rFonts w:hint="eastAsia" w:ascii="仿宋" w:hAnsi="仿宋" w:eastAsia="仿宋" w:cs="仿宋"/>
          <w:color w:val="auto"/>
          <w:kern w:val="2"/>
          <w:sz w:val="30"/>
          <w:szCs w:val="30"/>
        </w:rPr>
        <w:t>。</w:t>
      </w:r>
      <w:r>
        <w:rPr>
          <w:rFonts w:hint="eastAsia" w:ascii="仿宋_GB2312" w:eastAsia="仿宋_GB2312"/>
          <w:color w:val="auto"/>
          <w:kern w:val="2"/>
          <w:sz w:val="30"/>
          <w:szCs w:val="30"/>
          <w:highlight w:val="none"/>
          <w:lang w:eastAsia="zh-CN"/>
        </w:rPr>
        <w:t>【禁止擅自修改付款条件，未满足该条件则视为无效投标】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相关要求：1、</w:t>
      </w:r>
      <w:r>
        <w:rPr>
          <w:rFonts w:hint="eastAsia" w:ascii="仿宋" w:hAnsi="仿宋" w:eastAsia="仿宋" w:cs="仿宋"/>
          <w:color w:val="FF0000"/>
          <w:sz w:val="30"/>
          <w:szCs w:val="30"/>
          <w:lang w:val="en-US" w:eastAsia="zh-CN"/>
        </w:rPr>
        <w:t>该采购项目履约保证金为人民币伍仟元整。中标人于合同签订前将履约保证金打入招标人指定账户。合同履行完成后，履约保证金转为质保金。质保期满后，招标人退还质保金（无息）。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2、中标人在合同履行期间出现违约行为，招标人可扣除相应履约保证金/质保金，并向中标人追究相应经济损失。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3、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4、以上总价应为含税全包价，包括运费、税费等一切费用，发票必须为增值税专用发票。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2023年</w:t>
      </w:r>
      <w:r>
        <w:rPr>
          <w:rFonts w:hint="eastAsia" w:ascii="仿宋" w:hAnsi="仿宋" w:eastAsia="仿宋" w:cs="仿宋"/>
          <w:sz w:val="24"/>
          <w:szCs w:val="24"/>
        </w:rPr>
        <w:t xml:space="preserve"> 月 日</w:t>
      </w:r>
    </w:p>
    <w:p>
      <w:pPr>
        <w:spacing w:line="480" w:lineRule="auto"/>
        <w:jc w:val="left"/>
        <w:rPr>
          <w:rFonts w:hint="eastAsia" w:ascii="仿宋" w:hAnsi="仿宋" w:eastAsia="仿宋" w:cs="仿宋"/>
          <w:b/>
          <w:spacing w:val="-2"/>
          <w:sz w:val="30"/>
        </w:rPr>
      </w:pPr>
      <w:bookmarkStart w:id="11" w:name="_Toc103165678"/>
      <w:bookmarkStart w:id="12" w:name="_Toc108839328"/>
      <w:r>
        <w:rPr>
          <w:rStyle w:val="19"/>
          <w:rFonts w:hint="eastAsia" w:ascii="仿宋" w:hAnsi="仿宋" w:eastAsia="仿宋" w:cs="仿宋"/>
          <w:sz w:val="30"/>
        </w:rPr>
        <w:t>附件</w:t>
      </w:r>
      <w:bookmarkEnd w:id="11"/>
      <w:bookmarkEnd w:id="12"/>
      <w:r>
        <w:rPr>
          <w:rStyle w:val="19"/>
          <w:rFonts w:hint="eastAsia" w:ascii="仿宋" w:hAnsi="仿宋" w:eastAsia="仿宋" w:cs="仿宋"/>
          <w:sz w:val="30"/>
        </w:rPr>
        <w:t>三</w:t>
      </w:r>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u w:val="single"/>
          <w:lang w:val="en-US" w:eastAsia="zh-CN"/>
        </w:rPr>
        <w:t>2023年不锈钢搅拌器</w:t>
      </w: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项目</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eastAsia="zh-CN"/>
        </w:rPr>
        <w:t>三</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rPr>
        <w:rStyle w:val="15"/>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4CC8527C"/>
    <w:multiLevelType w:val="singleLevel"/>
    <w:tmpl w:val="4CC8527C"/>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D22213"/>
    <w:rsid w:val="02834D04"/>
    <w:rsid w:val="038D5656"/>
    <w:rsid w:val="04605697"/>
    <w:rsid w:val="05D22118"/>
    <w:rsid w:val="06057AB3"/>
    <w:rsid w:val="076328DA"/>
    <w:rsid w:val="08186607"/>
    <w:rsid w:val="083A3947"/>
    <w:rsid w:val="08F93082"/>
    <w:rsid w:val="097479E0"/>
    <w:rsid w:val="0A0C6ADD"/>
    <w:rsid w:val="0A32752C"/>
    <w:rsid w:val="0A9D29B8"/>
    <w:rsid w:val="0B2C6C02"/>
    <w:rsid w:val="0BC12699"/>
    <w:rsid w:val="0BCC31F9"/>
    <w:rsid w:val="0C5A16A4"/>
    <w:rsid w:val="0DC35837"/>
    <w:rsid w:val="0DE61498"/>
    <w:rsid w:val="110C39D4"/>
    <w:rsid w:val="1297576D"/>
    <w:rsid w:val="12BF4C87"/>
    <w:rsid w:val="12E70A09"/>
    <w:rsid w:val="15341747"/>
    <w:rsid w:val="164F6705"/>
    <w:rsid w:val="16646293"/>
    <w:rsid w:val="16FE5921"/>
    <w:rsid w:val="17B042A1"/>
    <w:rsid w:val="1A2B7D96"/>
    <w:rsid w:val="1BD33B78"/>
    <w:rsid w:val="1BEC2FB3"/>
    <w:rsid w:val="1CE262BC"/>
    <w:rsid w:val="1D6D770B"/>
    <w:rsid w:val="1E1A21EF"/>
    <w:rsid w:val="203B090D"/>
    <w:rsid w:val="21135480"/>
    <w:rsid w:val="212C3971"/>
    <w:rsid w:val="214D7086"/>
    <w:rsid w:val="21BA7E4E"/>
    <w:rsid w:val="22DF5956"/>
    <w:rsid w:val="22ED7F5E"/>
    <w:rsid w:val="24130D0C"/>
    <w:rsid w:val="259E2C64"/>
    <w:rsid w:val="26F76768"/>
    <w:rsid w:val="27AC61A6"/>
    <w:rsid w:val="27FE02E6"/>
    <w:rsid w:val="28C57566"/>
    <w:rsid w:val="29084622"/>
    <w:rsid w:val="29F704EF"/>
    <w:rsid w:val="2AC220DE"/>
    <w:rsid w:val="2ADB5E21"/>
    <w:rsid w:val="2ADF08BA"/>
    <w:rsid w:val="2B603075"/>
    <w:rsid w:val="2C305EB2"/>
    <w:rsid w:val="2CA570B4"/>
    <w:rsid w:val="2CD9238D"/>
    <w:rsid w:val="2E003054"/>
    <w:rsid w:val="2EB2531B"/>
    <w:rsid w:val="2F3D045F"/>
    <w:rsid w:val="2F6F3EAC"/>
    <w:rsid w:val="2F7D3F84"/>
    <w:rsid w:val="2F844FB7"/>
    <w:rsid w:val="30256074"/>
    <w:rsid w:val="302C4175"/>
    <w:rsid w:val="31713FF6"/>
    <w:rsid w:val="32B04D2F"/>
    <w:rsid w:val="33A35EAC"/>
    <w:rsid w:val="3464504B"/>
    <w:rsid w:val="34E00D83"/>
    <w:rsid w:val="36216F0D"/>
    <w:rsid w:val="36316A75"/>
    <w:rsid w:val="36ED02B2"/>
    <w:rsid w:val="389D7311"/>
    <w:rsid w:val="398E418A"/>
    <w:rsid w:val="3997709B"/>
    <w:rsid w:val="39A55AE7"/>
    <w:rsid w:val="3A351BE0"/>
    <w:rsid w:val="3B0953A4"/>
    <w:rsid w:val="3C302F1C"/>
    <w:rsid w:val="3C8719BD"/>
    <w:rsid w:val="3CE46170"/>
    <w:rsid w:val="3D7933CA"/>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F66F25"/>
    <w:rsid w:val="4E376DB9"/>
    <w:rsid w:val="4E716394"/>
    <w:rsid w:val="4ECC39F8"/>
    <w:rsid w:val="4F0A3ECF"/>
    <w:rsid w:val="4F595384"/>
    <w:rsid w:val="4F7F3CCA"/>
    <w:rsid w:val="502844C8"/>
    <w:rsid w:val="51D845E4"/>
    <w:rsid w:val="52341DDD"/>
    <w:rsid w:val="531111FC"/>
    <w:rsid w:val="533444FB"/>
    <w:rsid w:val="55C54FE9"/>
    <w:rsid w:val="55E07717"/>
    <w:rsid w:val="56397366"/>
    <w:rsid w:val="58080247"/>
    <w:rsid w:val="5950112B"/>
    <w:rsid w:val="5A1C766A"/>
    <w:rsid w:val="5CF528AB"/>
    <w:rsid w:val="5D132301"/>
    <w:rsid w:val="612A3DEE"/>
    <w:rsid w:val="62B67083"/>
    <w:rsid w:val="649C599A"/>
    <w:rsid w:val="66B027B6"/>
    <w:rsid w:val="671A2875"/>
    <w:rsid w:val="67966EFB"/>
    <w:rsid w:val="67B628F5"/>
    <w:rsid w:val="682119CD"/>
    <w:rsid w:val="69A94E0C"/>
    <w:rsid w:val="6B656B47"/>
    <w:rsid w:val="6B7E1643"/>
    <w:rsid w:val="6C714475"/>
    <w:rsid w:val="6CDB032D"/>
    <w:rsid w:val="6DBD736C"/>
    <w:rsid w:val="6DF45A5A"/>
    <w:rsid w:val="6E5526FF"/>
    <w:rsid w:val="6F2B1820"/>
    <w:rsid w:val="707E74C2"/>
    <w:rsid w:val="710D0440"/>
    <w:rsid w:val="71BB278E"/>
    <w:rsid w:val="71C5585F"/>
    <w:rsid w:val="73A1381E"/>
    <w:rsid w:val="7459468D"/>
    <w:rsid w:val="779817DA"/>
    <w:rsid w:val="77D476E8"/>
    <w:rsid w:val="782A7918"/>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99"/>
    <w:pPr>
      <w:widowControl/>
      <w:spacing w:after="120" w:afterLines="0" w:line="240" w:lineRule="auto"/>
      <w:ind w:firstLine="420" w:firstLineChars="100"/>
      <w:jc w:val="left"/>
    </w:pPr>
    <w:rPr>
      <w:rFonts w:ascii="Times New Roman" w:eastAsia="宋体"/>
      <w:kern w:val="0"/>
      <w:sz w:val="21"/>
    </w:rPr>
  </w:style>
  <w:style w:type="paragraph" w:styleId="3">
    <w:name w:val="Body Text"/>
    <w:basedOn w:val="1"/>
    <w:next w:val="1"/>
    <w:qFormat/>
    <w:uiPriority w:val="1"/>
    <w:pPr>
      <w:spacing w:after="120" w:afterLines="0"/>
    </w:pPr>
  </w:style>
  <w:style w:type="paragraph" w:styleId="5">
    <w:name w:val="annotation text"/>
    <w:basedOn w:val="1"/>
    <w:qFormat/>
    <w:uiPriority w:val="0"/>
    <w:pPr>
      <w:jc w:val="left"/>
    </w:pPr>
  </w:style>
  <w:style w:type="paragraph" w:styleId="6">
    <w:name w:val="Body Text Indent"/>
    <w:basedOn w:val="1"/>
    <w:qFormat/>
    <w:uiPriority w:val="0"/>
    <w:pPr>
      <w:spacing w:line="480" w:lineRule="auto"/>
      <w:ind w:firstLine="600"/>
    </w:pPr>
    <w:rPr>
      <w:sz w:val="28"/>
    </w:rPr>
  </w:style>
  <w:style w:type="paragraph" w:styleId="7">
    <w:name w:val="Balloon Text"/>
    <w:basedOn w:val="1"/>
    <w:link w:val="23"/>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jc w:val="left"/>
    </w:pPr>
    <w:rPr>
      <w:b/>
      <w:caps/>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qFormat/>
    <w:uiPriority w:val="99"/>
    <w:rPr>
      <w:color w:val="0000FF"/>
      <w:u w:val="single"/>
    </w:rPr>
  </w:style>
  <w:style w:type="character" w:styleId="17">
    <w:name w:val="annotation reference"/>
    <w:basedOn w:val="14"/>
    <w:qFormat/>
    <w:uiPriority w:val="0"/>
    <w:rPr>
      <w:sz w:val="21"/>
      <w:szCs w:val="21"/>
    </w:rPr>
  </w:style>
  <w:style w:type="paragraph" w:customStyle="1" w:styleId="18">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19">
    <w:name w:val="标题 1 Char Char"/>
    <w:qFormat/>
    <w:uiPriority w:val="0"/>
    <w:rPr>
      <w:rFonts w:eastAsia="宋体"/>
      <w:b/>
      <w:spacing w:val="-2"/>
      <w:sz w:val="24"/>
      <w:lang w:val="en-US" w:eastAsia="zh-CN"/>
    </w:rPr>
  </w:style>
  <w:style w:type="paragraph" w:customStyle="1" w:styleId="20">
    <w:name w:val="一、标题"/>
    <w:basedOn w:val="1"/>
    <w:qFormat/>
    <w:uiPriority w:val="0"/>
    <w:rPr>
      <w:b/>
      <w:sz w:val="28"/>
    </w:rPr>
  </w:style>
  <w:style w:type="paragraph" w:styleId="21">
    <w:name w:val="List Paragraph"/>
    <w:basedOn w:val="1"/>
    <w:qFormat/>
    <w:uiPriority w:val="34"/>
    <w:pPr>
      <w:ind w:firstLine="420" w:firstLineChars="200"/>
    </w:pPr>
  </w:style>
  <w:style w:type="character" w:customStyle="1" w:styleId="22">
    <w:name w:val="页眉 Char"/>
    <w:basedOn w:val="14"/>
    <w:link w:val="9"/>
    <w:qFormat/>
    <w:uiPriority w:val="0"/>
    <w:rPr>
      <w:kern w:val="2"/>
      <w:sz w:val="18"/>
      <w:szCs w:val="18"/>
    </w:rPr>
  </w:style>
  <w:style w:type="character" w:customStyle="1" w:styleId="23">
    <w:name w:val="批注框文本 Char"/>
    <w:basedOn w:val="14"/>
    <w:link w:val="7"/>
    <w:qFormat/>
    <w:uiPriority w:val="0"/>
    <w:rPr>
      <w:kern w:val="2"/>
      <w:sz w:val="18"/>
      <w:szCs w:val="18"/>
    </w:rPr>
  </w:style>
  <w:style w:type="character" w:customStyle="1" w:styleId="24">
    <w:name w:val="font31"/>
    <w:basedOn w:val="14"/>
    <w:qFormat/>
    <w:uiPriority w:val="0"/>
    <w:rPr>
      <w:rFonts w:hint="eastAsia" w:ascii="宋体" w:hAnsi="宋体" w:eastAsia="宋体" w:cs="宋体"/>
      <w:color w:val="000000"/>
      <w:sz w:val="22"/>
      <w:szCs w:val="22"/>
      <w:u w:val="none"/>
    </w:rPr>
  </w:style>
  <w:style w:type="character" w:customStyle="1" w:styleId="25">
    <w:name w:val="font51"/>
    <w:basedOn w:val="14"/>
    <w:qFormat/>
    <w:uiPriority w:val="0"/>
    <w:rPr>
      <w:rFonts w:hint="default" w:ascii="Times New Roman" w:hAnsi="Times New Roman" w:cs="Times New Roman"/>
      <w:color w:val="000000"/>
      <w:sz w:val="22"/>
      <w:szCs w:val="22"/>
      <w:u w:val="none"/>
    </w:rPr>
  </w:style>
  <w:style w:type="character" w:customStyle="1" w:styleId="26">
    <w:name w:val="font41"/>
    <w:basedOn w:val="14"/>
    <w:qFormat/>
    <w:uiPriority w:val="0"/>
    <w:rPr>
      <w:rFonts w:ascii="仿宋_GB2312" w:eastAsia="仿宋_GB2312" w:cs="仿宋_GB2312"/>
      <w:color w:val="000000"/>
      <w:sz w:val="22"/>
      <w:szCs w:val="22"/>
      <w:u w:val="none"/>
    </w:rPr>
  </w:style>
  <w:style w:type="character" w:customStyle="1" w:styleId="27">
    <w:name w:val="font21"/>
    <w:basedOn w:val="14"/>
    <w:qFormat/>
    <w:uiPriority w:val="0"/>
    <w:rPr>
      <w:rFonts w:hint="eastAsia" w:ascii="宋体" w:hAnsi="宋体" w:eastAsia="宋体" w:cs="宋体"/>
      <w:color w:val="000000"/>
      <w:sz w:val="22"/>
      <w:szCs w:val="22"/>
      <w:u w:val="none"/>
      <w:vertAlign w:val="superscript"/>
    </w:rPr>
  </w:style>
  <w:style w:type="character" w:customStyle="1" w:styleId="28">
    <w:name w:val="font01"/>
    <w:basedOn w:val="14"/>
    <w:qFormat/>
    <w:uiPriority w:val="0"/>
    <w:rPr>
      <w:rFonts w:hint="eastAsia" w:ascii="宋体" w:hAnsi="宋体" w:eastAsia="宋体" w:cs="宋体"/>
      <w:color w:val="000000"/>
      <w:sz w:val="22"/>
      <w:szCs w:val="22"/>
      <w:u w:val="none"/>
    </w:rPr>
  </w:style>
  <w:style w:type="character" w:customStyle="1" w:styleId="29">
    <w:name w:val="font11"/>
    <w:basedOn w:val="14"/>
    <w:qFormat/>
    <w:uiPriority w:val="0"/>
    <w:rPr>
      <w:rFonts w:hint="eastAsia" w:ascii="宋体" w:hAnsi="宋体" w:eastAsia="宋体" w:cs="宋体"/>
      <w:color w:val="000000"/>
      <w:sz w:val="24"/>
      <w:szCs w:val="24"/>
      <w:u w:val="none"/>
    </w:rPr>
  </w:style>
  <w:style w:type="paragraph" w:customStyle="1" w:styleId="30">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1">
    <w:name w:val="font81"/>
    <w:basedOn w:val="14"/>
    <w:qFormat/>
    <w:uiPriority w:val="0"/>
    <w:rPr>
      <w:rFonts w:ascii="宋体" w:hAnsi="宋体" w:eastAsia="宋体" w:cs="宋体"/>
      <w:color w:val="000000"/>
      <w:sz w:val="20"/>
      <w:szCs w:val="20"/>
      <w:u w:val="none"/>
    </w:rPr>
  </w:style>
  <w:style w:type="character" w:customStyle="1" w:styleId="32">
    <w:name w:val="font71"/>
    <w:basedOn w:val="14"/>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4204</Words>
  <Characters>4445</Characters>
  <Lines>53</Lines>
  <Paragraphs>15</Paragraphs>
  <TotalTime>1</TotalTime>
  <ScaleCrop>false</ScaleCrop>
  <LinksUpToDate>false</LinksUpToDate>
  <CharactersWithSpaces>4644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2021-06-17T01:09:00Z</cp:lastPrinted>
  <dcterms:modified xsi:type="dcterms:W3CDTF">2023-05-23T08:22:59Z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07DEC81FD3E8410C8FC7D2A5303090D3</vt:lpwstr>
  </property>
</Properties>
</file>