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五金配件</w:t>
      </w:r>
      <w:r>
        <w:rPr>
          <w:rFonts w:hint="eastAsia" w:ascii="仿宋_GB2312" w:hAnsi="宋体" w:eastAsia="仿宋_GB2312"/>
          <w:b/>
          <w:color w:val="auto"/>
          <w:sz w:val="52"/>
          <w:szCs w:val="52"/>
          <w:highlight w:val="none"/>
          <w:lang w:eastAsia="zh-CN"/>
        </w:rPr>
        <w:t>竞争性谈判</w:t>
      </w:r>
      <w:r>
        <w:rPr>
          <w:rFonts w:hint="eastAsia" w:ascii="仿宋_GB2312" w:hAnsi="宋体" w:eastAsia="仿宋_GB2312"/>
          <w:b/>
          <w:color w:val="auto"/>
          <w:sz w:val="52"/>
          <w:szCs w:val="52"/>
          <w:highlight w:val="none"/>
        </w:rPr>
        <w:t>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ZSNY/SBBJ2212012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2"/>
      <w:bookmarkStart w:id="1" w:name="OLE_LINK53"/>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2022年12月份五金配件采购项目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bookmarkStart w:id="11" w:name="_GoBack"/>
      <w:bookmarkEnd w:id="11"/>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6</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1</w:t>
      </w:r>
      <w:r>
        <w:rPr>
          <w:rFonts w:hint="eastAsia" w:ascii="仿宋_GB2312" w:eastAsia="仿宋_GB2312"/>
          <w:b w:val="0"/>
          <w:color w:val="auto"/>
          <w:sz w:val="32"/>
          <w:szCs w:val="32"/>
          <w:highlight w:val="none"/>
        </w:rPr>
        <w:fldChar w:fldCharType="end"/>
      </w:r>
      <w:r>
        <w:rPr>
          <w:rFonts w:hint="eastAsia" w:ascii="仿宋_GB2312" w:eastAsia="仿宋_GB2312"/>
          <w:b w:val="0"/>
          <w:color w:val="auto"/>
          <w:sz w:val="32"/>
          <w:szCs w:val="32"/>
          <w:highlight w:val="none"/>
          <w:lang w:val="en-US" w:eastAsia="zh-CN"/>
        </w:rPr>
        <w:t>1</w:t>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需对2022年12月份五金配件进行采购，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ZSNY/SBBJ2212012</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fixed"/>
        <w:tblCellMar>
          <w:top w:w="0" w:type="dxa"/>
          <w:left w:w="108" w:type="dxa"/>
          <w:bottom w:w="0" w:type="dxa"/>
          <w:right w:w="108" w:type="dxa"/>
        </w:tblCellMar>
      </w:tblPr>
      <w:tblGrid>
        <w:gridCol w:w="724"/>
        <w:gridCol w:w="2487"/>
        <w:gridCol w:w="3137"/>
        <w:gridCol w:w="707"/>
        <w:gridCol w:w="918"/>
      </w:tblGrid>
      <w:tr>
        <w:tblPrEx>
          <w:tblCellMar>
            <w:top w:w="0" w:type="dxa"/>
            <w:left w:w="108" w:type="dxa"/>
            <w:bottom w:w="0" w:type="dxa"/>
            <w:right w:w="108" w:type="dxa"/>
          </w:tblCellMar>
        </w:tblPrEx>
        <w:trPr>
          <w:trHeight w:val="90"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MOTOROLA TP328D，防爆（需调频）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摩托罗拉EVX-261（需调频）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125mm锁体-舌距，60mm，左方向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125mm锁体-舌距，60mm，右方向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牵引弹簧</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φ8*60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耐磨油性钢丝绳</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6Χ37-FC-9.3</w:t>
            </w:r>
            <w:r>
              <w:rPr>
                <w:rFonts w:ascii="Calibri" w:hAnsi="Calibri" w:eastAsia="宋体" w:cs="Calibri"/>
                <w:i w:val="0"/>
                <w:iCs w:val="0"/>
                <w:color w:val="000000"/>
                <w:kern w:val="0"/>
                <w:sz w:val="24"/>
                <w:szCs w:val="24"/>
                <w:u w:val="none"/>
                <w:lang w:val="en-US" w:eastAsia="zh-CN" w:bidi="ar"/>
              </w:rPr>
              <w:t xml:space="preserve"> </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1m*1m*8mm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1m*1m*12mm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Φ10*10cm</w:t>
            </w:r>
            <w:r>
              <w:rPr>
                <w:rFonts w:hint="eastAsia" w:ascii="宋体" w:hAnsi="宋体" w:eastAsia="宋体" w:cs="宋体"/>
                <w:i w:val="0"/>
                <w:iCs w:val="0"/>
                <w:color w:val="000000"/>
                <w:kern w:val="0"/>
                <w:sz w:val="24"/>
                <w:szCs w:val="24"/>
                <w:u w:val="none"/>
                <w:lang w:val="en-US" w:eastAsia="zh-CN" w:bidi="ar"/>
              </w:rPr>
              <w:t>，热镀锌</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活接吊环螺栓</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Φ16*10cm</w:t>
            </w:r>
            <w:r>
              <w:rPr>
                <w:rFonts w:hint="eastAsia" w:ascii="宋体" w:hAnsi="宋体" w:eastAsia="宋体" w:cs="宋体"/>
                <w:i w:val="0"/>
                <w:iCs w:val="0"/>
                <w:color w:val="000000"/>
                <w:kern w:val="0"/>
                <w:sz w:val="24"/>
                <w:szCs w:val="24"/>
                <w:u w:val="none"/>
                <w:lang w:val="en-US" w:eastAsia="zh-CN" w:bidi="ar"/>
              </w:rPr>
              <w:t>，热镀锌</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蝴蝶型螺母（元宝螺母）</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M10，热镀锌</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软波纹管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PVC 内径110mm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不锈钢粉料取样器</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DN32,3M，带手柄</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PDU</w:t>
            </w:r>
            <w:r>
              <w:rPr>
                <w:rFonts w:hint="eastAsia" w:ascii="宋体" w:hAnsi="宋体" w:eastAsia="宋体" w:cs="宋体"/>
                <w:i w:val="0"/>
                <w:iCs w:val="0"/>
                <w:color w:val="000000"/>
                <w:kern w:val="0"/>
                <w:sz w:val="21"/>
                <w:szCs w:val="21"/>
                <w:u w:val="none"/>
                <w:lang w:val="en-US" w:eastAsia="zh-CN" w:bidi="ar"/>
              </w:rPr>
              <w:t>机柜插座</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公牛 </w:t>
            </w:r>
            <w:r>
              <w:rPr>
                <w:rFonts w:hint="default" w:ascii="Times New Roman" w:hAnsi="Times New Roman" w:eastAsia="宋体" w:cs="Times New Roman"/>
                <w:i w:val="0"/>
                <w:iCs w:val="0"/>
                <w:color w:val="000000"/>
                <w:kern w:val="0"/>
                <w:sz w:val="21"/>
                <w:szCs w:val="21"/>
                <w:u w:val="none"/>
                <w:lang w:val="en-US" w:eastAsia="zh-CN" w:bidi="ar"/>
              </w:rPr>
              <w:t>GNE-108DE</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1"/>
                <w:szCs w:val="21"/>
                <w:u w:val="none"/>
                <w:lang w:val="en-US" w:eastAsia="zh-CN" w:bidi="ar"/>
              </w:rPr>
              <w:t>橡胶线槽</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900*500*60mm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漆刷</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猪毛刷）</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color w:val="333333"/>
                <w:kern w:val="0"/>
                <w:sz w:val="24"/>
                <w:szCs w:val="24"/>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219*200mm</w:t>
            </w:r>
            <w:r>
              <w:rPr>
                <w:rFonts w:hint="eastAsia" w:ascii="宋体" w:hAnsi="宋体" w:eastAsia="宋体" w:cs="宋体"/>
                <w:i w:val="0"/>
                <w:iCs w:val="0"/>
                <w:color w:val="000000"/>
                <w:kern w:val="0"/>
                <w:sz w:val="24"/>
                <w:szCs w:val="24"/>
                <w:u w:val="none"/>
                <w:lang w:val="en-US" w:eastAsia="zh-CN" w:bidi="ar"/>
              </w:rPr>
              <w:t>，国标常规牙距</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159*200mm</w:t>
            </w:r>
            <w:r>
              <w:rPr>
                <w:rFonts w:hint="eastAsia" w:ascii="宋体" w:hAnsi="宋体" w:eastAsia="宋体" w:cs="宋体"/>
                <w:i w:val="0"/>
                <w:iCs w:val="0"/>
                <w:color w:val="000000"/>
                <w:kern w:val="0"/>
                <w:sz w:val="24"/>
                <w:szCs w:val="24"/>
                <w:u w:val="none"/>
                <w:lang w:val="en-US" w:eastAsia="zh-CN" w:bidi="ar"/>
              </w:rPr>
              <w:t>，国标常规牙距</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0.3mm*200mm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0.5mm*200mm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400*150，配套螺丝、连接片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200*150，配套螺丝、连接片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树脂复合型桥架三通</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200*100，配套螺丝、连接片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玻璃管保险丝</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6*30mm-10A</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w:t>
            </w:r>
            <w:r>
              <w:rPr>
                <w:rFonts w:hint="eastAsia" w:ascii="宋体" w:hAnsi="宋体" w:eastAsia="宋体" w:cs="宋体"/>
                <w:i w:val="0"/>
                <w:iCs w:val="0"/>
                <w:color w:val="000000"/>
                <w:kern w:val="0"/>
                <w:sz w:val="21"/>
                <w:szCs w:val="21"/>
                <w:u w:val="none"/>
                <w:lang w:val="en-US" w:eastAsia="zh-CN" w:bidi="ar"/>
              </w:rPr>
              <w:t>型管卡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DN25，配螺母</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热继电器</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LRD06C-1-1.6A</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铅酸免维护蓄电池</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12V 100 AH，配电池架</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PU</w:t>
            </w:r>
            <w:r>
              <w:rPr>
                <w:rFonts w:hint="eastAsia" w:ascii="宋体" w:hAnsi="宋体" w:eastAsia="宋体" w:cs="宋体"/>
                <w:i w:val="0"/>
                <w:iCs w:val="0"/>
                <w:color w:val="000000"/>
                <w:kern w:val="0"/>
                <w:sz w:val="24"/>
                <w:szCs w:val="24"/>
                <w:u w:val="none"/>
                <w:lang w:val="en-US" w:eastAsia="zh-CN" w:bidi="ar"/>
              </w:rPr>
              <w:t>透明气管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10*6.5</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d=8 螺母 M8夹座材料KTB380-12</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金属缠绕垫片</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基本型A型 PN10 DN100 δ5</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hint="default" w:ascii="Calibri" w:hAnsi="Calibri" w:eastAsia="宋体" w:cs="Calibri"/>
                <w:i w:val="0"/>
                <w:iCs w:val="0"/>
                <w:color w:val="000000"/>
                <w:kern w:val="0"/>
                <w:sz w:val="21"/>
                <w:szCs w:val="21"/>
                <w:u w:val="none"/>
                <w:lang w:val="en-US" w:eastAsia="zh-CN" w:bidi="ar"/>
              </w:rPr>
              <w:t>17mm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w:t>
            </w:r>
            <w:r>
              <w:rPr>
                <w:rFonts w:hint="default" w:ascii="Calibri" w:hAnsi="Calibri" w:eastAsia="宋体" w:cs="Calibri"/>
                <w:i w:val="0"/>
                <w:iCs w:val="0"/>
                <w:color w:val="000000"/>
                <w:kern w:val="0"/>
                <w:sz w:val="21"/>
                <w:szCs w:val="21"/>
                <w:u w:val="none"/>
                <w:lang w:val="en-US" w:eastAsia="zh-CN" w:bidi="ar"/>
              </w:rPr>
              <w:t>26mm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钢丝绳夹头</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胜达</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2022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12月23</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w:t>
      </w:r>
      <w:r>
        <w:rPr>
          <w:rFonts w:hint="eastAsia" w:ascii="仿宋_GB2312" w:eastAsia="仿宋_GB2312"/>
          <w:color w:val="auto"/>
          <w:sz w:val="30"/>
          <w:szCs w:val="30"/>
          <w:highlight w:val="none"/>
          <w:lang w:eastAsia="zh-CN"/>
        </w:rPr>
        <w:t>资格</w:t>
      </w:r>
      <w:r>
        <w:rPr>
          <w:rFonts w:hint="eastAsia" w:ascii="仿宋_GB2312" w:eastAsia="仿宋_GB2312"/>
          <w:color w:val="auto"/>
          <w:sz w:val="30"/>
          <w:szCs w:val="30"/>
          <w:highlight w:val="none"/>
        </w:rPr>
        <w:t>评审通过后</w:t>
      </w:r>
      <w:r>
        <w:rPr>
          <w:rFonts w:hint="eastAsia" w:ascii="仿宋_GB2312" w:eastAsia="仿宋_GB2312"/>
          <w:color w:val="auto"/>
          <w:sz w:val="30"/>
          <w:szCs w:val="30"/>
          <w:highlight w:val="none"/>
          <w:lang w:eastAsia="zh-CN"/>
        </w:rPr>
        <w:t>，投标单位进行二次报价，以</w:t>
      </w:r>
      <w:r>
        <w:rPr>
          <w:rFonts w:hint="eastAsia" w:ascii="仿宋_GB2312" w:eastAsia="仿宋_GB2312"/>
          <w:color w:val="auto"/>
          <w:sz w:val="30"/>
          <w:szCs w:val="30"/>
          <w:highlight w:val="none"/>
        </w:rPr>
        <w:t>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656" w:type="pct"/>
        <w:jc w:val="center"/>
        <w:tblLayout w:type="fixed"/>
        <w:tblCellMar>
          <w:top w:w="0" w:type="dxa"/>
          <w:left w:w="108" w:type="dxa"/>
          <w:bottom w:w="0" w:type="dxa"/>
          <w:right w:w="108" w:type="dxa"/>
        </w:tblCellMar>
      </w:tblPr>
      <w:tblGrid>
        <w:gridCol w:w="890"/>
        <w:gridCol w:w="2589"/>
        <w:gridCol w:w="3293"/>
        <w:gridCol w:w="931"/>
        <w:gridCol w:w="945"/>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MOTOROLA TP328D，防爆（需调频）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摩托罗拉EVX-261（需调频）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125mm锁体-舌距，60mm，左方向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125mm锁体-舌距，60mm，右方向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牵引弹簧</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φ8*60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耐磨油性钢丝绳</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6Χ37-FC-9.3</w:t>
            </w:r>
            <w:r>
              <w:rPr>
                <w:rFonts w:ascii="Calibri" w:hAnsi="Calibri" w:eastAsia="宋体" w:cs="Calibri"/>
                <w:i w:val="0"/>
                <w:iCs w:val="0"/>
                <w:color w:val="000000"/>
                <w:kern w:val="0"/>
                <w:sz w:val="24"/>
                <w:szCs w:val="24"/>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1m*1m*8mm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1m*1m*12mm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Φ10*10cm</w:t>
            </w:r>
            <w:r>
              <w:rPr>
                <w:rFonts w:hint="eastAsia" w:ascii="宋体" w:hAnsi="宋体" w:eastAsia="宋体" w:cs="宋体"/>
                <w:i w:val="0"/>
                <w:iCs w:val="0"/>
                <w:color w:val="000000"/>
                <w:kern w:val="0"/>
                <w:sz w:val="24"/>
                <w:szCs w:val="24"/>
                <w:u w:val="none"/>
                <w:lang w:val="en-US" w:eastAsia="zh-CN" w:bidi="ar"/>
              </w:rPr>
              <w:t>，热镀锌</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Φ16*10cm</w:t>
            </w:r>
            <w:r>
              <w:rPr>
                <w:rFonts w:hint="eastAsia" w:ascii="宋体" w:hAnsi="宋体" w:eastAsia="宋体" w:cs="宋体"/>
                <w:i w:val="0"/>
                <w:iCs w:val="0"/>
                <w:color w:val="000000"/>
                <w:kern w:val="0"/>
                <w:sz w:val="24"/>
                <w:szCs w:val="24"/>
                <w:u w:val="none"/>
                <w:lang w:val="en-US" w:eastAsia="zh-CN" w:bidi="ar"/>
              </w:rPr>
              <w:t>，热镀锌</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蝴蝶型螺母（元宝螺母）</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M10，热镀锌</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软波纹管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PVC 内径110mm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不锈钢粉料取样器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DN32,3M，带手柄</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PDU</w:t>
            </w:r>
            <w:r>
              <w:rPr>
                <w:rFonts w:hint="eastAsia" w:ascii="宋体" w:hAnsi="宋体" w:eastAsia="宋体" w:cs="宋体"/>
                <w:i w:val="0"/>
                <w:iCs w:val="0"/>
                <w:color w:val="000000"/>
                <w:kern w:val="0"/>
                <w:sz w:val="21"/>
                <w:szCs w:val="21"/>
                <w:u w:val="none"/>
                <w:lang w:val="en-US" w:eastAsia="zh-CN" w:bidi="ar"/>
              </w:rPr>
              <w:t>机柜插座</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公牛 </w:t>
            </w:r>
            <w:r>
              <w:rPr>
                <w:rFonts w:hint="default" w:ascii="Times New Roman" w:hAnsi="Times New Roman" w:eastAsia="宋体" w:cs="Times New Roman"/>
                <w:i w:val="0"/>
                <w:iCs w:val="0"/>
                <w:color w:val="000000"/>
                <w:kern w:val="0"/>
                <w:sz w:val="21"/>
                <w:szCs w:val="21"/>
                <w:u w:val="none"/>
                <w:lang w:val="en-US" w:eastAsia="zh-CN" w:bidi="ar"/>
              </w:rPr>
              <w:t>GNE-108DE</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1"/>
                <w:szCs w:val="21"/>
                <w:u w:val="none"/>
                <w:lang w:val="en-US" w:eastAsia="zh-CN" w:bidi="ar"/>
              </w:rPr>
              <w:t>橡胶线槽</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900*500*60mm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漆刷</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猪毛刷）</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color w:val="333333"/>
                <w:kern w:val="0"/>
                <w:sz w:val="24"/>
                <w:szCs w:val="24"/>
                <w:u w:val="none"/>
                <w:lang w:val="en-US" w:eastAsia="zh-CN" w:bidi="ar"/>
              </w:rPr>
              <w:t>＂</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219*200mm</w:t>
            </w:r>
            <w:r>
              <w:rPr>
                <w:rFonts w:hint="eastAsia" w:ascii="宋体" w:hAnsi="宋体" w:eastAsia="宋体" w:cs="宋体"/>
                <w:i w:val="0"/>
                <w:iCs w:val="0"/>
                <w:color w:val="000000"/>
                <w:kern w:val="0"/>
                <w:sz w:val="24"/>
                <w:szCs w:val="24"/>
                <w:u w:val="none"/>
                <w:lang w:val="en-US" w:eastAsia="zh-CN" w:bidi="ar"/>
              </w:rPr>
              <w:t>，国标常规牙距</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159*200mm</w:t>
            </w:r>
            <w:r>
              <w:rPr>
                <w:rFonts w:hint="eastAsia" w:ascii="宋体" w:hAnsi="宋体" w:eastAsia="宋体" w:cs="宋体"/>
                <w:i w:val="0"/>
                <w:iCs w:val="0"/>
                <w:color w:val="000000"/>
                <w:kern w:val="0"/>
                <w:sz w:val="24"/>
                <w:szCs w:val="24"/>
                <w:u w:val="none"/>
                <w:lang w:val="en-US" w:eastAsia="zh-CN" w:bidi="ar"/>
              </w:rPr>
              <w:t>，国标常规牙距</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0.3mm*200mm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0.5mm*200mm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400*150，配套螺丝、连接片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200*150，配套螺丝、连接片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树脂复合型桥架三通</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200*100，配套螺丝、连接片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玻璃管保险丝</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6*30mm-10A</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w:t>
            </w:r>
            <w:r>
              <w:rPr>
                <w:rFonts w:hint="eastAsia" w:ascii="宋体" w:hAnsi="宋体" w:eastAsia="宋体" w:cs="宋体"/>
                <w:i w:val="0"/>
                <w:iCs w:val="0"/>
                <w:color w:val="000000"/>
                <w:kern w:val="0"/>
                <w:sz w:val="21"/>
                <w:szCs w:val="21"/>
                <w:u w:val="none"/>
                <w:lang w:val="en-US" w:eastAsia="zh-CN" w:bidi="ar"/>
              </w:rPr>
              <w:t>型管卡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DN25，配螺母</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热继电器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LRD06C-1-1.6A</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铅酸免维护蓄电池</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12V 100 AH，配电池架</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PU</w:t>
            </w:r>
            <w:r>
              <w:rPr>
                <w:rFonts w:hint="eastAsia" w:ascii="宋体" w:hAnsi="宋体" w:eastAsia="宋体" w:cs="宋体"/>
                <w:i w:val="0"/>
                <w:iCs w:val="0"/>
                <w:color w:val="000000"/>
                <w:kern w:val="0"/>
                <w:sz w:val="24"/>
                <w:szCs w:val="24"/>
                <w:u w:val="none"/>
                <w:lang w:val="en-US" w:eastAsia="zh-CN" w:bidi="ar"/>
              </w:rPr>
              <w:t>透明气管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10*6.5</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d=8 螺母 M8夹座材料KTB380-12</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金属缠绕垫片</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基本型A型 PN10 DN100 δ5</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hint="default" w:ascii="Calibri" w:hAnsi="Calibri" w:eastAsia="宋体" w:cs="Calibri"/>
                <w:i w:val="0"/>
                <w:iCs w:val="0"/>
                <w:color w:val="000000"/>
                <w:kern w:val="0"/>
                <w:sz w:val="21"/>
                <w:szCs w:val="21"/>
                <w:u w:val="none"/>
                <w:lang w:val="en-US" w:eastAsia="zh-CN" w:bidi="ar"/>
              </w:rPr>
              <w:t>17mm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w:t>
            </w:r>
            <w:r>
              <w:rPr>
                <w:rFonts w:hint="default" w:ascii="Calibri" w:hAnsi="Calibri" w:eastAsia="宋体" w:cs="Calibri"/>
                <w:i w:val="0"/>
                <w:iCs w:val="0"/>
                <w:color w:val="000000"/>
                <w:kern w:val="0"/>
                <w:sz w:val="21"/>
                <w:szCs w:val="21"/>
                <w:u w:val="none"/>
                <w:lang w:val="en-US" w:eastAsia="zh-CN" w:bidi="ar"/>
              </w:rPr>
              <w:t>26mm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胜达</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4"/>
        <w:numPr>
          <w:ilvl w:val="0"/>
          <w:numId w:val="0"/>
        </w:numPr>
        <w:jc w:val="both"/>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2022年12月份仪器仪表采购项目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ZSNY/SBBJ2212011</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2022年12月份五金配件采购项目</w:t>
      </w:r>
      <w:r>
        <w:rPr>
          <w:rFonts w:hint="eastAsia" w:ascii="仿宋_GB2312" w:eastAsia="仿宋_GB2312"/>
          <w:color w:val="auto"/>
          <w:sz w:val="28"/>
          <w:szCs w:val="28"/>
          <w:highlight w:val="none"/>
          <w:u w:val="none"/>
          <w:lang w:val="en-US" w:eastAsia="zh-CN"/>
        </w:rPr>
        <w:t>。</w:t>
      </w:r>
    </w:p>
    <w:p>
      <w:pPr>
        <w:rPr>
          <w:rFonts w:hint="eastAsia"/>
          <w:color w:val="auto"/>
          <w:highlight w:val="none"/>
          <w:lang w:val="en-US" w:eastAsia="zh-CN"/>
        </w:rPr>
      </w:pPr>
    </w:p>
    <w:tbl>
      <w:tblPr>
        <w:tblStyle w:val="8"/>
        <w:tblW w:w="5193" w:type="pct"/>
        <w:jc w:val="center"/>
        <w:tblLayout w:type="fixed"/>
        <w:tblCellMar>
          <w:top w:w="0" w:type="dxa"/>
          <w:left w:w="108" w:type="dxa"/>
          <w:bottom w:w="0" w:type="dxa"/>
          <w:right w:w="108" w:type="dxa"/>
        </w:tblCellMar>
      </w:tblPr>
      <w:tblGrid>
        <w:gridCol w:w="768"/>
        <w:gridCol w:w="1414"/>
        <w:gridCol w:w="3689"/>
        <w:gridCol w:w="759"/>
        <w:gridCol w:w="741"/>
        <w:gridCol w:w="1173"/>
        <w:gridCol w:w="1103"/>
      </w:tblGrid>
      <w:tr>
        <w:tblPrEx>
          <w:tblCellMar>
            <w:top w:w="0" w:type="dxa"/>
            <w:left w:w="108" w:type="dxa"/>
            <w:bottom w:w="0" w:type="dxa"/>
            <w:right w:w="108" w:type="dxa"/>
          </w:tblCellMar>
        </w:tblPrEx>
        <w:trPr>
          <w:trHeight w:val="467"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MOTOROLA TP328D，防爆（需调频）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摩托罗拉EVX-261（需调频）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125mm锁体-舌距，60mm，左方向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125mm锁体-舌距，60mm，右方向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牵引弹簧</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φ8*60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18</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耐磨油性钢丝绳</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6Χ37-FC-9.3</w:t>
            </w:r>
            <w:r>
              <w:rPr>
                <w:rFonts w:ascii="Calibri" w:hAnsi="Calibri" w:eastAsia="宋体" w:cs="Calibri"/>
                <w:i w:val="0"/>
                <w:iCs w:val="0"/>
                <w:color w:val="000000"/>
                <w:kern w:val="0"/>
                <w:sz w:val="24"/>
                <w:szCs w:val="24"/>
                <w:u w:val="none"/>
                <w:lang w:val="en-US" w:eastAsia="zh-CN" w:bidi="ar"/>
              </w:rPr>
              <w:t xml:space="preserve"> </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1m*1m*8mm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1m*1m*12mm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Φ10*10cm</w:t>
            </w:r>
            <w:r>
              <w:rPr>
                <w:rFonts w:hint="eastAsia" w:ascii="宋体" w:hAnsi="宋体" w:eastAsia="宋体" w:cs="宋体"/>
                <w:i w:val="0"/>
                <w:iCs w:val="0"/>
                <w:color w:val="000000"/>
                <w:kern w:val="0"/>
                <w:sz w:val="24"/>
                <w:szCs w:val="24"/>
                <w:u w:val="none"/>
                <w:lang w:val="en-US" w:eastAsia="zh-CN" w:bidi="ar"/>
              </w:rPr>
              <w:t>，热镀锌</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Φ16*10cm</w:t>
            </w:r>
            <w:r>
              <w:rPr>
                <w:rFonts w:hint="eastAsia" w:ascii="宋体" w:hAnsi="宋体" w:eastAsia="宋体" w:cs="宋体"/>
                <w:i w:val="0"/>
                <w:iCs w:val="0"/>
                <w:color w:val="000000"/>
                <w:kern w:val="0"/>
                <w:sz w:val="24"/>
                <w:szCs w:val="24"/>
                <w:u w:val="none"/>
                <w:lang w:val="en-US" w:eastAsia="zh-CN" w:bidi="ar"/>
              </w:rPr>
              <w:t>，热镀锌</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蝴蝶型螺母（元宝螺母）</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M10，热镀锌</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软波纹管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PVC 内径110mm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不锈钢粉料取样器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DN32,3M，带手柄</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PDU</w:t>
            </w:r>
            <w:r>
              <w:rPr>
                <w:rFonts w:hint="eastAsia" w:ascii="宋体" w:hAnsi="宋体" w:eastAsia="宋体" w:cs="宋体"/>
                <w:i w:val="0"/>
                <w:iCs w:val="0"/>
                <w:color w:val="000000"/>
                <w:kern w:val="0"/>
                <w:sz w:val="21"/>
                <w:szCs w:val="21"/>
                <w:u w:val="none"/>
                <w:lang w:val="en-US" w:eastAsia="zh-CN" w:bidi="ar"/>
              </w:rPr>
              <w:t>机柜插座</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公牛 </w:t>
            </w:r>
            <w:r>
              <w:rPr>
                <w:rFonts w:hint="default" w:ascii="Times New Roman" w:hAnsi="Times New Roman" w:eastAsia="宋体" w:cs="Times New Roman"/>
                <w:i w:val="0"/>
                <w:iCs w:val="0"/>
                <w:color w:val="000000"/>
                <w:kern w:val="0"/>
                <w:sz w:val="21"/>
                <w:szCs w:val="21"/>
                <w:u w:val="none"/>
                <w:lang w:val="en-US" w:eastAsia="zh-CN" w:bidi="ar"/>
              </w:rPr>
              <w:t>GNE-108DE</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1"/>
                <w:szCs w:val="21"/>
                <w:u w:val="none"/>
                <w:lang w:val="en-US" w:eastAsia="zh-CN" w:bidi="ar"/>
              </w:rPr>
              <w:t>橡胶线槽</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900*500*60mm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漆刷</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猪毛刷）</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color w:val="333333"/>
                <w:kern w:val="0"/>
                <w:sz w:val="24"/>
                <w:szCs w:val="24"/>
                <w:u w:val="none"/>
                <w:lang w:val="en-US" w:eastAsia="zh-CN" w:bidi="ar"/>
              </w:rPr>
              <w:t>＂</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219*200mm</w:t>
            </w:r>
            <w:r>
              <w:rPr>
                <w:rFonts w:hint="eastAsia" w:ascii="宋体" w:hAnsi="宋体" w:eastAsia="宋体" w:cs="宋体"/>
                <w:i w:val="0"/>
                <w:iCs w:val="0"/>
                <w:color w:val="000000"/>
                <w:kern w:val="0"/>
                <w:sz w:val="24"/>
                <w:szCs w:val="24"/>
                <w:u w:val="none"/>
                <w:lang w:val="en-US" w:eastAsia="zh-CN" w:bidi="ar"/>
              </w:rPr>
              <w:t>，国标常规牙距</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159*200mm</w:t>
            </w:r>
            <w:r>
              <w:rPr>
                <w:rFonts w:hint="eastAsia" w:ascii="宋体" w:hAnsi="宋体" w:eastAsia="宋体" w:cs="宋体"/>
                <w:i w:val="0"/>
                <w:iCs w:val="0"/>
                <w:color w:val="000000"/>
                <w:kern w:val="0"/>
                <w:sz w:val="24"/>
                <w:szCs w:val="24"/>
                <w:u w:val="none"/>
                <w:lang w:val="en-US" w:eastAsia="zh-CN" w:bidi="ar"/>
              </w:rPr>
              <w:t>，国标常规牙距</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0.3mm*200mm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0.5mm*200mm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400*150，配套螺丝、连接片</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200*150，配套螺丝、连接片</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树脂复合型桥架三通</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200*100，配套螺丝、连接片</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玻璃管保险丝</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6*30mm-10A</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w:t>
            </w:r>
            <w:r>
              <w:rPr>
                <w:rFonts w:hint="eastAsia" w:ascii="宋体" w:hAnsi="宋体" w:eastAsia="宋体" w:cs="宋体"/>
                <w:i w:val="0"/>
                <w:iCs w:val="0"/>
                <w:color w:val="000000"/>
                <w:kern w:val="0"/>
                <w:sz w:val="21"/>
                <w:szCs w:val="21"/>
                <w:u w:val="none"/>
                <w:lang w:val="en-US" w:eastAsia="zh-CN" w:bidi="ar"/>
              </w:rPr>
              <w:t>型管卡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DN25，配螺母</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热继电器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LRD06C-1-1.6A</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铅酸免维护蓄电池</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12V 100 AH，配电池架</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PU</w:t>
            </w:r>
            <w:r>
              <w:rPr>
                <w:rFonts w:hint="eastAsia" w:ascii="宋体" w:hAnsi="宋体" w:eastAsia="宋体" w:cs="宋体"/>
                <w:i w:val="0"/>
                <w:iCs w:val="0"/>
                <w:color w:val="000000"/>
                <w:kern w:val="0"/>
                <w:sz w:val="24"/>
                <w:szCs w:val="24"/>
                <w:u w:val="none"/>
                <w:lang w:val="en-US" w:eastAsia="zh-CN" w:bidi="ar"/>
              </w:rPr>
              <w:t>透明气管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10*6.5</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d=8 螺母 M8夹座材料KTB380-12</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金属缠绕垫片</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基本型A型 PN10 DN100 δ5</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hint="default" w:ascii="Calibri" w:hAnsi="Calibri" w:eastAsia="宋体" w:cs="Calibri"/>
                <w:i w:val="0"/>
                <w:iCs w:val="0"/>
                <w:color w:val="000000"/>
                <w:kern w:val="0"/>
                <w:sz w:val="21"/>
                <w:szCs w:val="21"/>
                <w:u w:val="none"/>
                <w:lang w:val="en-US" w:eastAsia="zh-CN" w:bidi="ar"/>
              </w:rPr>
              <w:t>17mm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w:t>
            </w:r>
            <w:r>
              <w:rPr>
                <w:rFonts w:hint="default" w:ascii="Calibri" w:hAnsi="Calibri" w:eastAsia="宋体" w:cs="Calibri"/>
                <w:i w:val="0"/>
                <w:iCs w:val="0"/>
                <w:color w:val="000000"/>
                <w:kern w:val="0"/>
                <w:sz w:val="21"/>
                <w:szCs w:val="21"/>
                <w:u w:val="none"/>
                <w:lang w:val="en-US" w:eastAsia="zh-CN" w:bidi="ar"/>
              </w:rPr>
              <w:t>26mm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胜达</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2022年12月份五金配件采购项目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2E7695E"/>
    <w:rsid w:val="04DA10CB"/>
    <w:rsid w:val="0510498B"/>
    <w:rsid w:val="069524CC"/>
    <w:rsid w:val="06A70304"/>
    <w:rsid w:val="06DB3A18"/>
    <w:rsid w:val="0A6A1E4C"/>
    <w:rsid w:val="0AAC280A"/>
    <w:rsid w:val="0C462F7F"/>
    <w:rsid w:val="0C796BDF"/>
    <w:rsid w:val="108D48DF"/>
    <w:rsid w:val="112B1358"/>
    <w:rsid w:val="11404772"/>
    <w:rsid w:val="116166BB"/>
    <w:rsid w:val="122534C9"/>
    <w:rsid w:val="12BB6778"/>
    <w:rsid w:val="14CB3316"/>
    <w:rsid w:val="15FC74B3"/>
    <w:rsid w:val="17C4535F"/>
    <w:rsid w:val="1801559B"/>
    <w:rsid w:val="1A9133CF"/>
    <w:rsid w:val="1B63546F"/>
    <w:rsid w:val="1B7246FA"/>
    <w:rsid w:val="1BFA1C89"/>
    <w:rsid w:val="1BFD0835"/>
    <w:rsid w:val="1DF50BF8"/>
    <w:rsid w:val="2064211B"/>
    <w:rsid w:val="20D9106A"/>
    <w:rsid w:val="21BF0AF7"/>
    <w:rsid w:val="2304416D"/>
    <w:rsid w:val="23517387"/>
    <w:rsid w:val="2531542B"/>
    <w:rsid w:val="27664850"/>
    <w:rsid w:val="284003D4"/>
    <w:rsid w:val="28F64D2C"/>
    <w:rsid w:val="290001B9"/>
    <w:rsid w:val="298F5F3B"/>
    <w:rsid w:val="2994745B"/>
    <w:rsid w:val="29D01F63"/>
    <w:rsid w:val="29DC6F4C"/>
    <w:rsid w:val="29EE7F59"/>
    <w:rsid w:val="2A1D283F"/>
    <w:rsid w:val="2ABA740C"/>
    <w:rsid w:val="2AF76A6F"/>
    <w:rsid w:val="2EE10029"/>
    <w:rsid w:val="2F5F0CEC"/>
    <w:rsid w:val="2FAD34C3"/>
    <w:rsid w:val="2FB86141"/>
    <w:rsid w:val="30150A36"/>
    <w:rsid w:val="3135433B"/>
    <w:rsid w:val="32012442"/>
    <w:rsid w:val="329F6E88"/>
    <w:rsid w:val="330D2CFA"/>
    <w:rsid w:val="33EA6968"/>
    <w:rsid w:val="34AD504F"/>
    <w:rsid w:val="34AF1CF7"/>
    <w:rsid w:val="357F6A32"/>
    <w:rsid w:val="360A4C60"/>
    <w:rsid w:val="37DF191D"/>
    <w:rsid w:val="381F11EC"/>
    <w:rsid w:val="383218F5"/>
    <w:rsid w:val="3C3207EE"/>
    <w:rsid w:val="3F2F6124"/>
    <w:rsid w:val="402145EE"/>
    <w:rsid w:val="41A53458"/>
    <w:rsid w:val="42E525B8"/>
    <w:rsid w:val="44100EF6"/>
    <w:rsid w:val="446F1489"/>
    <w:rsid w:val="44A72860"/>
    <w:rsid w:val="44E069E7"/>
    <w:rsid w:val="450B3D40"/>
    <w:rsid w:val="46820D90"/>
    <w:rsid w:val="47B82AB7"/>
    <w:rsid w:val="487D3F68"/>
    <w:rsid w:val="48F10FAE"/>
    <w:rsid w:val="4B6F11C7"/>
    <w:rsid w:val="4C4D3810"/>
    <w:rsid w:val="4C77734C"/>
    <w:rsid w:val="4D4F06D0"/>
    <w:rsid w:val="52222156"/>
    <w:rsid w:val="52272AEF"/>
    <w:rsid w:val="55590643"/>
    <w:rsid w:val="571C3076"/>
    <w:rsid w:val="58774BF2"/>
    <w:rsid w:val="58E044EB"/>
    <w:rsid w:val="594671B5"/>
    <w:rsid w:val="596C0E6A"/>
    <w:rsid w:val="59A13A57"/>
    <w:rsid w:val="5A2826D3"/>
    <w:rsid w:val="5BD8045A"/>
    <w:rsid w:val="5E5B1F26"/>
    <w:rsid w:val="5F0D20B0"/>
    <w:rsid w:val="61117E17"/>
    <w:rsid w:val="611E3698"/>
    <w:rsid w:val="611F3E76"/>
    <w:rsid w:val="6199078A"/>
    <w:rsid w:val="62B9199D"/>
    <w:rsid w:val="63D16E8E"/>
    <w:rsid w:val="63F02D22"/>
    <w:rsid w:val="653D69FB"/>
    <w:rsid w:val="65C32340"/>
    <w:rsid w:val="67581BFA"/>
    <w:rsid w:val="67A84D81"/>
    <w:rsid w:val="689F2AE2"/>
    <w:rsid w:val="6A8F12D1"/>
    <w:rsid w:val="6C156F89"/>
    <w:rsid w:val="6C412C18"/>
    <w:rsid w:val="6C631AE9"/>
    <w:rsid w:val="6C751BEF"/>
    <w:rsid w:val="6D1B7734"/>
    <w:rsid w:val="6E2B1D30"/>
    <w:rsid w:val="6EDA0742"/>
    <w:rsid w:val="6FB40B76"/>
    <w:rsid w:val="712C7A93"/>
    <w:rsid w:val="73443505"/>
    <w:rsid w:val="73924BA3"/>
    <w:rsid w:val="741A3CA7"/>
    <w:rsid w:val="761E131B"/>
    <w:rsid w:val="76BE3407"/>
    <w:rsid w:val="7735354B"/>
    <w:rsid w:val="78B638A1"/>
    <w:rsid w:val="7A271D4F"/>
    <w:rsid w:val="7BF47DCC"/>
    <w:rsid w:val="7C104DE7"/>
    <w:rsid w:val="7E6B43C3"/>
    <w:rsid w:val="7F9D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21"/>
    <w:basedOn w:val="9"/>
    <w:qFormat/>
    <w:uiPriority w:val="0"/>
    <w:rPr>
      <w:rFonts w:ascii="Calibri" w:hAnsi="Calibri" w:cs="Calibri"/>
      <w:color w:val="000000"/>
      <w:sz w:val="21"/>
      <w:szCs w:val="21"/>
      <w:u w:val="none"/>
    </w:rPr>
  </w:style>
  <w:style w:type="character" w:customStyle="1" w:styleId="21">
    <w:name w:val="font01"/>
    <w:basedOn w:val="9"/>
    <w:qFormat/>
    <w:uiPriority w:val="0"/>
    <w:rPr>
      <w:rFonts w:hint="eastAsia" w:ascii="宋体" w:hAnsi="宋体" w:eastAsia="宋体" w:cs="宋体"/>
      <w:color w:val="000000"/>
      <w:sz w:val="22"/>
      <w:szCs w:val="22"/>
      <w:u w:val="none"/>
    </w:rPr>
  </w:style>
  <w:style w:type="character" w:customStyle="1" w:styleId="22">
    <w:name w:val="font31"/>
    <w:basedOn w:val="9"/>
    <w:qFormat/>
    <w:uiPriority w:val="0"/>
    <w:rPr>
      <w:rFonts w:ascii="Calibri" w:hAnsi="Calibri" w:cs="Calibri"/>
      <w:color w:val="FF0000"/>
      <w:sz w:val="21"/>
      <w:szCs w:val="21"/>
      <w:u w:val="none"/>
    </w:rPr>
  </w:style>
  <w:style w:type="character" w:customStyle="1" w:styleId="23">
    <w:name w:val="font41"/>
    <w:basedOn w:val="9"/>
    <w:qFormat/>
    <w:uiPriority w:val="0"/>
    <w:rPr>
      <w:rFonts w:hint="eastAsia" w:ascii="宋体" w:hAnsi="宋体" w:eastAsia="宋体" w:cs="宋体"/>
      <w:color w:val="000000"/>
      <w:sz w:val="21"/>
      <w:szCs w:val="21"/>
      <w:u w:val="none"/>
    </w:rPr>
  </w:style>
  <w:style w:type="character" w:customStyle="1" w:styleId="24">
    <w:name w:val="font51"/>
    <w:basedOn w:val="9"/>
    <w:uiPriority w:val="0"/>
    <w:rPr>
      <w:rFonts w:hint="eastAsia" w:ascii="宋体" w:hAnsi="宋体" w:eastAsia="宋体" w:cs="宋体"/>
      <w:color w:val="000000"/>
      <w:sz w:val="21"/>
      <w:szCs w:val="21"/>
      <w:u w:val="none"/>
    </w:rPr>
  </w:style>
  <w:style w:type="character" w:customStyle="1" w:styleId="25">
    <w:name w:val="font71"/>
    <w:basedOn w:val="9"/>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5154</Words>
  <Characters>6333</Characters>
  <Lines>0</Lines>
  <Paragraphs>0</Paragraphs>
  <TotalTime>18</TotalTime>
  <ScaleCrop>false</ScaleCrop>
  <LinksUpToDate>false</LinksUpToDate>
  <CharactersWithSpaces>6585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2022-12-21T01:49:55Z</cp:lastPrinted>
  <dcterms:modified xsi:type="dcterms:W3CDTF">2022-12-21T01:50:07Z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